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C08E" w14:textId="77777777" w:rsidR="00AA2058" w:rsidRPr="00042924" w:rsidRDefault="00AA2058" w:rsidP="00AA2058">
      <w:pPr>
        <w:spacing w:after="0" w:line="240" w:lineRule="auto"/>
        <w:jc w:val="center"/>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МІНІСТЕРСТВО ОСВІТИ І НАУКИ УКРАЇНИ</w:t>
      </w:r>
    </w:p>
    <w:p w14:paraId="18B302B2" w14:textId="77777777" w:rsidR="00AA2058" w:rsidRPr="00042924" w:rsidRDefault="00AA2058" w:rsidP="00AA2058">
      <w:pPr>
        <w:spacing w:after="0" w:line="240" w:lineRule="auto"/>
        <w:jc w:val="center"/>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Донецький національний університет економіки і торгівлі</w:t>
      </w:r>
    </w:p>
    <w:p w14:paraId="267B2ADA" w14:textId="77777777" w:rsidR="00AA2058" w:rsidRPr="00042924" w:rsidRDefault="00AA2058" w:rsidP="00AA2058">
      <w:pPr>
        <w:spacing w:after="0" w:line="240" w:lineRule="auto"/>
        <w:jc w:val="center"/>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імені Михайла Туган-Барановського</w:t>
      </w:r>
    </w:p>
    <w:p w14:paraId="5E27ABE9" w14:textId="77777777" w:rsidR="00AA2058" w:rsidRPr="00042924" w:rsidRDefault="00AA2058" w:rsidP="00AA2058">
      <w:pPr>
        <w:spacing w:after="0" w:line="240" w:lineRule="auto"/>
        <w:jc w:val="center"/>
        <w:rPr>
          <w:rFonts w:ascii="Times New Roman" w:eastAsia="Calibri" w:hAnsi="Times New Roman" w:cs="Times New Roman"/>
          <w:b/>
          <w:kern w:val="0"/>
          <w:sz w:val="16"/>
          <w:szCs w:val="16"/>
          <w:lang w:val="uk-UA"/>
          <w14:ligatures w14:val="none"/>
        </w:rPr>
      </w:pPr>
    </w:p>
    <w:p w14:paraId="32FAE4C2" w14:textId="77777777" w:rsidR="00AA2058" w:rsidRPr="00042924" w:rsidRDefault="00AA2058" w:rsidP="00AA2058">
      <w:pPr>
        <w:keepNext/>
        <w:keepLines/>
        <w:shd w:val="clear" w:color="auto" w:fill="FFFFFF"/>
        <w:spacing w:after="0" w:line="264" w:lineRule="atLeast"/>
        <w:jc w:val="center"/>
        <w:textAlignment w:val="baseline"/>
        <w:outlineLvl w:val="3"/>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 xml:space="preserve">Навчально-науковий інститут </w:t>
      </w:r>
      <w:hyperlink r:id="rId8" w:tooltip="Навчально-науковий інститут ресторанно-готельного бізнесу та туризму" w:history="1">
        <w:r w:rsidRPr="00042924">
          <w:rPr>
            <w:rFonts w:ascii="Times New Roman" w:eastAsia="Calibri" w:hAnsi="Times New Roman" w:cs="Times New Roman"/>
            <w:kern w:val="0"/>
            <w:sz w:val="28"/>
            <w:szCs w:val="28"/>
            <w:u w:val="single"/>
            <w:lang w:val="uk-UA"/>
            <w14:ligatures w14:val="none"/>
          </w:rPr>
          <w:t>ресторанно-готельного бізнесу та туризму</w:t>
        </w:r>
      </w:hyperlink>
    </w:p>
    <w:p w14:paraId="5E26BB85" w14:textId="77777777" w:rsidR="00AA2058" w:rsidRPr="00042924" w:rsidRDefault="00AA2058" w:rsidP="00AA2058">
      <w:pPr>
        <w:spacing w:after="0" w:line="240" w:lineRule="auto"/>
        <w:jc w:val="center"/>
        <w:rPr>
          <w:rFonts w:ascii="Times New Roman" w:eastAsia="Calibri" w:hAnsi="Times New Roman" w:cs="Times New Roman"/>
          <w:kern w:val="0"/>
          <w:sz w:val="28"/>
          <w:szCs w:val="28"/>
          <w:vertAlign w:val="superscript"/>
          <w:lang w:val="uk-UA"/>
          <w14:ligatures w14:val="none"/>
        </w:rPr>
      </w:pPr>
      <w:r w:rsidRPr="00042924">
        <w:rPr>
          <w:rFonts w:ascii="Times New Roman" w:eastAsia="Calibri" w:hAnsi="Times New Roman" w:cs="Times New Roman"/>
          <w:kern w:val="0"/>
          <w:sz w:val="28"/>
          <w:szCs w:val="28"/>
          <w:vertAlign w:val="superscript"/>
          <w:lang w:val="uk-UA"/>
          <w14:ligatures w14:val="none"/>
        </w:rPr>
        <w:t xml:space="preserve">                                                                           (назва навчально-наукового інституту)</w:t>
      </w:r>
    </w:p>
    <w:p w14:paraId="0EF4BD61" w14:textId="77777777" w:rsidR="00AA2058" w:rsidRPr="00042924" w:rsidRDefault="00AA2058" w:rsidP="00AA2058">
      <w:pPr>
        <w:keepNext/>
        <w:keepLines/>
        <w:shd w:val="clear" w:color="auto" w:fill="FFFFFF"/>
        <w:spacing w:after="0" w:line="264" w:lineRule="atLeast"/>
        <w:jc w:val="center"/>
        <w:textAlignment w:val="baseline"/>
        <w:outlineLvl w:val="3"/>
        <w:rPr>
          <w:rFonts w:ascii="Times New Roman" w:eastAsia="Calibri" w:hAnsi="Times New Roman" w:cs="Times New Roman"/>
          <w:kern w:val="0"/>
          <w:sz w:val="28"/>
          <w:szCs w:val="28"/>
          <w:u w:val="single"/>
          <w:lang w:val="uk-UA"/>
          <w14:ligatures w14:val="none"/>
        </w:rPr>
      </w:pPr>
      <w:r w:rsidRPr="00042924">
        <w:rPr>
          <w:rFonts w:ascii="Times New Roman" w:eastAsia="Calibri" w:hAnsi="Times New Roman" w:cs="Times New Roman"/>
          <w:kern w:val="0"/>
          <w:sz w:val="28"/>
          <w:szCs w:val="28"/>
          <w:lang w:val="uk-UA"/>
          <w14:ligatures w14:val="none"/>
        </w:rPr>
        <w:t xml:space="preserve">Кафедра </w:t>
      </w:r>
      <w:hyperlink r:id="rId9" w:tooltip="Кафедра технологій в ресторанному господарстві, готельно-ресторанної справи та підприємництва" w:history="1">
        <w:r w:rsidRPr="00042924">
          <w:rPr>
            <w:rFonts w:ascii="Times New Roman" w:eastAsia="Calibri" w:hAnsi="Times New Roman" w:cs="Times New Roman"/>
            <w:kern w:val="0"/>
            <w:sz w:val="28"/>
            <w:szCs w:val="28"/>
            <w:u w:val="single"/>
            <w:lang w:val="uk-UA"/>
            <w14:ligatures w14:val="none"/>
          </w:rPr>
          <w:t>технологій в ресторанному господарстві, готельно-ресторанної справи та підприємництва</w:t>
        </w:r>
      </w:hyperlink>
    </w:p>
    <w:p w14:paraId="5E11E078" w14:textId="77777777" w:rsidR="00AA2058" w:rsidRPr="00042924" w:rsidRDefault="00AA2058" w:rsidP="00AA2058">
      <w:pPr>
        <w:spacing w:after="0" w:line="240" w:lineRule="auto"/>
        <w:jc w:val="center"/>
        <w:rPr>
          <w:rFonts w:ascii="Times New Roman" w:eastAsia="Calibri" w:hAnsi="Times New Roman" w:cs="Times New Roman"/>
          <w:kern w:val="0"/>
          <w:sz w:val="28"/>
          <w:szCs w:val="28"/>
          <w:vertAlign w:val="superscript"/>
          <w:lang w:val="uk-UA"/>
          <w14:ligatures w14:val="none"/>
        </w:rPr>
      </w:pPr>
      <w:r w:rsidRPr="00042924">
        <w:rPr>
          <w:rFonts w:ascii="Times New Roman" w:eastAsia="Calibri" w:hAnsi="Times New Roman" w:cs="Times New Roman"/>
          <w:kern w:val="0"/>
          <w:sz w:val="28"/>
          <w:szCs w:val="28"/>
          <w:vertAlign w:val="superscript"/>
          <w:lang w:val="uk-UA"/>
          <w14:ligatures w14:val="none"/>
        </w:rPr>
        <w:t>(назва кафедри)</w:t>
      </w:r>
    </w:p>
    <w:p w14:paraId="6EDD3834" w14:textId="77777777" w:rsidR="00AA2058" w:rsidRPr="00042924" w:rsidRDefault="00AA2058" w:rsidP="00AA2058">
      <w:pPr>
        <w:spacing w:after="0" w:line="240" w:lineRule="auto"/>
        <w:jc w:val="right"/>
        <w:rPr>
          <w:rFonts w:ascii="Times New Roman" w:eastAsia="Calibri" w:hAnsi="Times New Roman" w:cs="Times New Roman"/>
          <w:kern w:val="0"/>
          <w:sz w:val="28"/>
          <w:szCs w:val="28"/>
          <w:lang w:val="uk-UA"/>
          <w14:ligatures w14:val="none"/>
        </w:rPr>
      </w:pPr>
    </w:p>
    <w:tbl>
      <w:tblPr>
        <w:tblStyle w:val="15"/>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AA2058" w:rsidRPr="00042924" w14:paraId="55BD11A6" w14:textId="77777777" w:rsidTr="0029174C">
        <w:tc>
          <w:tcPr>
            <w:tcW w:w="5387" w:type="dxa"/>
          </w:tcPr>
          <w:p w14:paraId="37C21036" w14:textId="77777777" w:rsidR="00AA2058" w:rsidRPr="00042924" w:rsidRDefault="00AA2058" w:rsidP="00AA2058">
            <w:pPr>
              <w:widowControl w:val="0"/>
              <w:autoSpaceDE w:val="0"/>
              <w:autoSpaceDN w:val="0"/>
              <w:adjustRightInd w:val="0"/>
              <w:jc w:val="center"/>
              <w:rPr>
                <w:rFonts w:ascii="Times New Roman" w:eastAsia="Times New Roman" w:hAnsi="Times New Roman" w:cs="Times New Roman"/>
                <w:b/>
                <w:color w:val="000000"/>
                <w:sz w:val="28"/>
                <w:szCs w:val="28"/>
                <w:lang w:val="uk-UA" w:eastAsia="ru-RU"/>
              </w:rPr>
            </w:pPr>
          </w:p>
        </w:tc>
        <w:tc>
          <w:tcPr>
            <w:tcW w:w="4819" w:type="dxa"/>
          </w:tcPr>
          <w:p w14:paraId="2AF4C20F" w14:textId="77777777" w:rsidR="00AA2058" w:rsidRPr="00042924" w:rsidRDefault="00AA2058" w:rsidP="00AA2058">
            <w:pPr>
              <w:widowControl w:val="0"/>
              <w:autoSpaceDE w:val="0"/>
              <w:autoSpaceDN w:val="0"/>
              <w:adjustRightInd w:val="0"/>
              <w:rPr>
                <w:rFonts w:ascii="Times New Roman" w:eastAsia="Times New Roman" w:hAnsi="Times New Roman" w:cs="Times New Roman"/>
                <w:color w:val="000000"/>
                <w:sz w:val="28"/>
                <w:szCs w:val="28"/>
                <w:lang w:val="uk-UA" w:eastAsia="ru-RU"/>
              </w:rPr>
            </w:pPr>
            <w:r w:rsidRPr="00042924">
              <w:rPr>
                <w:rFonts w:ascii="Times New Roman" w:eastAsia="Times New Roman" w:hAnsi="Times New Roman" w:cs="Times New Roman"/>
                <w:sz w:val="28"/>
                <w:szCs w:val="28"/>
                <w:lang w:val="uk-UA" w:eastAsia="ru-RU"/>
              </w:rPr>
              <w:t>ДОПУСКАЮ ДО ЗАХИСТУ</w:t>
            </w:r>
          </w:p>
          <w:p w14:paraId="0AC57625" w14:textId="77777777" w:rsidR="00AA2058" w:rsidRPr="00042924" w:rsidRDefault="00AA2058" w:rsidP="00AA2058">
            <w:pPr>
              <w:widowControl w:val="0"/>
              <w:autoSpaceDE w:val="0"/>
              <w:autoSpaceDN w:val="0"/>
              <w:adjustRightInd w:val="0"/>
              <w:rPr>
                <w:rFonts w:ascii="Times New Roman" w:eastAsia="Times New Roman" w:hAnsi="Times New Roman" w:cs="Times New Roman"/>
                <w:color w:val="000000"/>
                <w:sz w:val="40"/>
                <w:szCs w:val="40"/>
                <w:vertAlign w:val="superscript"/>
                <w:lang w:val="uk-UA" w:eastAsia="ru-RU"/>
              </w:rPr>
            </w:pPr>
            <w:r w:rsidRPr="00042924">
              <w:rPr>
                <w:rFonts w:ascii="Times New Roman" w:eastAsia="Times New Roman" w:hAnsi="Times New Roman" w:cs="Times New Roman"/>
                <w:color w:val="000000"/>
                <w:sz w:val="40"/>
                <w:szCs w:val="40"/>
                <w:vertAlign w:val="superscript"/>
                <w:lang w:val="uk-UA" w:eastAsia="ru-RU"/>
              </w:rPr>
              <w:t>Гарант освітньої програми</w:t>
            </w:r>
          </w:p>
          <w:p w14:paraId="545221DD" w14:textId="77777777" w:rsidR="00AA2058" w:rsidRPr="00042924" w:rsidRDefault="00AA2058" w:rsidP="00AA2058">
            <w:pPr>
              <w:jc w:val="both"/>
              <w:rPr>
                <w:rFonts w:ascii="Times New Roman" w:eastAsia="Calibri" w:hAnsi="Times New Roman" w:cs="Times New Roman"/>
                <w:color w:val="000000"/>
                <w:sz w:val="28"/>
                <w:szCs w:val="28"/>
                <w:u w:val="single"/>
                <w:lang w:val="uk-UA"/>
              </w:rPr>
            </w:pPr>
            <w:r w:rsidRPr="00042924">
              <w:rPr>
                <w:rFonts w:ascii="Times New Roman" w:eastAsia="Calibri" w:hAnsi="Times New Roman" w:cs="Times New Roman"/>
                <w:color w:val="000000"/>
                <w:sz w:val="28"/>
                <w:szCs w:val="28"/>
                <w:lang w:val="uk-UA"/>
              </w:rPr>
              <w:t xml:space="preserve">___________         </w:t>
            </w:r>
            <w:r w:rsidRPr="00042924">
              <w:rPr>
                <w:rFonts w:ascii="Times New Roman" w:eastAsia="Calibri" w:hAnsi="Times New Roman" w:cs="Times New Roman"/>
                <w:color w:val="000000"/>
                <w:sz w:val="28"/>
                <w:szCs w:val="28"/>
                <w:u w:val="single"/>
                <w:lang w:val="uk-UA"/>
              </w:rPr>
              <w:t>Приймак Н.С.</w:t>
            </w:r>
          </w:p>
          <w:p w14:paraId="6DE9EC81" w14:textId="77777777" w:rsidR="00AA2058" w:rsidRPr="00042924" w:rsidRDefault="00AA2058" w:rsidP="00AA2058">
            <w:pPr>
              <w:widowControl w:val="0"/>
              <w:autoSpaceDE w:val="0"/>
              <w:autoSpaceDN w:val="0"/>
              <w:adjustRightInd w:val="0"/>
              <w:rPr>
                <w:rFonts w:ascii="Times New Roman" w:eastAsia="Times New Roman" w:hAnsi="Times New Roman" w:cs="Times New Roman"/>
                <w:color w:val="000000"/>
                <w:sz w:val="28"/>
                <w:szCs w:val="28"/>
                <w:vertAlign w:val="superscript"/>
                <w:lang w:val="uk-UA" w:eastAsia="ru-RU"/>
              </w:rPr>
            </w:pPr>
            <w:r w:rsidRPr="00042924">
              <w:rPr>
                <w:rFonts w:ascii="Times New Roman" w:eastAsia="Times New Roman" w:hAnsi="Times New Roman" w:cs="Times New Roman"/>
                <w:color w:val="000000"/>
                <w:sz w:val="28"/>
                <w:szCs w:val="28"/>
                <w:vertAlign w:val="superscript"/>
                <w:lang w:val="uk-UA" w:eastAsia="ru-RU"/>
              </w:rPr>
              <w:t xml:space="preserve">        (підпис)                               (прізвище та ініціали)</w:t>
            </w:r>
          </w:p>
          <w:p w14:paraId="42230D2B" w14:textId="77777777" w:rsidR="00AA2058" w:rsidRPr="00042924" w:rsidRDefault="00AA2058" w:rsidP="00AA2058">
            <w:pPr>
              <w:widowControl w:val="0"/>
              <w:autoSpaceDE w:val="0"/>
              <w:autoSpaceDN w:val="0"/>
              <w:adjustRightInd w:val="0"/>
              <w:rPr>
                <w:rFonts w:ascii="Times New Roman" w:eastAsia="Times New Roman" w:hAnsi="Times New Roman" w:cs="Times New Roman"/>
                <w:color w:val="000000"/>
                <w:sz w:val="28"/>
                <w:szCs w:val="28"/>
                <w:lang w:val="uk-UA" w:eastAsia="ru-RU"/>
              </w:rPr>
            </w:pPr>
            <w:r w:rsidRPr="00042924">
              <w:rPr>
                <w:rFonts w:ascii="Times New Roman" w:eastAsia="Times New Roman" w:hAnsi="Times New Roman" w:cs="Times New Roman"/>
                <w:color w:val="000000"/>
                <w:sz w:val="28"/>
                <w:szCs w:val="28"/>
                <w:lang w:val="uk-UA" w:eastAsia="ru-RU"/>
              </w:rPr>
              <w:t>«____» _________ 2023 року</w:t>
            </w:r>
          </w:p>
        </w:tc>
      </w:tr>
    </w:tbl>
    <w:p w14:paraId="515ADDC7" w14:textId="77777777" w:rsidR="00AA2058" w:rsidRPr="00042924" w:rsidRDefault="00AA2058" w:rsidP="00AA2058">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kern w:val="0"/>
          <w:sz w:val="28"/>
          <w:szCs w:val="28"/>
          <w:lang w:val="uk-UA" w:eastAsia="ru-RU"/>
          <w14:ligatures w14:val="none"/>
        </w:rPr>
      </w:pPr>
    </w:p>
    <w:p w14:paraId="25FAF848" w14:textId="77777777" w:rsidR="00AA2058" w:rsidRPr="00042924" w:rsidRDefault="00AA2058" w:rsidP="00AA2058">
      <w:pPr>
        <w:widowControl w:val="0"/>
        <w:autoSpaceDE w:val="0"/>
        <w:autoSpaceDN w:val="0"/>
        <w:adjustRightInd w:val="0"/>
        <w:spacing w:after="0" w:line="240" w:lineRule="auto"/>
        <w:jc w:val="center"/>
        <w:rPr>
          <w:rFonts w:ascii="Times New Roman" w:eastAsia="Times New Roman" w:hAnsi="Times New Roman" w:cs="Times New Roman"/>
          <w:b/>
          <w:color w:val="000000"/>
          <w:kern w:val="0"/>
          <w:sz w:val="28"/>
          <w:szCs w:val="28"/>
          <w:lang w:val="uk-UA" w:eastAsia="ru-RU"/>
          <w14:ligatures w14:val="none"/>
        </w:rPr>
      </w:pPr>
      <w:r w:rsidRPr="00042924">
        <w:rPr>
          <w:rFonts w:ascii="Times New Roman" w:eastAsia="Times New Roman" w:hAnsi="Times New Roman" w:cs="Times New Roman"/>
          <w:b/>
          <w:color w:val="000000"/>
          <w:kern w:val="0"/>
          <w:sz w:val="28"/>
          <w:szCs w:val="28"/>
          <w:lang w:val="uk-UA" w:eastAsia="ru-RU"/>
          <w14:ligatures w14:val="none"/>
        </w:rPr>
        <w:t>КВАЛІФІКАЦІЙНА РОБОТА</w:t>
      </w:r>
    </w:p>
    <w:p w14:paraId="2813A598" w14:textId="77777777" w:rsidR="00AA2058" w:rsidRPr="00042924" w:rsidRDefault="00AA2058" w:rsidP="00AA2058">
      <w:pPr>
        <w:widowControl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uk-UA" w:eastAsia="ru-RU"/>
          <w14:ligatures w14:val="none"/>
        </w:rPr>
      </w:pPr>
      <w:r w:rsidRPr="00042924">
        <w:rPr>
          <w:rFonts w:ascii="Times New Roman" w:eastAsia="Times New Roman" w:hAnsi="Times New Roman" w:cs="Times New Roman"/>
          <w:color w:val="000000"/>
          <w:kern w:val="0"/>
          <w:sz w:val="28"/>
          <w:szCs w:val="28"/>
          <w:lang w:val="uk-UA" w:eastAsia="ru-RU"/>
          <w14:ligatures w14:val="none"/>
        </w:rPr>
        <w:t>на здобуття ступеня вищої освіти</w:t>
      </w:r>
      <w:r w:rsidRPr="00042924">
        <w:rPr>
          <w:rFonts w:ascii="Times New Roman" w:eastAsia="Times New Roman" w:hAnsi="Times New Roman" w:cs="Times New Roman"/>
          <w:color w:val="000000" w:themeColor="text1"/>
          <w:kern w:val="0"/>
          <w:sz w:val="28"/>
          <w:szCs w:val="28"/>
          <w:lang w:val="uk-UA" w:eastAsia="ru-RU"/>
          <w14:ligatures w14:val="none"/>
        </w:rPr>
        <w:t>________</w:t>
      </w:r>
      <w:r w:rsidRPr="00042924">
        <w:rPr>
          <w:rFonts w:ascii="Times New Roman" w:eastAsia="Times New Roman" w:hAnsi="Times New Roman" w:cs="Times New Roman"/>
          <w:color w:val="000000" w:themeColor="text1"/>
          <w:kern w:val="0"/>
          <w:sz w:val="28"/>
          <w:szCs w:val="28"/>
          <w:u w:val="single"/>
          <w:lang w:val="uk-UA" w:eastAsia="ru-RU"/>
          <w14:ligatures w14:val="none"/>
        </w:rPr>
        <w:t>магістр</w:t>
      </w:r>
      <w:r w:rsidRPr="00042924">
        <w:rPr>
          <w:rFonts w:ascii="Times New Roman" w:eastAsia="Times New Roman" w:hAnsi="Times New Roman" w:cs="Times New Roman"/>
          <w:color w:val="000000" w:themeColor="text1"/>
          <w:kern w:val="0"/>
          <w:sz w:val="28"/>
          <w:szCs w:val="28"/>
          <w:lang w:val="uk-UA" w:eastAsia="ru-RU"/>
          <w14:ligatures w14:val="none"/>
        </w:rPr>
        <w:t>__________</w:t>
      </w:r>
    </w:p>
    <w:p w14:paraId="14C47DFB" w14:textId="77777777" w:rsidR="00AA2058" w:rsidRPr="00042924" w:rsidRDefault="00AA2058" w:rsidP="00AA2058">
      <w:pPr>
        <w:spacing w:after="0" w:line="240" w:lineRule="auto"/>
        <w:jc w:val="center"/>
        <w:rPr>
          <w:rFonts w:ascii="Times New Roman" w:eastAsia="Calibri" w:hAnsi="Times New Roman" w:cs="Times New Roman"/>
          <w:kern w:val="0"/>
          <w:sz w:val="28"/>
          <w:szCs w:val="28"/>
          <w:vertAlign w:val="superscript"/>
          <w:lang w:val="uk-UA"/>
          <w14:ligatures w14:val="none"/>
        </w:rPr>
      </w:pPr>
      <w:r w:rsidRPr="00042924">
        <w:rPr>
          <w:rFonts w:ascii="Times New Roman" w:eastAsia="Calibri" w:hAnsi="Times New Roman" w:cs="Times New Roman"/>
          <w:kern w:val="0"/>
          <w:sz w:val="28"/>
          <w:szCs w:val="28"/>
          <w:vertAlign w:val="superscript"/>
          <w:lang w:val="uk-UA"/>
          <w14:ligatures w14:val="none"/>
        </w:rPr>
        <w:t xml:space="preserve">                                                                                        (назва освітнього ступеню)</w:t>
      </w:r>
    </w:p>
    <w:p w14:paraId="5121BDC8" w14:textId="77777777" w:rsidR="00AA2058" w:rsidRPr="00042924" w:rsidRDefault="00AA2058" w:rsidP="00AA2058">
      <w:pPr>
        <w:autoSpaceDE w:val="0"/>
        <w:autoSpaceDN w:val="0"/>
        <w:adjustRightInd w:val="0"/>
        <w:spacing w:after="0" w:line="240" w:lineRule="auto"/>
        <w:jc w:val="center"/>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 xml:space="preserve">зі спеціальності </w:t>
      </w:r>
      <w:r w:rsidRPr="00042924">
        <w:rPr>
          <w:rFonts w:ascii="Times New Roman" w:eastAsia="Calibri" w:hAnsi="Times New Roman" w:cs="Times New Roman"/>
          <w:kern w:val="0"/>
          <w:sz w:val="28"/>
          <w:szCs w:val="28"/>
          <w:u w:val="single"/>
          <w:lang w:val="uk-UA"/>
          <w14:ligatures w14:val="none"/>
        </w:rPr>
        <w:t>076 «</w:t>
      </w:r>
      <w:r w:rsidRPr="00042924">
        <w:rPr>
          <w:rFonts w:ascii="Times New Roman" w:eastAsia="Times New Roman" w:hAnsi="Times New Roman" w:cs="Times New Roman"/>
          <w:color w:val="000000"/>
          <w:kern w:val="0"/>
          <w:sz w:val="28"/>
          <w:szCs w:val="28"/>
          <w:u w:val="single"/>
          <w:lang w:val="uk-UA" w:eastAsia="ru-RU"/>
          <w14:ligatures w14:val="none"/>
        </w:rPr>
        <w:t>Підприємництво, торгівля та біржова діяльність</w:t>
      </w:r>
      <w:r w:rsidRPr="00042924">
        <w:rPr>
          <w:rFonts w:ascii="Times New Roman" w:eastAsia="Calibri" w:hAnsi="Times New Roman" w:cs="Times New Roman"/>
          <w:kern w:val="0"/>
          <w:sz w:val="28"/>
          <w:szCs w:val="28"/>
          <w:u w:val="single"/>
          <w:lang w:val="uk-UA"/>
          <w14:ligatures w14:val="none"/>
        </w:rPr>
        <w:t>»</w:t>
      </w:r>
    </w:p>
    <w:p w14:paraId="167A72F5" w14:textId="77777777" w:rsidR="00AA2058" w:rsidRPr="00042924" w:rsidRDefault="00AA2058" w:rsidP="00AA2058">
      <w:pPr>
        <w:autoSpaceDE w:val="0"/>
        <w:autoSpaceDN w:val="0"/>
        <w:adjustRightInd w:val="0"/>
        <w:spacing w:after="0" w:line="240" w:lineRule="auto"/>
        <w:jc w:val="center"/>
        <w:rPr>
          <w:rFonts w:ascii="Times New Roman" w:eastAsia="Calibri" w:hAnsi="Times New Roman" w:cs="Times New Roman"/>
          <w:kern w:val="0"/>
          <w:sz w:val="28"/>
          <w:szCs w:val="28"/>
          <w:vertAlign w:val="superscript"/>
          <w:lang w:val="uk-UA"/>
          <w14:ligatures w14:val="none"/>
        </w:rPr>
      </w:pPr>
      <w:r w:rsidRPr="00042924">
        <w:rPr>
          <w:rFonts w:ascii="Times New Roman" w:eastAsia="Calibri" w:hAnsi="Times New Roman" w:cs="Times New Roman"/>
          <w:kern w:val="0"/>
          <w:sz w:val="28"/>
          <w:szCs w:val="28"/>
          <w:vertAlign w:val="superscript"/>
          <w:lang w:val="uk-UA"/>
          <w14:ligatures w14:val="none"/>
        </w:rPr>
        <w:t>(шифр і назва)</w:t>
      </w:r>
    </w:p>
    <w:p w14:paraId="7298D78D" w14:textId="77777777" w:rsidR="00AA2058" w:rsidRPr="00042924" w:rsidRDefault="00AA2058" w:rsidP="00AA2058">
      <w:pPr>
        <w:autoSpaceDE w:val="0"/>
        <w:autoSpaceDN w:val="0"/>
        <w:adjustRightInd w:val="0"/>
        <w:spacing w:after="0" w:line="240" w:lineRule="auto"/>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 xml:space="preserve">                       освітньої програми_</w:t>
      </w:r>
      <w:r w:rsidRPr="00042924">
        <w:rPr>
          <w:rFonts w:ascii="Times New Roman" w:eastAsia="Calibri" w:hAnsi="Times New Roman" w:cs="Times New Roman"/>
          <w:kern w:val="0"/>
          <w:sz w:val="28"/>
          <w:szCs w:val="28"/>
          <w:u w:val="single"/>
          <w:lang w:val="uk-UA"/>
          <w14:ligatures w14:val="none"/>
        </w:rPr>
        <w:t>«Антисипативне управління бізнесом»</w:t>
      </w:r>
    </w:p>
    <w:p w14:paraId="6C921F0D" w14:textId="77777777" w:rsidR="00AA2058" w:rsidRPr="00042924" w:rsidRDefault="00AA2058" w:rsidP="00AA2058">
      <w:pPr>
        <w:autoSpaceDE w:val="0"/>
        <w:autoSpaceDN w:val="0"/>
        <w:adjustRightInd w:val="0"/>
        <w:spacing w:after="0" w:line="240" w:lineRule="auto"/>
        <w:jc w:val="center"/>
        <w:rPr>
          <w:rFonts w:ascii="Times New Roman" w:eastAsia="Calibri" w:hAnsi="Times New Roman" w:cs="Times New Roman"/>
          <w:kern w:val="0"/>
          <w:sz w:val="28"/>
          <w:szCs w:val="28"/>
          <w:vertAlign w:val="superscript"/>
          <w:lang w:val="uk-UA"/>
          <w14:ligatures w14:val="none"/>
        </w:rPr>
      </w:pPr>
      <w:r w:rsidRPr="00042924">
        <w:rPr>
          <w:rFonts w:ascii="Times New Roman" w:eastAsia="Calibri" w:hAnsi="Times New Roman" w:cs="Times New Roman"/>
          <w:kern w:val="0"/>
          <w:sz w:val="28"/>
          <w:szCs w:val="28"/>
          <w:vertAlign w:val="superscript"/>
          <w:lang w:val="uk-UA"/>
          <w14:ligatures w14:val="none"/>
        </w:rPr>
        <w:t>(назва)</w:t>
      </w:r>
    </w:p>
    <w:p w14:paraId="3CBE260A" w14:textId="77777777" w:rsidR="00AA2058" w:rsidRPr="00042924" w:rsidRDefault="00AA2058" w:rsidP="00AA2058">
      <w:pPr>
        <w:autoSpaceDE w:val="0"/>
        <w:autoSpaceDN w:val="0"/>
        <w:adjustRightInd w:val="0"/>
        <w:spacing w:after="0" w:line="240" w:lineRule="auto"/>
        <w:rPr>
          <w:rFonts w:ascii="Times New Roman" w:eastAsia="Calibri" w:hAnsi="Times New Roman" w:cs="Times New Roman"/>
          <w:kern w:val="0"/>
          <w:sz w:val="28"/>
          <w:szCs w:val="28"/>
          <w:vertAlign w:val="superscript"/>
          <w:lang w:val="uk-UA"/>
          <w14:ligatures w14:val="none"/>
        </w:rPr>
      </w:pPr>
    </w:p>
    <w:p w14:paraId="65C63242" w14:textId="77777777" w:rsidR="00AA2058" w:rsidRPr="00042924" w:rsidRDefault="00AA2058" w:rsidP="00AA2058">
      <w:pPr>
        <w:autoSpaceDE w:val="0"/>
        <w:autoSpaceDN w:val="0"/>
        <w:adjustRightInd w:val="0"/>
        <w:spacing w:after="0" w:line="240" w:lineRule="auto"/>
        <w:jc w:val="center"/>
        <w:rPr>
          <w:rFonts w:ascii="Times New Roman" w:eastAsia="Calibri" w:hAnsi="Times New Roman" w:cs="Times New Roman"/>
          <w:kern w:val="0"/>
          <w:sz w:val="28"/>
          <w:szCs w:val="28"/>
          <w:u w:val="single"/>
          <w:lang w:val="uk-UA"/>
          <w14:ligatures w14:val="none"/>
        </w:rPr>
      </w:pPr>
      <w:r w:rsidRPr="00042924">
        <w:rPr>
          <w:rFonts w:ascii="Times New Roman" w:eastAsia="Calibri" w:hAnsi="Times New Roman" w:cs="Times New Roman"/>
          <w:kern w:val="0"/>
          <w:sz w:val="28"/>
          <w:szCs w:val="28"/>
          <w:lang w:val="uk-UA"/>
          <w14:ligatures w14:val="none"/>
        </w:rPr>
        <w:t>на тему: «</w:t>
      </w:r>
      <w:r w:rsidR="002966E1" w:rsidRPr="00042924">
        <w:rPr>
          <w:rFonts w:ascii="Times New Roman" w:eastAsia="Calibri" w:hAnsi="Times New Roman" w:cs="Times New Roman"/>
          <w:kern w:val="0"/>
          <w:sz w:val="28"/>
          <w:szCs w:val="28"/>
          <w:u w:val="single"/>
          <w:lang w:val="uk-UA"/>
          <w14:ligatures w14:val="none"/>
        </w:rPr>
        <w:t>Діагностика банкрутства і розробка заходів його запобігання</w:t>
      </w:r>
      <w:r w:rsidRPr="00042924">
        <w:rPr>
          <w:rFonts w:ascii="Times New Roman" w:eastAsia="Calibri" w:hAnsi="Times New Roman" w:cs="Times New Roman"/>
          <w:kern w:val="0"/>
          <w:sz w:val="28"/>
          <w:szCs w:val="28"/>
          <w:u w:val="single"/>
          <w:lang w:val="uk-UA"/>
          <w14:ligatures w14:val="none"/>
        </w:rPr>
        <w:t>»</w:t>
      </w:r>
    </w:p>
    <w:p w14:paraId="7F830C01" w14:textId="77777777" w:rsidR="00AA2058" w:rsidRPr="00042924" w:rsidRDefault="00AA2058" w:rsidP="00AA2058">
      <w:pPr>
        <w:autoSpaceDE w:val="0"/>
        <w:autoSpaceDN w:val="0"/>
        <w:adjustRightInd w:val="0"/>
        <w:spacing w:after="0" w:line="240" w:lineRule="auto"/>
        <w:jc w:val="center"/>
        <w:rPr>
          <w:rFonts w:ascii="Times New Roman" w:eastAsia="Calibri" w:hAnsi="Times New Roman" w:cs="Times New Roman"/>
          <w:kern w:val="0"/>
          <w:sz w:val="28"/>
          <w:szCs w:val="28"/>
          <w:u w:val="single"/>
          <w:lang w:val="uk-UA"/>
          <w14:ligatures w14:val="none"/>
        </w:rPr>
      </w:pPr>
    </w:p>
    <w:tbl>
      <w:tblPr>
        <w:tblStyle w:val="15"/>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AA2058" w:rsidRPr="00042924" w14:paraId="6BFA375E" w14:textId="77777777" w:rsidTr="0029174C">
        <w:tc>
          <w:tcPr>
            <w:tcW w:w="8080" w:type="dxa"/>
            <w:gridSpan w:val="3"/>
          </w:tcPr>
          <w:p w14:paraId="61707022" w14:textId="77777777" w:rsidR="00AA2058" w:rsidRPr="00042924" w:rsidRDefault="00AA2058" w:rsidP="00AA2058">
            <w:pPr>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Виконав:</w:t>
            </w:r>
          </w:p>
          <w:p w14:paraId="318AA63D" w14:textId="77777777" w:rsidR="00AA2058" w:rsidRPr="00042924" w:rsidRDefault="00AA2058" w:rsidP="00AA2058">
            <w:pPr>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 xml:space="preserve">здобувач вищої освіти </w:t>
            </w:r>
            <w:r w:rsidR="00AC755F" w:rsidRPr="00AC755F">
              <w:rPr>
                <w:rFonts w:ascii="Times New Roman" w:eastAsia="Calibri" w:hAnsi="Times New Roman" w:cs="Times New Roman"/>
                <w:color w:val="FFFFFF" w:themeColor="background1"/>
                <w:sz w:val="28"/>
                <w:szCs w:val="28"/>
                <w:u w:val="single"/>
                <w:lang w:val="uk-UA"/>
              </w:rPr>
              <w:t>.</w:t>
            </w:r>
            <w:r w:rsidRPr="00AC755F">
              <w:rPr>
                <w:rFonts w:ascii="Times New Roman" w:eastAsia="Calibri" w:hAnsi="Times New Roman" w:cs="Times New Roman"/>
                <w:sz w:val="28"/>
                <w:szCs w:val="28"/>
                <w:u w:val="single"/>
                <w:lang w:val="uk-UA"/>
              </w:rPr>
              <w:t xml:space="preserve">          </w:t>
            </w:r>
            <w:r w:rsidR="00711EA7" w:rsidRPr="00AC755F">
              <w:rPr>
                <w:rFonts w:ascii="Times New Roman" w:eastAsia="Calibri" w:hAnsi="Times New Roman" w:cs="Times New Roman"/>
                <w:sz w:val="28"/>
                <w:szCs w:val="28"/>
                <w:u w:val="single"/>
                <w:lang w:val="uk-UA"/>
              </w:rPr>
              <w:t>К</w:t>
            </w:r>
            <w:r w:rsidR="00711EA7" w:rsidRPr="00042924">
              <w:rPr>
                <w:rFonts w:ascii="Times New Roman" w:eastAsia="Calibri" w:hAnsi="Times New Roman" w:cs="Times New Roman"/>
                <w:sz w:val="28"/>
                <w:szCs w:val="28"/>
                <w:u w:val="single"/>
                <w:lang w:val="uk-UA"/>
              </w:rPr>
              <w:t>очерга Сергій Костянтинович</w:t>
            </w:r>
            <w:r w:rsidR="00AC755F">
              <w:rPr>
                <w:rFonts w:ascii="Times New Roman" w:eastAsia="Calibri" w:hAnsi="Times New Roman" w:cs="Times New Roman"/>
                <w:sz w:val="28"/>
                <w:szCs w:val="28"/>
                <w:u w:val="single"/>
                <w:lang w:val="uk-UA"/>
              </w:rPr>
              <w:t xml:space="preserve">       </w:t>
            </w:r>
            <w:r w:rsidR="00AC755F" w:rsidRPr="00AC755F">
              <w:rPr>
                <w:rFonts w:ascii="Times New Roman" w:eastAsia="Calibri" w:hAnsi="Times New Roman" w:cs="Times New Roman"/>
                <w:color w:val="FFFFFF" w:themeColor="background1"/>
                <w:sz w:val="28"/>
                <w:szCs w:val="28"/>
                <w:u w:val="single"/>
                <w:lang w:val="uk-UA"/>
              </w:rPr>
              <w:t>.</w:t>
            </w:r>
          </w:p>
          <w:p w14:paraId="2F183C7E" w14:textId="77777777" w:rsidR="00AA2058" w:rsidRPr="00042924" w:rsidRDefault="00AA2058" w:rsidP="00AA2058">
            <w:pPr>
              <w:rPr>
                <w:rFonts w:ascii="Times New Roman" w:eastAsia="Calibri" w:hAnsi="Times New Roman" w:cs="Times New Roman"/>
                <w:sz w:val="28"/>
                <w:szCs w:val="28"/>
                <w:vertAlign w:val="superscript"/>
                <w:lang w:val="uk-UA"/>
              </w:rPr>
            </w:pPr>
            <w:r w:rsidRPr="00042924">
              <w:rPr>
                <w:rFonts w:ascii="Times New Roman" w:eastAsia="Calibri" w:hAnsi="Times New Roman" w:cs="Times New Roman"/>
                <w:sz w:val="28"/>
                <w:szCs w:val="28"/>
                <w:vertAlign w:val="superscript"/>
                <w:lang w:val="uk-UA"/>
              </w:rPr>
              <w:t xml:space="preserve">                                                                                            (прізвище, ім’я, по-батькові)</w:t>
            </w:r>
          </w:p>
          <w:p w14:paraId="4FD56871" w14:textId="77777777" w:rsidR="00AA2058" w:rsidRPr="00042924" w:rsidRDefault="00AA2058" w:rsidP="00AA2058">
            <w:pPr>
              <w:rPr>
                <w:rFonts w:ascii="Times New Roman" w:eastAsia="Calibri" w:hAnsi="Times New Roman" w:cs="Times New Roman"/>
                <w:sz w:val="28"/>
                <w:szCs w:val="28"/>
                <w:vertAlign w:val="superscript"/>
                <w:lang w:val="uk-UA"/>
              </w:rPr>
            </w:pPr>
          </w:p>
        </w:tc>
        <w:tc>
          <w:tcPr>
            <w:tcW w:w="1685" w:type="dxa"/>
          </w:tcPr>
          <w:p w14:paraId="49149982" w14:textId="77777777" w:rsidR="00AA2058" w:rsidRPr="00042924" w:rsidRDefault="00AA2058" w:rsidP="00AA2058">
            <w:pPr>
              <w:suppressAutoHyphens/>
              <w:jc w:val="center"/>
              <w:rPr>
                <w:rFonts w:ascii="Times New Roman" w:eastAsia="Calibri" w:hAnsi="Times New Roman" w:cs="Times New Roman"/>
                <w:sz w:val="28"/>
                <w:szCs w:val="28"/>
                <w:lang w:val="uk-UA"/>
              </w:rPr>
            </w:pPr>
          </w:p>
          <w:p w14:paraId="3651DDA1" w14:textId="77777777" w:rsidR="00AA2058" w:rsidRPr="00042924" w:rsidRDefault="00AA2058" w:rsidP="00AA2058">
            <w:pPr>
              <w:suppressAutoHyphens/>
              <w:jc w:val="center"/>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_________</w:t>
            </w:r>
          </w:p>
          <w:p w14:paraId="7DB03550" w14:textId="77777777" w:rsidR="00AA2058" w:rsidRPr="00042924" w:rsidRDefault="00AA2058" w:rsidP="00AA2058">
            <w:pPr>
              <w:suppressAutoHyphens/>
              <w:jc w:val="center"/>
              <w:rPr>
                <w:rFonts w:ascii="Times New Roman" w:eastAsia="Calibri" w:hAnsi="Times New Roman" w:cs="Times New Roman"/>
                <w:sz w:val="28"/>
                <w:szCs w:val="28"/>
                <w:vertAlign w:val="superscript"/>
                <w:lang w:val="uk-UA"/>
              </w:rPr>
            </w:pPr>
            <w:r w:rsidRPr="00042924">
              <w:rPr>
                <w:rFonts w:ascii="Times New Roman" w:eastAsia="Calibri" w:hAnsi="Times New Roman" w:cs="Times New Roman"/>
                <w:sz w:val="28"/>
                <w:szCs w:val="28"/>
                <w:vertAlign w:val="superscript"/>
                <w:lang w:val="uk-UA"/>
              </w:rPr>
              <w:t>(підпис)</w:t>
            </w:r>
          </w:p>
        </w:tc>
      </w:tr>
      <w:tr w:rsidR="00AA2058" w:rsidRPr="00042924" w14:paraId="2A0CB928" w14:textId="77777777" w:rsidTr="0029174C">
        <w:tc>
          <w:tcPr>
            <w:tcW w:w="1445" w:type="dxa"/>
          </w:tcPr>
          <w:p w14:paraId="792B1458" w14:textId="77777777" w:rsidR="00AA2058" w:rsidRPr="00042924" w:rsidRDefault="00AA2058" w:rsidP="00AA2058">
            <w:pPr>
              <w:suppressAutoHyphens/>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Керівник:</w:t>
            </w:r>
          </w:p>
        </w:tc>
        <w:tc>
          <w:tcPr>
            <w:tcW w:w="6635" w:type="dxa"/>
            <w:gridSpan w:val="2"/>
          </w:tcPr>
          <w:p w14:paraId="04B87646" w14:textId="77777777" w:rsidR="00AA2058" w:rsidRPr="00042924" w:rsidRDefault="00AC755F" w:rsidP="00AC755F">
            <w:pPr>
              <w:tabs>
                <w:tab w:val="center" w:pos="3209"/>
                <w:tab w:val="right" w:pos="6419"/>
              </w:tabs>
              <w:rPr>
                <w:rFonts w:ascii="Times New Roman" w:eastAsia="Calibri" w:hAnsi="Times New Roman" w:cs="Times New Roman"/>
                <w:sz w:val="28"/>
                <w:szCs w:val="28"/>
                <w:u w:val="single"/>
                <w:lang w:val="uk-UA"/>
              </w:rPr>
            </w:pPr>
            <w:r w:rsidRPr="00AC755F">
              <w:rPr>
                <w:rFonts w:ascii="Times New Roman" w:eastAsia="Calibri" w:hAnsi="Times New Roman" w:cs="Times New Roman"/>
                <w:color w:val="FFFFFF" w:themeColor="background1"/>
                <w:sz w:val="28"/>
                <w:szCs w:val="28"/>
                <w:u w:val="single"/>
                <w:lang w:val="uk-UA"/>
              </w:rPr>
              <w:t>.</w:t>
            </w:r>
            <w:r>
              <w:rPr>
                <w:rFonts w:ascii="Times New Roman" w:eastAsia="Calibri" w:hAnsi="Times New Roman" w:cs="Times New Roman"/>
                <w:sz w:val="28"/>
                <w:szCs w:val="28"/>
                <w:u w:val="single"/>
                <w:lang w:val="uk-UA"/>
              </w:rPr>
              <w:tab/>
            </w:r>
            <w:r w:rsidR="00711EA7" w:rsidRPr="00042924">
              <w:rPr>
                <w:rFonts w:ascii="Times New Roman" w:eastAsia="Calibri" w:hAnsi="Times New Roman" w:cs="Times New Roman"/>
                <w:sz w:val="28"/>
                <w:szCs w:val="28"/>
                <w:u w:val="single"/>
                <w:lang w:val="uk-UA"/>
              </w:rPr>
              <w:t>к</w:t>
            </w:r>
            <w:r w:rsidR="00AA2058" w:rsidRPr="00042924">
              <w:rPr>
                <w:rFonts w:ascii="Times New Roman" w:eastAsia="Calibri" w:hAnsi="Times New Roman" w:cs="Times New Roman"/>
                <w:sz w:val="28"/>
                <w:szCs w:val="28"/>
                <w:u w:val="single"/>
                <w:lang w:val="uk-UA"/>
              </w:rPr>
              <w:t xml:space="preserve">.е.н., </w:t>
            </w:r>
            <w:r w:rsidR="00711EA7" w:rsidRPr="00042924">
              <w:rPr>
                <w:rFonts w:ascii="Times New Roman" w:eastAsia="Calibri" w:hAnsi="Times New Roman" w:cs="Times New Roman"/>
                <w:sz w:val="28"/>
                <w:szCs w:val="28"/>
                <w:u w:val="single"/>
                <w:lang w:val="uk-UA"/>
              </w:rPr>
              <w:t>доцент Ніколайчук О.А.</w:t>
            </w:r>
            <w:r w:rsidR="00AA2058" w:rsidRPr="00042924">
              <w:rPr>
                <w:rFonts w:ascii="Times New Roman" w:eastAsia="Calibri" w:hAnsi="Times New Roman" w:cs="Times New Roman"/>
                <w:sz w:val="28"/>
                <w:szCs w:val="28"/>
                <w:u w:val="single"/>
                <w:lang w:val="uk-UA"/>
              </w:rPr>
              <w:t xml:space="preserve"> </w:t>
            </w:r>
            <w:r>
              <w:rPr>
                <w:rFonts w:ascii="Times New Roman" w:eastAsia="Calibri" w:hAnsi="Times New Roman" w:cs="Times New Roman"/>
                <w:sz w:val="28"/>
                <w:szCs w:val="28"/>
                <w:u w:val="single"/>
                <w:lang w:val="uk-UA"/>
              </w:rPr>
              <w:tab/>
            </w:r>
            <w:r w:rsidRPr="00AC755F">
              <w:rPr>
                <w:rFonts w:ascii="Times New Roman" w:eastAsia="Calibri" w:hAnsi="Times New Roman" w:cs="Times New Roman"/>
                <w:color w:val="FFFFFF" w:themeColor="background1"/>
                <w:sz w:val="28"/>
                <w:szCs w:val="28"/>
                <w:u w:val="single"/>
                <w:lang w:val="uk-UA"/>
              </w:rPr>
              <w:t>.</w:t>
            </w:r>
          </w:p>
          <w:p w14:paraId="339E0A1C" w14:textId="77777777" w:rsidR="00AA2058" w:rsidRPr="00042924" w:rsidRDefault="00AA2058" w:rsidP="00AA2058">
            <w:pPr>
              <w:jc w:val="center"/>
              <w:rPr>
                <w:rFonts w:ascii="Times New Roman" w:eastAsia="Calibri" w:hAnsi="Times New Roman" w:cs="Times New Roman"/>
                <w:sz w:val="28"/>
                <w:szCs w:val="28"/>
                <w:vertAlign w:val="superscript"/>
                <w:lang w:val="uk-UA"/>
              </w:rPr>
            </w:pPr>
            <w:r w:rsidRPr="00042924">
              <w:rPr>
                <w:rFonts w:ascii="Times New Roman" w:eastAsia="Calibri" w:hAnsi="Times New Roman" w:cs="Times New Roman"/>
                <w:sz w:val="28"/>
                <w:szCs w:val="28"/>
                <w:vertAlign w:val="superscript"/>
                <w:lang w:val="uk-UA"/>
              </w:rPr>
              <w:t>(посада, науковий ступінь, вчене звання, прізвище та ініціали)</w:t>
            </w:r>
          </w:p>
        </w:tc>
        <w:tc>
          <w:tcPr>
            <w:tcW w:w="1685" w:type="dxa"/>
          </w:tcPr>
          <w:p w14:paraId="50F6B43B" w14:textId="77777777" w:rsidR="00AA2058" w:rsidRPr="00042924" w:rsidRDefault="00AA2058" w:rsidP="00AA2058">
            <w:pPr>
              <w:suppressAutoHyphens/>
              <w:jc w:val="center"/>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_________</w:t>
            </w:r>
          </w:p>
          <w:p w14:paraId="236D1008" w14:textId="77777777" w:rsidR="00AA2058" w:rsidRPr="00042924" w:rsidRDefault="00AA2058" w:rsidP="00AA2058">
            <w:pPr>
              <w:suppressAutoHyphens/>
              <w:jc w:val="center"/>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vertAlign w:val="superscript"/>
                <w:lang w:val="uk-UA"/>
              </w:rPr>
              <w:t>(підпис)</w:t>
            </w:r>
          </w:p>
        </w:tc>
      </w:tr>
      <w:tr w:rsidR="00AA2058" w:rsidRPr="00042924" w14:paraId="75875FBF" w14:textId="77777777" w:rsidTr="0029174C">
        <w:tc>
          <w:tcPr>
            <w:tcW w:w="5074" w:type="dxa"/>
            <w:gridSpan w:val="2"/>
          </w:tcPr>
          <w:p w14:paraId="4527FA7D" w14:textId="77777777" w:rsidR="00AA2058" w:rsidRPr="00042924" w:rsidRDefault="00AA2058" w:rsidP="00AA2058">
            <w:pPr>
              <w:rPr>
                <w:rFonts w:ascii="Times New Roman" w:eastAsia="Calibri" w:hAnsi="Times New Roman" w:cs="Times New Roman"/>
                <w:sz w:val="28"/>
                <w:szCs w:val="28"/>
                <w:lang w:val="uk-UA"/>
              </w:rPr>
            </w:pPr>
          </w:p>
        </w:tc>
        <w:tc>
          <w:tcPr>
            <w:tcW w:w="4691" w:type="dxa"/>
            <w:gridSpan w:val="2"/>
          </w:tcPr>
          <w:p w14:paraId="29C167C6" w14:textId="77777777" w:rsidR="00762D8A" w:rsidRPr="00042924" w:rsidRDefault="00762D8A" w:rsidP="00AA2058">
            <w:pPr>
              <w:autoSpaceDE w:val="0"/>
              <w:autoSpaceDN w:val="0"/>
              <w:adjustRightInd w:val="0"/>
              <w:jc w:val="both"/>
              <w:rPr>
                <w:rFonts w:ascii="Times New Roman" w:eastAsia="Calibri" w:hAnsi="Times New Roman" w:cs="Times New Roman"/>
                <w:sz w:val="28"/>
                <w:szCs w:val="28"/>
                <w:lang w:val="uk-UA"/>
              </w:rPr>
            </w:pPr>
          </w:p>
          <w:p w14:paraId="7BB6F303" w14:textId="77777777" w:rsidR="00762D8A" w:rsidRPr="00042924" w:rsidRDefault="00762D8A" w:rsidP="00AA2058">
            <w:pPr>
              <w:autoSpaceDE w:val="0"/>
              <w:autoSpaceDN w:val="0"/>
              <w:adjustRightInd w:val="0"/>
              <w:jc w:val="both"/>
              <w:rPr>
                <w:rFonts w:ascii="Times New Roman" w:eastAsia="Calibri" w:hAnsi="Times New Roman" w:cs="Times New Roman"/>
                <w:sz w:val="28"/>
                <w:szCs w:val="28"/>
                <w:lang w:val="uk-UA"/>
              </w:rPr>
            </w:pPr>
          </w:p>
          <w:p w14:paraId="3495C35C" w14:textId="77777777" w:rsidR="00AA2058" w:rsidRPr="00042924" w:rsidRDefault="00AA2058" w:rsidP="00AA2058">
            <w:pPr>
              <w:autoSpaceDE w:val="0"/>
              <w:autoSpaceDN w:val="0"/>
              <w:adjustRightInd w:val="0"/>
              <w:jc w:val="both"/>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70747144" w14:textId="77777777" w:rsidR="00AA2058" w:rsidRPr="00042924" w:rsidRDefault="00AA2058" w:rsidP="00AA2058">
            <w:pPr>
              <w:autoSpaceDE w:val="0"/>
              <w:autoSpaceDN w:val="0"/>
              <w:adjustRightInd w:val="0"/>
              <w:jc w:val="both"/>
              <w:rPr>
                <w:rFonts w:ascii="Times New Roman" w:eastAsia="Calibri" w:hAnsi="Times New Roman" w:cs="Times New Roman"/>
                <w:sz w:val="28"/>
                <w:szCs w:val="28"/>
                <w:lang w:val="uk-UA"/>
              </w:rPr>
            </w:pPr>
            <w:r w:rsidRPr="00042924">
              <w:rPr>
                <w:rFonts w:ascii="Times New Roman" w:eastAsia="Calibri" w:hAnsi="Times New Roman" w:cs="Times New Roman"/>
                <w:sz w:val="28"/>
                <w:szCs w:val="28"/>
                <w:lang w:val="uk-UA"/>
              </w:rPr>
              <w:t>Здобувач вищої освіти  ___________</w:t>
            </w:r>
          </w:p>
          <w:p w14:paraId="3E2A3D88" w14:textId="77777777" w:rsidR="00AA2058" w:rsidRPr="00042924" w:rsidRDefault="00AA2058" w:rsidP="00AA2058">
            <w:pPr>
              <w:autoSpaceDE w:val="0"/>
              <w:autoSpaceDN w:val="0"/>
              <w:adjustRightInd w:val="0"/>
              <w:jc w:val="both"/>
              <w:rPr>
                <w:rFonts w:ascii="Times New Roman" w:eastAsia="Calibri" w:hAnsi="Times New Roman" w:cs="Times New Roman"/>
                <w:sz w:val="28"/>
                <w:szCs w:val="28"/>
                <w:vertAlign w:val="superscript"/>
                <w:lang w:val="uk-UA"/>
              </w:rPr>
            </w:pPr>
            <w:r w:rsidRPr="00042924">
              <w:rPr>
                <w:rFonts w:ascii="Times New Roman" w:eastAsia="Calibri" w:hAnsi="Times New Roman" w:cs="Times New Roman"/>
                <w:sz w:val="28"/>
                <w:szCs w:val="28"/>
                <w:vertAlign w:val="superscript"/>
                <w:lang w:val="uk-UA"/>
              </w:rPr>
              <w:t xml:space="preserve">                                                                    (підпис)</w:t>
            </w:r>
          </w:p>
        </w:tc>
      </w:tr>
    </w:tbl>
    <w:p w14:paraId="65711E51" w14:textId="77777777" w:rsidR="00AA2058" w:rsidRPr="00042924" w:rsidRDefault="00AA2058" w:rsidP="00AA2058">
      <w:pPr>
        <w:suppressAutoHyphens/>
        <w:spacing w:after="0" w:line="240" w:lineRule="auto"/>
        <w:jc w:val="center"/>
        <w:rPr>
          <w:rFonts w:ascii="Times New Roman" w:eastAsia="Calibri" w:hAnsi="Times New Roman" w:cs="Times New Roman"/>
          <w:kern w:val="0"/>
          <w:sz w:val="28"/>
          <w:szCs w:val="28"/>
          <w:lang w:val="uk-UA"/>
          <w14:ligatures w14:val="none"/>
        </w:rPr>
      </w:pPr>
    </w:p>
    <w:p w14:paraId="3FA4F40D" w14:textId="77777777" w:rsidR="00AA2058" w:rsidRPr="00042924" w:rsidRDefault="00AA2058" w:rsidP="00AA2058">
      <w:pPr>
        <w:suppressAutoHyphens/>
        <w:spacing w:after="0" w:line="240" w:lineRule="auto"/>
        <w:jc w:val="center"/>
        <w:rPr>
          <w:rFonts w:ascii="Times New Roman" w:eastAsia="Calibri" w:hAnsi="Times New Roman" w:cs="Times New Roman"/>
          <w:kern w:val="0"/>
          <w:sz w:val="28"/>
          <w:szCs w:val="28"/>
          <w:lang w:val="uk-UA"/>
          <w14:ligatures w14:val="none"/>
        </w:rPr>
      </w:pPr>
    </w:p>
    <w:p w14:paraId="36335C68" w14:textId="77777777" w:rsidR="00762D8A" w:rsidRPr="00042924" w:rsidRDefault="00762D8A" w:rsidP="00AA2058">
      <w:pPr>
        <w:suppressAutoHyphens/>
        <w:spacing w:after="0" w:line="240" w:lineRule="auto"/>
        <w:jc w:val="center"/>
        <w:rPr>
          <w:rFonts w:ascii="Times New Roman" w:eastAsia="Calibri" w:hAnsi="Times New Roman" w:cs="Times New Roman"/>
          <w:kern w:val="0"/>
          <w:sz w:val="28"/>
          <w:szCs w:val="28"/>
          <w:lang w:val="uk-UA"/>
          <w14:ligatures w14:val="none"/>
        </w:rPr>
      </w:pPr>
    </w:p>
    <w:p w14:paraId="6B6CD8C5" w14:textId="77777777" w:rsidR="00AA2058" w:rsidRPr="00042924" w:rsidRDefault="00AA2058" w:rsidP="00AA2058">
      <w:pPr>
        <w:suppressAutoHyphens/>
        <w:spacing w:after="0" w:line="240" w:lineRule="auto"/>
        <w:jc w:val="center"/>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Кривий Ріг</w:t>
      </w:r>
    </w:p>
    <w:p w14:paraId="49C4F959" w14:textId="77777777" w:rsidR="00AA2058" w:rsidRPr="00042924" w:rsidRDefault="00AA2058" w:rsidP="00AA2058">
      <w:pPr>
        <w:suppressAutoHyphens/>
        <w:spacing w:after="0" w:line="240" w:lineRule="auto"/>
        <w:jc w:val="center"/>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2023</w:t>
      </w:r>
      <w:r w:rsidRPr="00042924">
        <w:rPr>
          <w:rFonts w:ascii="Times New Roman" w:eastAsia="Calibri" w:hAnsi="Times New Roman" w:cs="Times New Roman"/>
          <w:kern w:val="0"/>
          <w:sz w:val="28"/>
          <w:szCs w:val="28"/>
          <w:lang w:val="uk-UA"/>
          <w14:ligatures w14:val="none"/>
        </w:rPr>
        <w:br w:type="page"/>
      </w:r>
    </w:p>
    <w:p w14:paraId="249EA7DF" w14:textId="77777777" w:rsidR="00AA2058" w:rsidRPr="00042924" w:rsidRDefault="00AA2058" w:rsidP="00AA2058">
      <w:pPr>
        <w:spacing w:after="0" w:line="240" w:lineRule="auto"/>
        <w:jc w:val="center"/>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lastRenderedPageBreak/>
        <w:t>МІНІСТЕРСТВО ОСВІТИ І НАУКИ УКРАЇНИ</w:t>
      </w:r>
    </w:p>
    <w:p w14:paraId="759AD5FF"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ДОНЕЦЬКИЙ НАЦІОНАЛЬНИЙ УНІВЕРСИТЕТ ЕКОНОМІКИ І ТОРГІВЛІ</w:t>
      </w:r>
    </w:p>
    <w:p w14:paraId="50109C7C" w14:textId="77777777" w:rsidR="00AA2058" w:rsidRPr="00042924" w:rsidRDefault="00AA2058" w:rsidP="00AA2058">
      <w:pPr>
        <w:spacing w:after="0" w:line="240" w:lineRule="auto"/>
        <w:jc w:val="center"/>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імені Михайла </w:t>
      </w:r>
      <w:r w:rsidRPr="00042924">
        <w:rPr>
          <w:rFonts w:ascii="Times New Roman" w:eastAsia="Times New Roman" w:hAnsi="Times New Roman" w:cs="Times New Roman"/>
          <w:spacing w:val="2"/>
          <w:kern w:val="0"/>
          <w:sz w:val="28"/>
          <w:szCs w:val="28"/>
          <w:lang w:val="uk-UA" w:eastAsia="ru-RU"/>
          <w14:ligatures w14:val="none"/>
        </w:rPr>
        <w:t>Туган</w:t>
      </w:r>
      <w:r w:rsidRPr="00042924">
        <w:rPr>
          <w:rFonts w:ascii="Times New Roman" w:eastAsia="Times New Roman" w:hAnsi="Times New Roman" w:cs="Times New Roman"/>
          <w:kern w:val="0"/>
          <w:sz w:val="28"/>
          <w:szCs w:val="28"/>
          <w:lang w:val="uk-UA" w:eastAsia="ru-RU"/>
          <w14:ligatures w14:val="none"/>
        </w:rPr>
        <w:t>-Барановського</w:t>
      </w:r>
    </w:p>
    <w:p w14:paraId="28501CD6"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eastAsia="ru-RU"/>
          <w14:ligatures w14:val="none"/>
        </w:rPr>
      </w:pPr>
    </w:p>
    <w:p w14:paraId="246F04C7" w14:textId="77777777" w:rsidR="00AA2058" w:rsidRPr="00042924" w:rsidRDefault="00AA2058" w:rsidP="00AA2058">
      <w:pPr>
        <w:spacing w:after="0" w:line="240" w:lineRule="auto"/>
        <w:ind w:left="851"/>
        <w:rPr>
          <w:rFonts w:ascii="Times New Roman" w:eastAsia="Times New Roman" w:hAnsi="Times New Roman" w:cs="Times New Roman"/>
          <w:kern w:val="0"/>
          <w:sz w:val="28"/>
          <w:szCs w:val="28"/>
          <w:u w:val="single"/>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Навчально-науковий інститут </w:t>
      </w:r>
      <w:hyperlink r:id="rId10" w:tooltip="Навчально-науковий інститут ресторанно-готельного бізнесу та туризму" w:history="1">
        <w:r w:rsidRPr="00042924">
          <w:rPr>
            <w:rFonts w:ascii="Times New Roman" w:eastAsia="Times New Roman" w:hAnsi="Times New Roman" w:cs="Times New Roman"/>
            <w:kern w:val="0"/>
            <w:sz w:val="28"/>
            <w:szCs w:val="28"/>
            <w:u w:val="single"/>
            <w:lang w:val="uk-UA" w:eastAsia="ru-RU"/>
            <w14:ligatures w14:val="none"/>
          </w:rPr>
          <w:t>ресторанно-готельного бізнесу та туризму</w:t>
        </w:r>
      </w:hyperlink>
    </w:p>
    <w:p w14:paraId="52170143" w14:textId="77777777" w:rsidR="00AA2058" w:rsidRPr="00042924" w:rsidRDefault="00AA2058" w:rsidP="00AA2058">
      <w:pPr>
        <w:tabs>
          <w:tab w:val="left" w:pos="3402"/>
          <w:tab w:val="left" w:pos="4111"/>
        </w:tabs>
        <w:spacing w:after="0" w:line="240" w:lineRule="auto"/>
        <w:ind w:left="851"/>
        <w:jc w:val="both"/>
        <w:rPr>
          <w:rFonts w:ascii="Times New Roman" w:eastAsia="Times New Roman" w:hAnsi="Times New Roman" w:cs="Times New Roman"/>
          <w:kern w:val="0"/>
          <w:sz w:val="28"/>
          <w:szCs w:val="28"/>
          <w:u w:val="single"/>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Кафедра </w:t>
      </w:r>
      <w:hyperlink r:id="rId11" w:tooltip="Кафедра технологій в ресторанному господарстві, готельно-ресторанної справи та підприємництва" w:history="1">
        <w:r w:rsidRPr="00042924">
          <w:rPr>
            <w:rFonts w:ascii="Times New Roman" w:eastAsia="Times New Roman" w:hAnsi="Times New Roman" w:cs="Times New Roman"/>
            <w:kern w:val="0"/>
            <w:sz w:val="28"/>
            <w:szCs w:val="28"/>
            <w:u w:val="single"/>
            <w:lang w:val="uk-UA" w:eastAsia="ru-RU"/>
            <w14:ligatures w14:val="none"/>
          </w:rPr>
          <w:t>технологій в ресторанному господарстві, готельно-ресторанної справи та підприємництва</w:t>
        </w:r>
      </w:hyperlink>
    </w:p>
    <w:p w14:paraId="57983F4E" w14:textId="77777777" w:rsidR="00AA2058" w:rsidRPr="00042924" w:rsidRDefault="00AA2058" w:rsidP="00AA2058">
      <w:pPr>
        <w:spacing w:after="0" w:line="240" w:lineRule="auto"/>
        <w:ind w:left="851"/>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 xml:space="preserve">Форма здобуття вищої освіти </w:t>
      </w:r>
      <w:r w:rsidRPr="00042924">
        <w:rPr>
          <w:rFonts w:ascii="Times New Roman" w:eastAsia="Calibri" w:hAnsi="Times New Roman" w:cs="Times New Roman"/>
          <w:kern w:val="0"/>
          <w:sz w:val="28"/>
          <w:szCs w:val="28"/>
          <w:u w:val="single"/>
          <w:lang w:val="uk-UA"/>
          <w14:ligatures w14:val="none"/>
        </w:rPr>
        <w:t>денна</w:t>
      </w:r>
    </w:p>
    <w:p w14:paraId="06C1769F" w14:textId="77777777" w:rsidR="00AA2058" w:rsidRPr="00042924" w:rsidRDefault="00AA2058" w:rsidP="00AA2058">
      <w:pPr>
        <w:spacing w:after="0" w:line="240" w:lineRule="auto"/>
        <w:ind w:left="851"/>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 xml:space="preserve">Ступінь </w:t>
      </w:r>
      <w:r w:rsidRPr="00042924">
        <w:rPr>
          <w:rFonts w:ascii="Times New Roman" w:eastAsia="Calibri" w:hAnsi="Times New Roman" w:cs="Times New Roman"/>
          <w:kern w:val="0"/>
          <w:sz w:val="28"/>
          <w:szCs w:val="28"/>
          <w:u w:val="single"/>
          <w:lang w:val="uk-UA"/>
          <w14:ligatures w14:val="none"/>
        </w:rPr>
        <w:t>магістр</w:t>
      </w:r>
    </w:p>
    <w:p w14:paraId="46F058B9" w14:textId="77777777" w:rsidR="00AA2058" w:rsidRPr="00042924" w:rsidRDefault="00AA2058" w:rsidP="00AA2058">
      <w:pPr>
        <w:spacing w:after="0" w:line="240" w:lineRule="auto"/>
        <w:ind w:left="851"/>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 xml:space="preserve">Галузь знань </w:t>
      </w:r>
      <w:r w:rsidRPr="00042924">
        <w:rPr>
          <w:rFonts w:ascii="Times New Roman" w:eastAsia="Calibri" w:hAnsi="Times New Roman" w:cs="Times New Roman"/>
          <w:kern w:val="0"/>
          <w:sz w:val="28"/>
          <w:szCs w:val="28"/>
          <w:u w:val="single"/>
          <w:lang w:val="uk-UA"/>
          <w14:ligatures w14:val="none"/>
        </w:rPr>
        <w:t>07  «</w:t>
      </w:r>
      <w:r w:rsidRPr="00042924">
        <w:rPr>
          <w:rFonts w:ascii="Times New Roman" w:eastAsia="Calibri" w:hAnsi="Times New Roman" w:cs="Times New Roman"/>
          <w:color w:val="000000"/>
          <w:kern w:val="0"/>
          <w:sz w:val="28"/>
          <w:szCs w:val="28"/>
          <w:u w:val="single"/>
          <w:shd w:val="clear" w:color="auto" w:fill="FFFFFF"/>
          <w:lang w:val="uk-UA"/>
          <w14:ligatures w14:val="none"/>
        </w:rPr>
        <w:t>Управління та адміністрування</w:t>
      </w:r>
      <w:r w:rsidRPr="00042924">
        <w:rPr>
          <w:rFonts w:ascii="Times New Roman" w:eastAsia="Calibri" w:hAnsi="Times New Roman" w:cs="Times New Roman"/>
          <w:kern w:val="0"/>
          <w:sz w:val="28"/>
          <w:szCs w:val="28"/>
          <w:u w:val="single"/>
          <w:lang w:val="uk-UA"/>
          <w14:ligatures w14:val="none"/>
        </w:rPr>
        <w:t>»</w:t>
      </w:r>
    </w:p>
    <w:p w14:paraId="0D889C6F" w14:textId="77777777" w:rsidR="00AA2058" w:rsidRPr="00042924" w:rsidRDefault="00AA2058" w:rsidP="00AA2058">
      <w:pPr>
        <w:spacing w:after="0" w:line="240" w:lineRule="auto"/>
        <w:ind w:left="851"/>
        <w:rPr>
          <w:rFonts w:ascii="Times New Roman" w:eastAsia="Calibri" w:hAnsi="Times New Roman" w:cs="Times New Roman"/>
          <w:kern w:val="0"/>
          <w:sz w:val="28"/>
          <w:szCs w:val="28"/>
          <w:u w:val="single"/>
          <w:lang w:val="uk-UA"/>
          <w14:ligatures w14:val="none"/>
        </w:rPr>
      </w:pPr>
      <w:r w:rsidRPr="00042924">
        <w:rPr>
          <w:rFonts w:ascii="Times New Roman" w:eastAsia="Calibri" w:hAnsi="Times New Roman" w:cs="Times New Roman"/>
          <w:bCs/>
          <w:kern w:val="0"/>
          <w:sz w:val="28"/>
          <w:szCs w:val="28"/>
          <w:lang w:val="uk-UA"/>
          <w14:ligatures w14:val="none"/>
        </w:rPr>
        <w:t xml:space="preserve">Освітня програма </w:t>
      </w:r>
      <w:r w:rsidRPr="00042924">
        <w:rPr>
          <w:rFonts w:ascii="Times New Roman" w:eastAsia="Calibri" w:hAnsi="Times New Roman" w:cs="Times New Roman"/>
          <w:kern w:val="0"/>
          <w:sz w:val="28"/>
          <w:szCs w:val="28"/>
          <w:u w:val="single"/>
          <w:lang w:val="uk-UA"/>
          <w14:ligatures w14:val="none"/>
        </w:rPr>
        <w:t>Антисипативне управління бізнесом</w:t>
      </w:r>
    </w:p>
    <w:p w14:paraId="4CE5FF07" w14:textId="77777777" w:rsidR="00AA2058" w:rsidRPr="00042924" w:rsidRDefault="00AA2058" w:rsidP="00AA2058">
      <w:pPr>
        <w:spacing w:after="0" w:line="240" w:lineRule="auto"/>
        <w:jc w:val="center"/>
        <w:rPr>
          <w:rFonts w:ascii="Times New Roman" w:eastAsia="Calibri" w:hAnsi="Times New Roman" w:cs="Times New Roman"/>
          <w:kern w:val="0"/>
          <w:sz w:val="28"/>
          <w:szCs w:val="28"/>
          <w:lang w:val="uk-UA"/>
          <w14:ligatures w14:val="none"/>
        </w:rPr>
      </w:pPr>
    </w:p>
    <w:p w14:paraId="2E758BEE" w14:textId="77777777" w:rsidR="00AA2058" w:rsidRPr="00042924" w:rsidRDefault="00AA2058" w:rsidP="00AA2058">
      <w:pPr>
        <w:spacing w:after="0" w:line="240" w:lineRule="auto"/>
        <w:jc w:val="center"/>
        <w:rPr>
          <w:rFonts w:ascii="Times New Roman" w:eastAsia="Calibri" w:hAnsi="Times New Roman" w:cs="Times New Roman"/>
          <w:kern w:val="0"/>
          <w:sz w:val="28"/>
          <w:szCs w:val="28"/>
          <w:lang w:val="uk-UA"/>
          <w14:ligatures w14:val="none"/>
        </w:rPr>
      </w:pPr>
    </w:p>
    <w:p w14:paraId="6E8601E0" w14:textId="77777777" w:rsidR="00AA2058" w:rsidRPr="00042924" w:rsidRDefault="00AA2058" w:rsidP="00AA2058">
      <w:pPr>
        <w:spacing w:after="0" w:line="240" w:lineRule="auto"/>
        <w:jc w:val="center"/>
        <w:rPr>
          <w:rFonts w:ascii="Times New Roman" w:eastAsia="Times New Roman" w:hAnsi="Times New Roman" w:cs="Times New Roman"/>
          <w:kern w:val="0"/>
          <w:sz w:val="28"/>
          <w:szCs w:val="28"/>
          <w:lang w:val="uk-UA" w:eastAsia="ru-RU"/>
          <w14:ligatures w14:val="none"/>
        </w:rPr>
      </w:pPr>
    </w:p>
    <w:tbl>
      <w:tblPr>
        <w:tblW w:w="0" w:type="auto"/>
        <w:jc w:val="right"/>
        <w:tblLook w:val="04A0" w:firstRow="1" w:lastRow="0" w:firstColumn="1" w:lastColumn="0" w:noHBand="0" w:noVBand="1"/>
      </w:tblPr>
      <w:tblGrid>
        <w:gridCol w:w="4955"/>
      </w:tblGrid>
      <w:tr w:rsidR="00AA2058" w:rsidRPr="00042924" w14:paraId="08E4E846" w14:textId="77777777" w:rsidTr="0029174C">
        <w:trPr>
          <w:trHeight w:val="1534"/>
          <w:jc w:val="right"/>
        </w:trPr>
        <w:tc>
          <w:tcPr>
            <w:tcW w:w="4955" w:type="dxa"/>
          </w:tcPr>
          <w:p w14:paraId="2602D51B" w14:textId="77777777" w:rsidR="00AA2058" w:rsidRPr="00042924" w:rsidRDefault="00AA2058" w:rsidP="00AA2058">
            <w:pPr>
              <w:tabs>
                <w:tab w:val="left" w:pos="4111"/>
              </w:tabs>
              <w:spacing w:after="0" w:line="240" w:lineRule="auto"/>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ЗАТВЕРДЖУЮ:</w:t>
            </w:r>
          </w:p>
          <w:p w14:paraId="55B6217B" w14:textId="77777777" w:rsidR="00AA2058" w:rsidRPr="00042924" w:rsidRDefault="00AA2058" w:rsidP="00AA2058">
            <w:pPr>
              <w:tabs>
                <w:tab w:val="left" w:pos="4111"/>
              </w:tabs>
              <w:spacing w:after="0" w:line="240" w:lineRule="auto"/>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Гарант освітньої програми </w:t>
            </w:r>
          </w:p>
          <w:p w14:paraId="472F601F" w14:textId="77777777" w:rsidR="00AA2058" w:rsidRPr="00042924" w:rsidRDefault="00AA2058" w:rsidP="00AA2058">
            <w:pPr>
              <w:tabs>
                <w:tab w:val="left" w:pos="4111"/>
              </w:tabs>
              <w:spacing w:after="0" w:line="240" w:lineRule="auto"/>
              <w:jc w:val="both"/>
              <w:rPr>
                <w:rFonts w:ascii="Times New Roman" w:eastAsia="Times New Roman" w:hAnsi="Times New Roman" w:cs="Times New Roman"/>
                <w:kern w:val="0"/>
                <w:sz w:val="28"/>
                <w:szCs w:val="28"/>
                <w:vertAlign w:val="superscript"/>
                <w:lang w:val="uk-UA"/>
                <w14:ligatures w14:val="none"/>
              </w:rPr>
            </w:pPr>
            <w:r w:rsidRPr="00042924">
              <w:rPr>
                <w:rFonts w:ascii="Times New Roman" w:eastAsia="Times New Roman" w:hAnsi="Times New Roman" w:cs="Times New Roman"/>
                <w:kern w:val="0"/>
                <w:sz w:val="28"/>
                <w:szCs w:val="28"/>
                <w:lang w:val="uk-UA"/>
                <w14:ligatures w14:val="none"/>
              </w:rPr>
              <w:t xml:space="preserve">___________________ </w:t>
            </w:r>
            <w:r w:rsidRPr="00042924">
              <w:rPr>
                <w:rFonts w:ascii="Times New Roman" w:eastAsia="Times New Roman" w:hAnsi="Times New Roman" w:cs="Times New Roman"/>
                <w:kern w:val="0"/>
                <w:sz w:val="28"/>
                <w:szCs w:val="28"/>
                <w:u w:val="single"/>
                <w:lang w:val="uk-UA"/>
                <w14:ligatures w14:val="none"/>
              </w:rPr>
              <w:t>Приймак Н.С.</w:t>
            </w:r>
            <w:r w:rsidRPr="00042924">
              <w:rPr>
                <w:rFonts w:ascii="Times New Roman" w:eastAsia="Times New Roman" w:hAnsi="Times New Roman" w:cs="Times New Roman"/>
                <w:kern w:val="0"/>
                <w:sz w:val="28"/>
                <w:szCs w:val="28"/>
                <w:vertAlign w:val="superscript"/>
                <w:lang w:val="uk-UA"/>
                <w14:ligatures w14:val="none"/>
              </w:rPr>
              <w:t xml:space="preserve">                             підпис</w:t>
            </w:r>
          </w:p>
          <w:p w14:paraId="7F876970"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«_____» ________________ 20___ р.</w:t>
            </w:r>
          </w:p>
        </w:tc>
      </w:tr>
    </w:tbl>
    <w:p w14:paraId="50AF7F33" w14:textId="77777777" w:rsidR="00AA2058" w:rsidRPr="00042924" w:rsidRDefault="00AA2058" w:rsidP="00AA2058">
      <w:pPr>
        <w:keepNext/>
        <w:autoSpaceDE w:val="0"/>
        <w:autoSpaceDN w:val="0"/>
        <w:adjustRightInd w:val="0"/>
        <w:spacing w:after="0" w:line="240" w:lineRule="auto"/>
        <w:jc w:val="right"/>
        <w:rPr>
          <w:rFonts w:ascii="Times New Roman" w:eastAsia="Times New Roman" w:hAnsi="Times New Roman" w:cs="Times New Roman"/>
          <w:kern w:val="0"/>
          <w:sz w:val="28"/>
          <w:szCs w:val="28"/>
          <w:lang w:val="uk-UA" w:eastAsia="ru-RU"/>
          <w14:ligatures w14:val="none"/>
        </w:rPr>
      </w:pPr>
    </w:p>
    <w:p w14:paraId="77AFA316" w14:textId="77777777" w:rsidR="00AA2058" w:rsidRPr="00042924" w:rsidRDefault="00AA2058" w:rsidP="00AA2058">
      <w:pPr>
        <w:keepNext/>
        <w:autoSpaceDE w:val="0"/>
        <w:autoSpaceDN w:val="0"/>
        <w:adjustRightInd w:val="0"/>
        <w:spacing w:after="0" w:line="240" w:lineRule="auto"/>
        <w:ind w:firstLine="142"/>
        <w:jc w:val="center"/>
        <w:rPr>
          <w:rFonts w:ascii="Times New Roman" w:eastAsia="Times New Roman" w:hAnsi="Times New Roman" w:cs="Times New Roman"/>
          <w:b/>
          <w:bCs/>
          <w:kern w:val="0"/>
          <w:sz w:val="28"/>
          <w:szCs w:val="28"/>
          <w:lang w:val="uk-UA" w:eastAsia="ru-RU"/>
          <w14:ligatures w14:val="none"/>
        </w:rPr>
      </w:pPr>
    </w:p>
    <w:p w14:paraId="281081D9" w14:textId="77777777" w:rsidR="00AA2058" w:rsidRPr="00042924" w:rsidRDefault="00AA2058" w:rsidP="00AA2058">
      <w:pPr>
        <w:keepNext/>
        <w:autoSpaceDE w:val="0"/>
        <w:autoSpaceDN w:val="0"/>
        <w:adjustRightInd w:val="0"/>
        <w:spacing w:after="0" w:line="240" w:lineRule="auto"/>
        <w:jc w:val="center"/>
        <w:rPr>
          <w:rFonts w:ascii="Times New Roman" w:eastAsia="Times New Roman" w:hAnsi="Times New Roman" w:cs="Times New Roman"/>
          <w:b/>
          <w:bCs/>
          <w:kern w:val="0"/>
          <w:sz w:val="28"/>
          <w:szCs w:val="28"/>
          <w:lang w:val="uk-UA" w:eastAsia="ru-RU"/>
          <w14:ligatures w14:val="none"/>
        </w:rPr>
      </w:pPr>
      <w:r w:rsidRPr="00042924">
        <w:rPr>
          <w:rFonts w:ascii="Times New Roman" w:eastAsia="Times New Roman" w:hAnsi="Times New Roman" w:cs="Times New Roman"/>
          <w:b/>
          <w:bCs/>
          <w:kern w:val="0"/>
          <w:sz w:val="28"/>
          <w:szCs w:val="28"/>
          <w:lang w:val="uk-UA" w:eastAsia="ru-RU"/>
          <w14:ligatures w14:val="none"/>
        </w:rPr>
        <w:t>ЗАВДАННЯ</w:t>
      </w:r>
    </w:p>
    <w:p w14:paraId="1C52293E" w14:textId="77777777" w:rsidR="00AA2058" w:rsidRPr="00042924" w:rsidRDefault="00AA2058" w:rsidP="00AA2058">
      <w:pPr>
        <w:keepNext/>
        <w:autoSpaceDE w:val="0"/>
        <w:autoSpaceDN w:val="0"/>
        <w:adjustRightInd w:val="0"/>
        <w:spacing w:after="0" w:line="240" w:lineRule="auto"/>
        <w:jc w:val="center"/>
        <w:rPr>
          <w:rFonts w:ascii="Times New Roman" w:eastAsia="Times New Roman" w:hAnsi="Times New Roman" w:cs="Times New Roman"/>
          <w:b/>
          <w:bCs/>
          <w:kern w:val="0"/>
          <w:sz w:val="28"/>
          <w:szCs w:val="28"/>
          <w:lang w:val="uk-UA" w:eastAsia="ru-RU"/>
          <w14:ligatures w14:val="none"/>
        </w:rPr>
      </w:pPr>
      <w:r w:rsidRPr="00042924">
        <w:rPr>
          <w:rFonts w:ascii="Times New Roman" w:eastAsia="Times New Roman" w:hAnsi="Times New Roman" w:cs="Times New Roman"/>
          <w:b/>
          <w:bCs/>
          <w:kern w:val="0"/>
          <w:sz w:val="28"/>
          <w:szCs w:val="28"/>
          <w:lang w:val="uk-UA" w:eastAsia="ru-RU"/>
          <w14:ligatures w14:val="none"/>
        </w:rPr>
        <w:t>НА КВАЛІФІКАЦІЙНУ РОБОТУ ЗДОБУВАЧУ ВИЩОЇ ОСВІТИ</w:t>
      </w:r>
    </w:p>
    <w:p w14:paraId="1704E6F9" w14:textId="77777777" w:rsidR="00AA2058" w:rsidRPr="00042924" w:rsidRDefault="00D7669C" w:rsidP="00D7669C">
      <w:pPr>
        <w:pBdr>
          <w:bottom w:val="single" w:sz="12" w:space="1" w:color="auto"/>
        </w:pBdr>
        <w:autoSpaceDE w:val="0"/>
        <w:autoSpaceDN w:val="0"/>
        <w:adjustRightInd w:val="0"/>
        <w:spacing w:after="0" w:line="240" w:lineRule="auto"/>
        <w:jc w:val="center"/>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Кочерги Сергія Костянтиновича</w:t>
      </w:r>
    </w:p>
    <w:p w14:paraId="321DA1D2"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vertAlign w:val="superscript"/>
          <w:lang w:val="uk-UA" w:eastAsia="ru-RU"/>
          <w14:ligatures w14:val="none"/>
        </w:rPr>
      </w:pPr>
      <w:r w:rsidRPr="00042924">
        <w:rPr>
          <w:rFonts w:ascii="Times New Roman" w:eastAsia="Times New Roman" w:hAnsi="Times New Roman" w:cs="Times New Roman"/>
          <w:kern w:val="0"/>
          <w:sz w:val="28"/>
          <w:szCs w:val="28"/>
          <w:vertAlign w:val="superscript"/>
          <w:lang w:val="uk-UA" w:eastAsia="ru-RU"/>
          <w14:ligatures w14:val="none"/>
        </w:rPr>
        <w:t>прізвище, ім’я, по батькові</w:t>
      </w:r>
    </w:p>
    <w:p w14:paraId="35D5B414"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b/>
          <w:kern w:val="0"/>
          <w:sz w:val="28"/>
          <w:szCs w:val="28"/>
          <w:u w:val="single"/>
          <w:vertAlign w:val="superscript"/>
          <w:lang w:val="uk-UA" w:eastAsia="ru-RU"/>
          <w14:ligatures w14:val="none"/>
        </w:rPr>
      </w:pPr>
    </w:p>
    <w:p w14:paraId="626A4558" w14:textId="77777777" w:rsidR="00AA2058" w:rsidRPr="00042924" w:rsidRDefault="00AA2058" w:rsidP="00AA2058">
      <w:pPr>
        <w:spacing w:after="0" w:line="240" w:lineRule="auto"/>
        <w:jc w:val="both"/>
        <w:rPr>
          <w:rFonts w:ascii="Times New Roman" w:eastAsia="Times New Roman" w:hAnsi="Times New Roman" w:cs="Times New Roman"/>
          <w:b/>
          <w:kern w:val="0"/>
          <w:sz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1.Тема роботи: </w:t>
      </w:r>
      <w:r w:rsidR="00D7669C" w:rsidRPr="00042924">
        <w:rPr>
          <w:rFonts w:ascii="Times New Roman" w:eastAsia="Calibri" w:hAnsi="Times New Roman" w:cs="Times New Roman"/>
          <w:kern w:val="0"/>
          <w:sz w:val="28"/>
          <w:szCs w:val="28"/>
          <w:u w:val="single"/>
          <w:lang w:val="uk-UA"/>
          <w14:ligatures w14:val="none"/>
        </w:rPr>
        <w:t>Діагностика банкрутства і розробка заходів його запобігання</w:t>
      </w:r>
    </w:p>
    <w:p w14:paraId="21F33842" w14:textId="77777777" w:rsidR="00AA2058" w:rsidRPr="00042924" w:rsidRDefault="00AA2058" w:rsidP="00AA2058">
      <w:pPr>
        <w:autoSpaceDE w:val="0"/>
        <w:autoSpaceDN w:val="0"/>
        <w:adjustRightInd w:val="0"/>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Керівник роботи </w:t>
      </w:r>
      <w:r w:rsidR="00803760" w:rsidRPr="00803760">
        <w:rPr>
          <w:rFonts w:ascii="Times New Roman" w:eastAsia="Times New Roman" w:hAnsi="Times New Roman" w:cs="Times New Roman"/>
          <w:color w:val="FFFFFF" w:themeColor="background1"/>
          <w:kern w:val="0"/>
          <w:sz w:val="28"/>
          <w:szCs w:val="28"/>
          <w:u w:val="single"/>
          <w:lang w:val="uk-UA" w:eastAsia="ru-RU"/>
          <w14:ligatures w14:val="none"/>
        </w:rPr>
        <w:t>.</w:t>
      </w:r>
      <w:r w:rsidR="00803760" w:rsidRPr="00803760">
        <w:rPr>
          <w:rFonts w:ascii="Times New Roman" w:eastAsia="Times New Roman" w:hAnsi="Times New Roman" w:cs="Times New Roman"/>
          <w:kern w:val="0"/>
          <w:sz w:val="28"/>
          <w:szCs w:val="28"/>
          <w:u w:val="single"/>
          <w:lang w:val="uk-UA" w:eastAsia="ru-RU"/>
          <w14:ligatures w14:val="none"/>
        </w:rPr>
        <w:t xml:space="preserve">        </w:t>
      </w:r>
      <w:r w:rsidR="00D7669C" w:rsidRPr="00803760">
        <w:rPr>
          <w:rFonts w:ascii="Times New Roman" w:eastAsia="Times New Roman" w:hAnsi="Times New Roman" w:cs="Times New Roman"/>
          <w:kern w:val="0"/>
          <w:sz w:val="28"/>
          <w:szCs w:val="28"/>
          <w:u w:val="single"/>
          <w:lang w:val="uk-UA" w:eastAsia="ru-RU"/>
          <w14:ligatures w14:val="none"/>
        </w:rPr>
        <w:t>к</w:t>
      </w:r>
      <w:r w:rsidRPr="00042924">
        <w:rPr>
          <w:rFonts w:ascii="Times New Roman" w:eastAsia="Times New Roman" w:hAnsi="Times New Roman" w:cs="Times New Roman"/>
          <w:kern w:val="0"/>
          <w:sz w:val="28"/>
          <w:szCs w:val="28"/>
          <w:u w:val="single"/>
          <w:lang w:val="uk-UA" w:eastAsia="ru-RU"/>
          <w14:ligatures w14:val="none"/>
        </w:rPr>
        <w:t xml:space="preserve">.е.н., </w:t>
      </w:r>
      <w:r w:rsidR="00D7669C" w:rsidRPr="00042924">
        <w:rPr>
          <w:rFonts w:ascii="Times New Roman" w:eastAsia="Times New Roman" w:hAnsi="Times New Roman" w:cs="Times New Roman"/>
          <w:kern w:val="0"/>
          <w:sz w:val="28"/>
          <w:szCs w:val="28"/>
          <w:u w:val="single"/>
          <w:lang w:val="uk-UA" w:eastAsia="ru-RU"/>
          <w14:ligatures w14:val="none"/>
        </w:rPr>
        <w:t>доцент</w:t>
      </w:r>
      <w:r w:rsidRPr="00042924">
        <w:rPr>
          <w:rFonts w:ascii="Times New Roman" w:eastAsia="Times New Roman" w:hAnsi="Times New Roman" w:cs="Times New Roman"/>
          <w:kern w:val="0"/>
          <w:sz w:val="28"/>
          <w:szCs w:val="28"/>
          <w:u w:val="single"/>
          <w:lang w:val="uk-UA" w:eastAsia="ru-RU"/>
          <w14:ligatures w14:val="none"/>
        </w:rPr>
        <w:t xml:space="preserve"> </w:t>
      </w:r>
      <w:r w:rsidR="00C040D2" w:rsidRPr="00042924">
        <w:rPr>
          <w:rFonts w:ascii="Times New Roman" w:eastAsia="Times New Roman" w:hAnsi="Times New Roman" w:cs="Times New Roman"/>
          <w:kern w:val="0"/>
          <w:sz w:val="28"/>
          <w:szCs w:val="28"/>
          <w:u w:val="single"/>
          <w:lang w:val="uk-UA" w:eastAsia="ru-RU"/>
          <w14:ligatures w14:val="none"/>
        </w:rPr>
        <w:t xml:space="preserve">Ніколайчук Ольга Анатоліївна </w:t>
      </w:r>
      <w:r w:rsidR="00803760">
        <w:rPr>
          <w:rFonts w:ascii="Times New Roman" w:eastAsia="Times New Roman" w:hAnsi="Times New Roman" w:cs="Times New Roman"/>
          <w:kern w:val="0"/>
          <w:sz w:val="28"/>
          <w:szCs w:val="28"/>
          <w:u w:val="single"/>
          <w:lang w:val="uk-UA" w:eastAsia="ru-RU"/>
          <w14:ligatures w14:val="none"/>
        </w:rPr>
        <w:t xml:space="preserve">                </w:t>
      </w:r>
      <w:r w:rsidR="00803760" w:rsidRPr="00803760">
        <w:rPr>
          <w:rFonts w:ascii="Times New Roman" w:eastAsia="Times New Roman" w:hAnsi="Times New Roman" w:cs="Times New Roman"/>
          <w:color w:val="FFFFFF" w:themeColor="background1"/>
          <w:kern w:val="0"/>
          <w:sz w:val="28"/>
          <w:szCs w:val="28"/>
          <w:u w:val="single"/>
          <w:lang w:val="uk-UA" w:eastAsia="ru-RU"/>
          <w14:ligatures w14:val="none"/>
        </w:rPr>
        <w:t>.</w:t>
      </w:r>
      <w:r w:rsidR="00803760">
        <w:rPr>
          <w:rFonts w:ascii="Times New Roman" w:eastAsia="Times New Roman" w:hAnsi="Times New Roman" w:cs="Times New Roman"/>
          <w:kern w:val="0"/>
          <w:sz w:val="28"/>
          <w:szCs w:val="28"/>
          <w:u w:val="single"/>
          <w:lang w:val="uk-UA" w:eastAsia="ru-RU"/>
          <w14:ligatures w14:val="none"/>
        </w:rPr>
        <w:t xml:space="preserve">          </w:t>
      </w:r>
    </w:p>
    <w:p w14:paraId="0AC1F60D" w14:textId="77777777" w:rsidR="00AA2058" w:rsidRPr="00042924" w:rsidRDefault="00AA2058" w:rsidP="00AA2058">
      <w:pPr>
        <w:autoSpaceDE w:val="0"/>
        <w:autoSpaceDN w:val="0"/>
        <w:adjustRightInd w:val="0"/>
        <w:spacing w:after="0" w:line="240" w:lineRule="auto"/>
        <w:jc w:val="both"/>
        <w:rPr>
          <w:rFonts w:ascii="Times New Roman" w:eastAsia="Times New Roman" w:hAnsi="Times New Roman" w:cs="Times New Roman"/>
          <w:kern w:val="0"/>
          <w:sz w:val="28"/>
          <w:szCs w:val="28"/>
          <w:vertAlign w:val="superscript"/>
          <w:lang w:val="uk-UA" w:eastAsia="ru-RU"/>
          <w14:ligatures w14:val="none"/>
        </w:rPr>
      </w:pPr>
      <w:r w:rsidRPr="00042924">
        <w:rPr>
          <w:rFonts w:ascii="Times New Roman" w:eastAsia="Times New Roman" w:hAnsi="Times New Roman" w:cs="Times New Roman"/>
          <w:kern w:val="0"/>
          <w:sz w:val="28"/>
          <w:szCs w:val="28"/>
          <w:vertAlign w:val="superscript"/>
          <w:lang w:val="uk-UA" w:eastAsia="ru-RU"/>
          <w14:ligatures w14:val="none"/>
        </w:rPr>
        <w:t xml:space="preserve">                                                                             науковий ступінь, вчене звання, прізвище, ініціали</w:t>
      </w:r>
    </w:p>
    <w:p w14:paraId="4E08FB6E" w14:textId="77777777" w:rsidR="00AA2058" w:rsidRPr="00042924" w:rsidRDefault="00AA2058" w:rsidP="00AA2058">
      <w:pPr>
        <w:tabs>
          <w:tab w:val="left" w:pos="9781"/>
        </w:tabs>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Затверджені наказом ДонНУЕТ імені Михайла Туган-Барановського </w:t>
      </w:r>
    </w:p>
    <w:p w14:paraId="49A29954" w14:textId="77777777" w:rsidR="00AA2058" w:rsidRPr="00042924" w:rsidRDefault="00AA2058" w:rsidP="00AA2058">
      <w:pPr>
        <w:tabs>
          <w:tab w:val="left" w:pos="9781"/>
        </w:tabs>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від  “</w:t>
      </w:r>
      <w:r w:rsidRPr="00042924">
        <w:rPr>
          <w:rFonts w:ascii="Times New Roman" w:eastAsia="Times New Roman" w:hAnsi="Times New Roman" w:cs="Times New Roman"/>
          <w:i/>
          <w:kern w:val="0"/>
          <w:sz w:val="28"/>
          <w:szCs w:val="28"/>
          <w:u w:val="single"/>
          <w:lang w:val="uk-UA" w:eastAsia="ru-RU"/>
          <w14:ligatures w14:val="none"/>
        </w:rPr>
        <w:t>12</w:t>
      </w:r>
      <w:r w:rsidRPr="00042924">
        <w:rPr>
          <w:rFonts w:ascii="Times New Roman" w:eastAsia="Times New Roman" w:hAnsi="Times New Roman" w:cs="Times New Roman"/>
          <w:kern w:val="0"/>
          <w:sz w:val="28"/>
          <w:szCs w:val="28"/>
          <w:lang w:val="uk-UA" w:eastAsia="ru-RU"/>
          <w14:ligatures w14:val="none"/>
        </w:rPr>
        <w:t>” червня 20</w:t>
      </w:r>
      <w:r w:rsidRPr="00042924">
        <w:rPr>
          <w:rFonts w:ascii="Times New Roman" w:eastAsia="Times New Roman" w:hAnsi="Times New Roman" w:cs="Times New Roman"/>
          <w:i/>
          <w:kern w:val="0"/>
          <w:sz w:val="28"/>
          <w:szCs w:val="28"/>
          <w:u w:val="single"/>
          <w:lang w:val="uk-UA" w:eastAsia="ru-RU"/>
          <w14:ligatures w14:val="none"/>
        </w:rPr>
        <w:t>23</w:t>
      </w:r>
      <w:r w:rsidRPr="00042924">
        <w:rPr>
          <w:rFonts w:ascii="Times New Roman" w:eastAsia="Times New Roman" w:hAnsi="Times New Roman" w:cs="Times New Roman"/>
          <w:kern w:val="0"/>
          <w:sz w:val="28"/>
          <w:szCs w:val="28"/>
          <w:lang w:val="uk-UA" w:eastAsia="ru-RU"/>
          <w14:ligatures w14:val="none"/>
        </w:rPr>
        <w:t xml:space="preserve"> р.   № </w:t>
      </w:r>
      <w:r w:rsidRPr="00042924">
        <w:rPr>
          <w:rFonts w:ascii="Times New Roman" w:eastAsia="Times New Roman" w:hAnsi="Times New Roman" w:cs="Times New Roman"/>
          <w:i/>
          <w:kern w:val="0"/>
          <w:sz w:val="28"/>
          <w:szCs w:val="28"/>
          <w:u w:val="single"/>
          <w:lang w:val="uk-UA" w:eastAsia="ru-RU"/>
          <w14:ligatures w14:val="none"/>
        </w:rPr>
        <w:t xml:space="preserve"> 162-с </w:t>
      </w:r>
    </w:p>
    <w:p w14:paraId="7DE11AB5"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2. Строк подання здобувачем ВО роботи      “</w:t>
      </w:r>
      <w:r w:rsidR="00913646">
        <w:rPr>
          <w:rFonts w:ascii="Times New Roman" w:eastAsia="Times New Roman" w:hAnsi="Times New Roman" w:cs="Times New Roman"/>
          <w:i/>
          <w:kern w:val="0"/>
          <w:sz w:val="28"/>
          <w:szCs w:val="28"/>
          <w:u w:val="single"/>
          <w:lang w:val="uk-UA" w:eastAsia="ru-RU"/>
          <w14:ligatures w14:val="none"/>
        </w:rPr>
        <w:t xml:space="preserve">  </w:t>
      </w:r>
      <w:r w:rsidR="00BE2172">
        <w:rPr>
          <w:rFonts w:ascii="Times New Roman" w:eastAsia="Times New Roman" w:hAnsi="Times New Roman" w:cs="Times New Roman"/>
          <w:i/>
          <w:kern w:val="0"/>
          <w:sz w:val="28"/>
          <w:szCs w:val="28"/>
          <w:u w:val="single"/>
          <w:lang w:val="uk-UA" w:eastAsia="ru-RU"/>
          <w14:ligatures w14:val="none"/>
        </w:rPr>
        <w:t xml:space="preserve"> </w:t>
      </w:r>
      <w:r w:rsidR="00913646">
        <w:rPr>
          <w:rFonts w:ascii="Times New Roman" w:eastAsia="Times New Roman" w:hAnsi="Times New Roman" w:cs="Times New Roman"/>
          <w:i/>
          <w:kern w:val="0"/>
          <w:sz w:val="28"/>
          <w:szCs w:val="28"/>
          <w:u w:val="single"/>
          <w:lang w:val="uk-UA" w:eastAsia="ru-RU"/>
          <w14:ligatures w14:val="none"/>
        </w:rPr>
        <w:t xml:space="preserve"> </w:t>
      </w:r>
      <w:r w:rsidRPr="00042924">
        <w:rPr>
          <w:rFonts w:ascii="Times New Roman" w:eastAsia="Times New Roman" w:hAnsi="Times New Roman" w:cs="Times New Roman"/>
          <w:kern w:val="0"/>
          <w:sz w:val="28"/>
          <w:szCs w:val="28"/>
          <w:lang w:val="uk-UA" w:eastAsia="ru-RU"/>
          <w14:ligatures w14:val="none"/>
        </w:rPr>
        <w:t xml:space="preserve">” </w:t>
      </w:r>
      <w:r w:rsidRPr="00042924">
        <w:rPr>
          <w:rFonts w:ascii="Times New Roman" w:eastAsia="Times New Roman" w:hAnsi="Times New Roman" w:cs="Times New Roman"/>
          <w:kern w:val="0"/>
          <w:sz w:val="28"/>
          <w:szCs w:val="28"/>
          <w:u w:val="single"/>
          <w:lang w:val="uk-UA" w:eastAsia="ru-RU"/>
          <w14:ligatures w14:val="none"/>
        </w:rPr>
        <w:t>грудня</w:t>
      </w:r>
      <w:r w:rsidRPr="00042924">
        <w:rPr>
          <w:rFonts w:ascii="Times New Roman" w:eastAsia="Times New Roman" w:hAnsi="Times New Roman" w:cs="Times New Roman"/>
          <w:i/>
          <w:kern w:val="0"/>
          <w:sz w:val="28"/>
          <w:szCs w:val="28"/>
          <w:u w:val="single"/>
          <w:lang w:val="uk-UA" w:eastAsia="ru-RU"/>
          <w14:ligatures w14:val="none"/>
        </w:rPr>
        <w:t xml:space="preserve"> </w:t>
      </w:r>
      <w:r w:rsidRPr="00042924">
        <w:rPr>
          <w:rFonts w:ascii="Times New Roman" w:eastAsia="Times New Roman" w:hAnsi="Times New Roman" w:cs="Times New Roman"/>
          <w:kern w:val="0"/>
          <w:sz w:val="28"/>
          <w:szCs w:val="28"/>
          <w:lang w:val="uk-UA" w:eastAsia="ru-RU"/>
          <w14:ligatures w14:val="none"/>
        </w:rPr>
        <w:t xml:space="preserve"> 20</w:t>
      </w:r>
      <w:r w:rsidRPr="00042924">
        <w:rPr>
          <w:rFonts w:ascii="Times New Roman" w:eastAsia="Times New Roman" w:hAnsi="Times New Roman" w:cs="Times New Roman"/>
          <w:i/>
          <w:kern w:val="0"/>
          <w:sz w:val="28"/>
          <w:szCs w:val="28"/>
          <w:u w:val="single"/>
          <w:lang w:val="uk-UA" w:eastAsia="ru-RU"/>
          <w14:ligatures w14:val="none"/>
        </w:rPr>
        <w:t>23</w:t>
      </w:r>
      <w:r w:rsidRPr="00042924">
        <w:rPr>
          <w:rFonts w:ascii="Times New Roman" w:eastAsia="Times New Roman" w:hAnsi="Times New Roman" w:cs="Times New Roman"/>
          <w:i/>
          <w:kern w:val="0"/>
          <w:sz w:val="28"/>
          <w:szCs w:val="28"/>
          <w:lang w:val="uk-UA" w:eastAsia="ru-RU"/>
          <w14:ligatures w14:val="none"/>
        </w:rPr>
        <w:t xml:space="preserve"> </w:t>
      </w:r>
      <w:r w:rsidRPr="00042924">
        <w:rPr>
          <w:rFonts w:ascii="Times New Roman" w:eastAsia="Times New Roman" w:hAnsi="Times New Roman" w:cs="Times New Roman"/>
          <w:kern w:val="0"/>
          <w:sz w:val="28"/>
          <w:szCs w:val="28"/>
          <w:lang w:val="uk-UA" w:eastAsia="ru-RU"/>
          <w14:ligatures w14:val="none"/>
        </w:rPr>
        <w:t>р.</w:t>
      </w:r>
    </w:p>
    <w:p w14:paraId="3FCA80DF" w14:textId="77777777" w:rsidR="00AA2058" w:rsidRPr="00042924" w:rsidRDefault="00AA2058" w:rsidP="00AA2058">
      <w:pPr>
        <w:autoSpaceDE w:val="0"/>
        <w:autoSpaceDN w:val="0"/>
        <w:adjustRightInd w:val="0"/>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3. Вихідні дані до роботи: </w:t>
      </w:r>
      <w:r w:rsidRPr="00042924">
        <w:rPr>
          <w:rFonts w:ascii="Times New Roman" w:eastAsia="Times New Roman" w:hAnsi="Times New Roman" w:cs="Times New Roman"/>
          <w:kern w:val="0"/>
          <w:sz w:val="28"/>
          <w:szCs w:val="28"/>
          <w:u w:val="single"/>
          <w:lang w:val="uk-UA" w:eastAsia="ru-RU"/>
          <w14:ligatures w14:val="none"/>
        </w:rPr>
        <w:t>навчальна та наукова література, періодичні видання, статистичні данні, звітність про роботу підприємств, інформація мережі Інтернет</w:t>
      </w:r>
    </w:p>
    <w:p w14:paraId="56BED33C"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4. Зміст (</w:t>
      </w:r>
      <w:r w:rsidRPr="00042924">
        <w:rPr>
          <w:rFonts w:ascii="Times New Roman" w:eastAsia="Times New Roman" w:hAnsi="Times New Roman" w:cs="Times New Roman"/>
          <w:kern w:val="0"/>
          <w:sz w:val="24"/>
          <w:szCs w:val="24"/>
          <w:lang w:val="uk-UA" w:eastAsia="ru-RU"/>
          <w14:ligatures w14:val="none"/>
        </w:rPr>
        <w:t>перелік питань, які потрібно розробити</w:t>
      </w:r>
      <w:r w:rsidRPr="00042924">
        <w:rPr>
          <w:rFonts w:ascii="Times New Roman" w:eastAsia="Times New Roman" w:hAnsi="Times New Roman" w:cs="Times New Roman"/>
          <w:kern w:val="0"/>
          <w:sz w:val="28"/>
          <w:szCs w:val="28"/>
          <w:lang w:val="uk-UA" w:eastAsia="ru-RU"/>
          <w14:ligatures w14:val="none"/>
        </w:rPr>
        <w:t>):</w:t>
      </w:r>
    </w:p>
    <w:p w14:paraId="71BA9809" w14:textId="77777777" w:rsidR="00D409AD" w:rsidRPr="00F9771D" w:rsidRDefault="00D409AD" w:rsidP="00D409AD">
      <w:pPr>
        <w:spacing w:after="0" w:line="240" w:lineRule="auto"/>
        <w:jc w:val="both"/>
        <w:rPr>
          <w:rFonts w:ascii="Times New Roman" w:eastAsia="Times New Roman" w:hAnsi="Times New Roman" w:cs="Times New Roman"/>
          <w:kern w:val="0"/>
          <w:sz w:val="28"/>
          <w:szCs w:val="28"/>
          <w:u w:val="single"/>
          <w:lang w:val="uk-UA" w:eastAsia="ru-RU"/>
          <w14:ligatures w14:val="none"/>
        </w:rPr>
      </w:pPr>
      <w:r w:rsidRPr="00F9771D">
        <w:rPr>
          <w:rFonts w:ascii="Times New Roman" w:eastAsia="Times New Roman" w:hAnsi="Times New Roman" w:cs="Times New Roman"/>
          <w:kern w:val="0"/>
          <w:sz w:val="28"/>
          <w:szCs w:val="28"/>
          <w:u w:val="single"/>
          <w:lang w:val="uk-UA" w:eastAsia="ru-RU"/>
          <w14:ligatures w14:val="none"/>
        </w:rPr>
        <w:t>1.</w:t>
      </w:r>
      <w:r w:rsidR="00F9771D" w:rsidRPr="00F9771D">
        <w:rPr>
          <w:rFonts w:ascii="Times New Roman" w:eastAsia="Times New Roman" w:hAnsi="Times New Roman" w:cs="Times New Roman"/>
          <w:kern w:val="0"/>
          <w:sz w:val="28"/>
          <w:szCs w:val="28"/>
          <w:u w:val="single"/>
          <w:lang w:val="uk-UA" w:eastAsia="ru-RU"/>
          <w14:ligatures w14:val="none"/>
        </w:rPr>
        <w:t xml:space="preserve"> </w:t>
      </w:r>
      <w:r w:rsidRPr="00F9771D">
        <w:rPr>
          <w:rFonts w:ascii="Times New Roman" w:eastAsia="Times New Roman" w:hAnsi="Times New Roman" w:cs="Times New Roman"/>
          <w:kern w:val="0"/>
          <w:sz w:val="28"/>
          <w:szCs w:val="28"/>
          <w:u w:val="single"/>
          <w:lang w:val="uk-UA" w:eastAsia="ru-RU"/>
          <w14:ligatures w14:val="none"/>
        </w:rPr>
        <w:t>Теоретико-методичні основи діагностики банкрутства підприємств</w:t>
      </w:r>
      <w:r w:rsidR="00F9771D">
        <w:rPr>
          <w:rFonts w:ascii="Times New Roman" w:eastAsia="Times New Roman" w:hAnsi="Times New Roman" w:cs="Times New Roman"/>
          <w:kern w:val="0"/>
          <w:sz w:val="28"/>
          <w:szCs w:val="28"/>
          <w:u w:val="single"/>
          <w:lang w:val="uk-UA" w:eastAsia="ru-RU"/>
          <w14:ligatures w14:val="none"/>
        </w:rPr>
        <w:t xml:space="preserve">                       </w:t>
      </w:r>
      <w:r w:rsidR="00F9771D" w:rsidRPr="00F9771D">
        <w:rPr>
          <w:rFonts w:ascii="Times New Roman" w:eastAsia="Times New Roman" w:hAnsi="Times New Roman" w:cs="Times New Roman"/>
          <w:color w:val="FFFFFF" w:themeColor="background1"/>
          <w:kern w:val="0"/>
          <w:sz w:val="28"/>
          <w:szCs w:val="28"/>
          <w:u w:val="single"/>
          <w:lang w:val="uk-UA" w:eastAsia="ru-RU"/>
          <w14:ligatures w14:val="none"/>
        </w:rPr>
        <w:t>.</w:t>
      </w:r>
    </w:p>
    <w:p w14:paraId="1E67790C" w14:textId="77777777" w:rsidR="00D409AD" w:rsidRPr="00F9771D" w:rsidRDefault="00F9771D" w:rsidP="00D409AD">
      <w:pPr>
        <w:spacing w:after="0" w:line="240" w:lineRule="auto"/>
        <w:jc w:val="both"/>
        <w:rPr>
          <w:rFonts w:ascii="Times New Roman" w:eastAsia="Times New Roman" w:hAnsi="Times New Roman" w:cs="Times New Roman"/>
          <w:kern w:val="0"/>
          <w:sz w:val="28"/>
          <w:szCs w:val="28"/>
          <w:u w:val="single"/>
          <w:lang w:val="uk-UA" w:eastAsia="ru-RU"/>
          <w14:ligatures w14:val="none"/>
        </w:rPr>
      </w:pPr>
      <w:r w:rsidRPr="00F9771D">
        <w:rPr>
          <w:rFonts w:ascii="Times New Roman" w:eastAsia="Times New Roman" w:hAnsi="Times New Roman" w:cs="Times New Roman"/>
          <w:kern w:val="0"/>
          <w:sz w:val="28"/>
          <w:szCs w:val="28"/>
          <w:u w:val="single"/>
          <w:lang w:val="uk-UA" w:eastAsia="ru-RU"/>
          <w14:ligatures w14:val="none"/>
        </w:rPr>
        <w:t xml:space="preserve">2. </w:t>
      </w:r>
      <w:r w:rsidR="00D409AD" w:rsidRPr="00F9771D">
        <w:rPr>
          <w:rFonts w:ascii="Times New Roman" w:eastAsia="Times New Roman" w:hAnsi="Times New Roman" w:cs="Times New Roman"/>
          <w:kern w:val="0"/>
          <w:sz w:val="28"/>
          <w:szCs w:val="28"/>
          <w:u w:val="single"/>
          <w:lang w:val="uk-UA" w:eastAsia="ru-RU"/>
          <w14:ligatures w14:val="none"/>
        </w:rPr>
        <w:t>Фінансовий аналіз та діагностика банкрутства ПАТ «АрселорМіттал Кривий Ріг»</w:t>
      </w:r>
    </w:p>
    <w:p w14:paraId="029B8ADE" w14:textId="77777777" w:rsidR="00AA2058" w:rsidRPr="00F9771D" w:rsidRDefault="0027656E" w:rsidP="00D409AD">
      <w:pPr>
        <w:spacing w:after="0" w:line="240" w:lineRule="auto"/>
        <w:jc w:val="both"/>
        <w:rPr>
          <w:rFonts w:ascii="Times New Roman" w:eastAsia="Times New Roman" w:hAnsi="Times New Roman" w:cs="Times New Roman"/>
          <w:kern w:val="0"/>
          <w:sz w:val="28"/>
          <w:szCs w:val="28"/>
          <w:u w:val="single"/>
          <w:lang w:val="uk-UA" w:eastAsia="ru-RU"/>
          <w14:ligatures w14:val="none"/>
        </w:rPr>
      </w:pPr>
      <w:r w:rsidRPr="0027656E">
        <w:rPr>
          <w:rFonts w:ascii="Times New Roman" w:eastAsia="Times New Roman" w:hAnsi="Times New Roman" w:cs="Times New Roman"/>
          <w:color w:val="FFFFFF" w:themeColor="background1"/>
          <w:kern w:val="0"/>
          <w:sz w:val="28"/>
          <w:szCs w:val="28"/>
          <w:u w:val="single"/>
          <w:lang w:val="uk-UA" w:eastAsia="ru-RU"/>
          <w14:ligatures w14:val="none"/>
        </w:rPr>
        <w:t>.</w:t>
      </w:r>
    </w:p>
    <w:p w14:paraId="242B2165" w14:textId="77777777" w:rsidR="00AA2058" w:rsidRPr="00042924" w:rsidRDefault="00AA2058" w:rsidP="00AA2058">
      <w:pPr>
        <w:spacing w:after="0" w:line="240" w:lineRule="auto"/>
        <w:jc w:val="both"/>
        <w:rPr>
          <w:rFonts w:ascii="Times New Roman" w:eastAsia="Calibri" w:hAnsi="Times New Roman" w:cs="Times New Roman"/>
          <w:kern w:val="0"/>
          <w:sz w:val="24"/>
          <w:szCs w:val="24"/>
          <w:lang w:val="uk-UA"/>
          <w14:ligatures w14:val="none"/>
        </w:rPr>
      </w:pPr>
      <w:r w:rsidRPr="00042924">
        <w:rPr>
          <w:rFonts w:ascii="Times New Roman" w:eastAsia="Times New Roman" w:hAnsi="Times New Roman" w:cs="Times New Roman"/>
          <w:kern w:val="0"/>
          <w:sz w:val="28"/>
          <w:szCs w:val="28"/>
          <w:lang w:val="uk-UA" w:eastAsia="ru-RU"/>
          <w14:ligatures w14:val="none"/>
        </w:rPr>
        <w:t xml:space="preserve">5. Перелік графічного матеріалу </w:t>
      </w:r>
      <w:r w:rsidRPr="00042924">
        <w:rPr>
          <w:rFonts w:ascii="Times New Roman" w:eastAsia="Calibri" w:hAnsi="Times New Roman" w:cs="Times New Roman"/>
          <w:kern w:val="0"/>
          <w:sz w:val="28"/>
          <w:lang w:val="uk-UA"/>
          <w14:ligatures w14:val="none"/>
        </w:rPr>
        <w:t>(</w:t>
      </w:r>
      <w:r w:rsidRPr="00042924">
        <w:rPr>
          <w:rFonts w:ascii="Times New Roman" w:eastAsia="Calibri" w:hAnsi="Times New Roman" w:cs="Times New Roman"/>
          <w:kern w:val="0"/>
          <w:sz w:val="24"/>
          <w:szCs w:val="24"/>
          <w:lang w:val="uk-UA"/>
          <w14:ligatures w14:val="none"/>
        </w:rPr>
        <w:t>з точним зазначенням обов’язкових креслень).</w:t>
      </w:r>
    </w:p>
    <w:p w14:paraId="25ACE2C2" w14:textId="77777777" w:rsidR="00B0467A" w:rsidRPr="000E2B80" w:rsidRDefault="00E90035" w:rsidP="00B0467A">
      <w:pPr>
        <w:jc w:val="both"/>
        <w:rPr>
          <w:rFonts w:ascii="Times New Roman" w:hAnsi="Times New Roman" w:cs="Times New Roman"/>
          <w:sz w:val="28"/>
          <w:szCs w:val="28"/>
          <w:u w:val="single"/>
          <w:lang w:val="uk-UA" w:eastAsia="ru-RU"/>
        </w:rPr>
      </w:pPr>
      <w:r w:rsidRPr="000E2B80">
        <w:rPr>
          <w:rFonts w:ascii="Times New Roman" w:eastAsia="Times New Roman" w:hAnsi="Times New Roman" w:cs="Times New Roman"/>
          <w:kern w:val="0"/>
          <w:sz w:val="28"/>
          <w:szCs w:val="28"/>
          <w:u w:val="single"/>
          <w:lang w:val="uk-UA" w:eastAsia="ru-RU"/>
          <w14:ligatures w14:val="none"/>
        </w:rPr>
        <w:t>Основні визначальні ознаки</w:t>
      </w:r>
      <w:r w:rsidR="00CA212C" w:rsidRPr="000E2B80">
        <w:rPr>
          <w:rFonts w:ascii="Times New Roman" w:eastAsia="Times New Roman" w:hAnsi="Times New Roman" w:cs="Times New Roman"/>
          <w:kern w:val="0"/>
          <w:sz w:val="28"/>
          <w:szCs w:val="28"/>
          <w:u w:val="single"/>
          <w:lang w:val="uk-UA" w:eastAsia="ru-RU"/>
          <w14:ligatures w14:val="none"/>
        </w:rPr>
        <w:t xml:space="preserve"> та класифікація</w:t>
      </w:r>
      <w:r w:rsidRPr="000E2B80">
        <w:rPr>
          <w:rFonts w:ascii="Times New Roman" w:eastAsia="Times New Roman" w:hAnsi="Times New Roman" w:cs="Times New Roman"/>
          <w:kern w:val="0"/>
          <w:sz w:val="28"/>
          <w:szCs w:val="28"/>
          <w:u w:val="single"/>
          <w:lang w:val="uk-UA" w:eastAsia="ru-RU"/>
          <w14:ligatures w14:val="none"/>
        </w:rPr>
        <w:t xml:space="preserve"> поняття «банкрутство підприємства» у викладі дослідників,</w:t>
      </w:r>
      <w:r w:rsidR="001D421D" w:rsidRPr="000E2B80">
        <w:rPr>
          <w:rFonts w:ascii="Times New Roman" w:hAnsi="Times New Roman" w:cs="Times New Roman"/>
          <w:sz w:val="28"/>
          <w:szCs w:val="28"/>
          <w:lang w:val="uk-UA"/>
        </w:rPr>
        <w:t xml:space="preserve"> </w:t>
      </w:r>
      <w:r w:rsidR="00A948FA" w:rsidRPr="000E2B80">
        <w:rPr>
          <w:rFonts w:ascii="Times New Roman" w:eastAsia="Times New Roman" w:hAnsi="Times New Roman" w:cs="Times New Roman"/>
          <w:kern w:val="0"/>
          <w:sz w:val="28"/>
          <w:szCs w:val="28"/>
          <w:u w:val="single"/>
          <w:lang w:val="uk-UA" w:eastAsia="ru-RU"/>
          <w14:ligatures w14:val="none"/>
        </w:rPr>
        <w:t>Характеристика основних підходів для оцінки та прогнозування ймовірності банкрутства підприємств</w:t>
      </w:r>
      <w:r w:rsidR="00CA212C" w:rsidRPr="000E2B80">
        <w:rPr>
          <w:rFonts w:ascii="Times New Roman" w:eastAsia="Times New Roman" w:hAnsi="Times New Roman" w:cs="Times New Roman"/>
          <w:kern w:val="0"/>
          <w:sz w:val="28"/>
          <w:szCs w:val="28"/>
          <w:u w:val="single"/>
          <w:lang w:val="uk-UA" w:eastAsia="ru-RU"/>
          <w14:ligatures w14:val="none"/>
        </w:rPr>
        <w:t xml:space="preserve"> та їх порівняльна характеристика</w:t>
      </w:r>
      <w:r w:rsidR="00881C46" w:rsidRPr="000E2B80">
        <w:rPr>
          <w:rFonts w:ascii="Times New Roman" w:eastAsia="Times New Roman" w:hAnsi="Times New Roman" w:cs="Times New Roman"/>
          <w:kern w:val="0"/>
          <w:sz w:val="28"/>
          <w:szCs w:val="28"/>
          <w:u w:val="single"/>
          <w:lang w:val="uk-UA" w:eastAsia="ru-RU"/>
          <w14:ligatures w14:val="none"/>
        </w:rPr>
        <w:t>,</w:t>
      </w:r>
      <w:r w:rsidR="001D421D" w:rsidRPr="000E2B80">
        <w:rPr>
          <w:rFonts w:ascii="Times New Roman" w:hAnsi="Times New Roman" w:cs="Times New Roman"/>
          <w:sz w:val="28"/>
          <w:szCs w:val="28"/>
          <w:u w:val="single"/>
          <w:lang w:val="uk-UA" w:eastAsia="ru-RU"/>
        </w:rPr>
        <w:t xml:space="preserve"> </w:t>
      </w:r>
      <w:r w:rsidR="00E14659" w:rsidRPr="000E2B80">
        <w:rPr>
          <w:rFonts w:ascii="Times New Roman" w:hAnsi="Times New Roman" w:cs="Times New Roman"/>
          <w:sz w:val="28"/>
          <w:szCs w:val="28"/>
          <w:u w:val="single"/>
          <w:lang w:val="uk-UA" w:eastAsia="ru-RU"/>
        </w:rPr>
        <w:t xml:space="preserve">Загальні данні </w:t>
      </w:r>
      <w:r w:rsidR="00881C46" w:rsidRPr="000E2B80">
        <w:rPr>
          <w:rFonts w:ascii="Times New Roman" w:hAnsi="Times New Roman" w:cs="Times New Roman"/>
          <w:sz w:val="28"/>
          <w:szCs w:val="28"/>
          <w:u w:val="single"/>
          <w:lang w:val="uk-UA" w:eastAsia="ru-RU"/>
        </w:rPr>
        <w:t xml:space="preserve">про банкрутство </w:t>
      </w:r>
      <w:r w:rsidR="00F87EF4" w:rsidRPr="000E2B80">
        <w:rPr>
          <w:rFonts w:ascii="Times New Roman" w:hAnsi="Times New Roman" w:cs="Times New Roman"/>
          <w:sz w:val="28"/>
          <w:szCs w:val="28"/>
          <w:u w:val="single"/>
          <w:lang w:val="uk-UA" w:eastAsia="ru-RU"/>
        </w:rPr>
        <w:t xml:space="preserve">підприємств в країні, </w:t>
      </w:r>
      <w:r w:rsidR="001D421D" w:rsidRPr="000E2B80">
        <w:rPr>
          <w:rFonts w:ascii="Times New Roman" w:hAnsi="Times New Roman" w:cs="Times New Roman"/>
          <w:sz w:val="28"/>
          <w:szCs w:val="28"/>
          <w:u w:val="single"/>
          <w:lang w:val="uk-UA" w:eastAsia="ru-RU"/>
        </w:rPr>
        <w:t xml:space="preserve"> </w:t>
      </w:r>
      <w:r w:rsidR="00AF7B6D" w:rsidRPr="000E2B80">
        <w:rPr>
          <w:rFonts w:ascii="Times New Roman" w:hAnsi="Times New Roman" w:cs="Times New Roman"/>
          <w:sz w:val="28"/>
          <w:szCs w:val="28"/>
          <w:u w:val="single"/>
          <w:lang w:val="uk-UA" w:eastAsia="ru-RU"/>
        </w:rPr>
        <w:t xml:space="preserve">фінансово-економічний аналіз діяльності підприємства, </w:t>
      </w:r>
      <w:r w:rsidR="00B0467A" w:rsidRPr="000E2B80">
        <w:rPr>
          <w:rFonts w:ascii="Times New Roman" w:hAnsi="Times New Roman" w:cs="Times New Roman"/>
          <w:sz w:val="28"/>
          <w:szCs w:val="28"/>
          <w:u w:val="single"/>
          <w:lang w:val="uk-UA" w:eastAsia="ru-RU"/>
        </w:rPr>
        <w:t xml:space="preserve">Аналіз показників вірогідності </w:t>
      </w:r>
      <w:r w:rsidR="00B0467A" w:rsidRPr="000E2B80">
        <w:rPr>
          <w:rFonts w:ascii="Times New Roman" w:hAnsi="Times New Roman" w:cs="Times New Roman"/>
          <w:sz w:val="28"/>
          <w:szCs w:val="28"/>
          <w:u w:val="single"/>
          <w:lang w:val="uk-UA" w:eastAsia="ru-RU"/>
        </w:rPr>
        <w:lastRenderedPageBreak/>
        <w:t>банкрутства,</w:t>
      </w:r>
      <w:r w:rsidR="001D421D" w:rsidRPr="000E2B80">
        <w:rPr>
          <w:rFonts w:ascii="Times New Roman" w:hAnsi="Times New Roman" w:cs="Times New Roman"/>
          <w:sz w:val="28"/>
          <w:szCs w:val="28"/>
          <w:u w:val="single"/>
          <w:lang w:val="uk-UA" w:eastAsia="ru-RU"/>
        </w:rPr>
        <w:t xml:space="preserve"> </w:t>
      </w:r>
      <w:r w:rsidR="00B0467A" w:rsidRPr="000E2B80">
        <w:rPr>
          <w:rFonts w:ascii="Times New Roman" w:hAnsi="Times New Roman" w:cs="Times New Roman"/>
          <w:sz w:val="28"/>
          <w:szCs w:val="28"/>
          <w:u w:val="single"/>
          <w:lang w:val="uk-UA" w:eastAsia="ru-RU"/>
        </w:rPr>
        <w:t>Методи оцінки і прогнозування ймовірності банкрутства підприємства</w:t>
      </w:r>
      <w:r w:rsidR="004948F5" w:rsidRPr="000E2B80">
        <w:rPr>
          <w:rFonts w:ascii="Times New Roman" w:hAnsi="Times New Roman" w:cs="Times New Roman"/>
          <w:sz w:val="28"/>
          <w:szCs w:val="28"/>
          <w:u w:val="single"/>
          <w:lang w:val="uk-UA" w:eastAsia="ru-RU"/>
        </w:rPr>
        <w:t>,</w:t>
      </w:r>
      <w:r w:rsidR="00B0467A" w:rsidRPr="000E2B80">
        <w:rPr>
          <w:rFonts w:ascii="Times New Roman" w:hAnsi="Times New Roman" w:cs="Times New Roman"/>
          <w:sz w:val="28"/>
          <w:szCs w:val="28"/>
          <w:u w:val="single"/>
          <w:lang w:val="uk-UA" w:eastAsia="ru-RU"/>
        </w:rPr>
        <w:t xml:space="preserve"> </w:t>
      </w:r>
      <w:r w:rsidR="00AD1DB1" w:rsidRPr="000E2B80">
        <w:rPr>
          <w:rFonts w:ascii="Times New Roman" w:hAnsi="Times New Roman" w:cs="Times New Roman"/>
          <w:sz w:val="28"/>
          <w:szCs w:val="28"/>
          <w:u w:val="single"/>
          <w:lang w:val="uk-UA" w:eastAsia="ru-RU"/>
        </w:rPr>
        <w:t>Динаміка збиткових підприємств</w:t>
      </w:r>
      <w:r w:rsidR="0089078F" w:rsidRPr="000E2B80">
        <w:rPr>
          <w:rFonts w:ascii="Times New Roman" w:hAnsi="Times New Roman" w:cs="Times New Roman"/>
          <w:sz w:val="28"/>
          <w:szCs w:val="28"/>
          <w:u w:val="single"/>
          <w:lang w:val="uk-UA" w:eastAsia="ru-RU"/>
        </w:rPr>
        <w:t>,</w:t>
      </w:r>
      <w:r w:rsidR="001D421D" w:rsidRPr="000E2B80">
        <w:rPr>
          <w:rFonts w:ascii="Times New Roman" w:hAnsi="Times New Roman" w:cs="Times New Roman"/>
          <w:sz w:val="28"/>
          <w:szCs w:val="28"/>
          <w:u w:val="single"/>
          <w:lang w:val="uk-UA" w:eastAsia="ru-RU"/>
        </w:rPr>
        <w:t xml:space="preserve"> </w:t>
      </w:r>
      <w:r w:rsidR="0089078F" w:rsidRPr="000E2B80">
        <w:rPr>
          <w:rFonts w:ascii="Times New Roman" w:hAnsi="Times New Roman" w:cs="Times New Roman"/>
          <w:sz w:val="28"/>
          <w:szCs w:val="28"/>
          <w:u w:val="single"/>
          <w:lang w:val="uk-UA" w:eastAsia="ru-RU"/>
        </w:rPr>
        <w:t>Темпи зростання (зниження) експорту товарів,  Динаміка виробництва</w:t>
      </w:r>
      <w:r w:rsidR="008A0873" w:rsidRPr="000E2B80">
        <w:rPr>
          <w:rFonts w:ascii="Times New Roman" w:hAnsi="Times New Roman" w:cs="Times New Roman"/>
          <w:sz w:val="28"/>
          <w:szCs w:val="28"/>
          <w:u w:val="single"/>
          <w:lang w:val="uk-UA" w:eastAsia="ru-RU"/>
        </w:rPr>
        <w:t xml:space="preserve"> та частки ринку</w:t>
      </w:r>
      <w:r w:rsidR="0089078F" w:rsidRPr="000E2B80">
        <w:rPr>
          <w:rFonts w:ascii="Times New Roman" w:hAnsi="Times New Roman" w:cs="Times New Roman"/>
          <w:sz w:val="28"/>
          <w:szCs w:val="28"/>
          <w:u w:val="single"/>
          <w:lang w:val="uk-UA" w:eastAsia="ru-RU"/>
        </w:rPr>
        <w:t xml:space="preserve"> ПАТ «АМКР» за період 2021-2022 рр</w:t>
      </w:r>
      <w:r w:rsidR="008A0873" w:rsidRPr="000E2B80">
        <w:rPr>
          <w:rFonts w:ascii="Times New Roman" w:hAnsi="Times New Roman" w:cs="Times New Roman"/>
          <w:sz w:val="28"/>
          <w:szCs w:val="28"/>
          <w:u w:val="single"/>
          <w:lang w:val="uk-UA" w:eastAsia="ru-RU"/>
        </w:rPr>
        <w:t>.</w:t>
      </w:r>
      <w:r w:rsidR="008A0873">
        <w:rPr>
          <w:rFonts w:ascii="Times New Roman" w:hAnsi="Times New Roman" w:cs="Times New Roman"/>
          <w:sz w:val="28"/>
          <w:szCs w:val="28"/>
          <w:u w:val="single"/>
          <w:lang w:val="uk-UA" w:eastAsia="ru-RU"/>
        </w:rPr>
        <w:t xml:space="preserve">                                                 </w:t>
      </w:r>
      <w:r w:rsidR="000E2B80" w:rsidRPr="000E2B80">
        <w:rPr>
          <w:rFonts w:ascii="Times New Roman" w:hAnsi="Times New Roman" w:cs="Times New Roman"/>
          <w:color w:val="000000" w:themeColor="text1"/>
          <w:sz w:val="28"/>
          <w:szCs w:val="28"/>
          <w:u w:val="single"/>
          <w:lang w:val="uk-UA" w:eastAsia="ru-RU"/>
        </w:rPr>
        <w:t xml:space="preserve">                                                                     </w:t>
      </w:r>
      <w:r w:rsidR="000E2B80" w:rsidRPr="000E2B80">
        <w:rPr>
          <w:rFonts w:ascii="Times New Roman" w:hAnsi="Times New Roman" w:cs="Times New Roman"/>
          <w:color w:val="FFFFFF" w:themeColor="background1"/>
          <w:sz w:val="28"/>
          <w:szCs w:val="28"/>
          <w:u w:val="single"/>
          <w:lang w:val="uk-UA" w:eastAsia="ru-RU"/>
        </w:rPr>
        <w:t>.</w:t>
      </w:r>
    </w:p>
    <w:p w14:paraId="7483E665"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 xml:space="preserve">6. Дата видачі завдання: «12» </w:t>
      </w:r>
      <w:r w:rsidRPr="00042924">
        <w:rPr>
          <w:rFonts w:ascii="Times New Roman" w:eastAsia="Times New Roman" w:hAnsi="Times New Roman" w:cs="Times New Roman"/>
          <w:i/>
          <w:kern w:val="0"/>
          <w:sz w:val="28"/>
          <w:szCs w:val="28"/>
          <w:lang w:val="uk-UA" w:eastAsia="ru-RU"/>
          <w14:ligatures w14:val="none"/>
        </w:rPr>
        <w:t>червня</w:t>
      </w:r>
      <w:r w:rsidRPr="00042924">
        <w:rPr>
          <w:rFonts w:ascii="Times New Roman" w:eastAsia="Times New Roman" w:hAnsi="Times New Roman" w:cs="Times New Roman"/>
          <w:kern w:val="0"/>
          <w:sz w:val="28"/>
          <w:szCs w:val="28"/>
          <w:lang w:val="uk-UA" w:eastAsia="ru-RU"/>
          <w14:ligatures w14:val="none"/>
        </w:rPr>
        <w:t xml:space="preserve"> 2023 р.</w:t>
      </w:r>
    </w:p>
    <w:p w14:paraId="032A9A32"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lang w:val="uk-UA" w:eastAsia="ru-RU"/>
          <w14:ligatures w14:val="none"/>
        </w:rPr>
      </w:pPr>
    </w:p>
    <w:p w14:paraId="146A1A0D" w14:textId="77777777" w:rsidR="00AA2058" w:rsidRPr="00042924" w:rsidRDefault="00AA2058" w:rsidP="00AA2058">
      <w:pPr>
        <w:spacing w:after="0" w:line="240" w:lineRule="auto"/>
        <w:jc w:val="both"/>
        <w:rPr>
          <w:rFonts w:ascii="Times New Roman" w:eastAsia="Times New Roman" w:hAnsi="Times New Roman" w:cs="Times New Roman"/>
          <w:kern w:val="0"/>
          <w:sz w:val="28"/>
          <w:szCs w:val="28"/>
          <w:u w:val="single"/>
          <w:lang w:val="uk-UA" w:eastAsia="ru-RU"/>
          <w14:ligatures w14:val="none"/>
        </w:rPr>
      </w:pPr>
      <w:r w:rsidRPr="00042924">
        <w:rPr>
          <w:rFonts w:ascii="Times New Roman" w:eastAsia="Times New Roman" w:hAnsi="Times New Roman" w:cs="Times New Roman"/>
          <w:kern w:val="0"/>
          <w:sz w:val="28"/>
          <w:szCs w:val="28"/>
          <w:lang w:val="uk-UA" w:eastAsia="ru-RU"/>
          <w14:ligatures w14:val="none"/>
        </w:rPr>
        <w:t>7. Календарний план</w:t>
      </w:r>
    </w:p>
    <w:p w14:paraId="45762CCE" w14:textId="77777777" w:rsidR="00AA2058" w:rsidRPr="00042924" w:rsidRDefault="00AA2058" w:rsidP="00AA2058">
      <w:pPr>
        <w:spacing w:after="0" w:line="240" w:lineRule="auto"/>
        <w:jc w:val="both"/>
        <w:rPr>
          <w:rFonts w:ascii="Times New Roman" w:eastAsia="Times New Roman" w:hAnsi="Times New Roman" w:cs="Times New Roman"/>
          <w:kern w:val="0"/>
          <w:sz w:val="16"/>
          <w:szCs w:val="28"/>
          <w:lang w:val="uk-UA" w:eastAsia="ru-RU"/>
          <w14:ligatures w14:val="none"/>
        </w:rPr>
      </w:pPr>
    </w:p>
    <w:tbl>
      <w:tblPr>
        <w:tblW w:w="9923" w:type="dxa"/>
        <w:tblInd w:w="108" w:type="dxa"/>
        <w:tblLayout w:type="fixed"/>
        <w:tblLook w:val="04A0" w:firstRow="1" w:lastRow="0" w:firstColumn="1" w:lastColumn="0" w:noHBand="0" w:noVBand="1"/>
      </w:tblPr>
      <w:tblGrid>
        <w:gridCol w:w="567"/>
        <w:gridCol w:w="4907"/>
        <w:gridCol w:w="2161"/>
        <w:gridCol w:w="2288"/>
      </w:tblGrid>
      <w:tr w:rsidR="00AA2058" w:rsidRPr="00042924" w14:paraId="28707BFB" w14:textId="77777777" w:rsidTr="0029174C">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1C1A3"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w:t>
            </w:r>
          </w:p>
          <w:p w14:paraId="158E6C26"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7B0CB"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61E0F"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BF5C7" w14:textId="77777777" w:rsidR="00AA2058" w:rsidRPr="00042924" w:rsidRDefault="00AA2058" w:rsidP="00AA2058">
            <w:pPr>
              <w:keepNext/>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Примітка</w:t>
            </w:r>
          </w:p>
        </w:tc>
      </w:tr>
      <w:tr w:rsidR="00AA2058" w:rsidRPr="00042924" w14:paraId="44282CBF"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5117DC"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080D3E4C"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BA852"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12.06.2023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3155343"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58DD2CAD" w14:textId="77777777" w:rsidTr="0029174C">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97B72"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22119903"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7BE57"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09.10.2023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7BDD690"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72D84D74"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7C4EF"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lang w:val="uk-UA"/>
                <w14:ligatures w14:val="none"/>
              </w:rPr>
            </w:pPr>
            <w:r w:rsidRPr="00042924">
              <w:rPr>
                <w:rFonts w:ascii="Times New Roman" w:eastAsia="Times New Roman" w:hAnsi="Times New Roman" w:cs="Times New Roman"/>
                <w:kern w:val="0"/>
                <w:sz w:val="28"/>
                <w:szCs w:val="28"/>
                <w:lang w:val="uk-UA"/>
                <w14:ligatures w14:val="none"/>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1D1AE7BB"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C1C8"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30.10.2023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86EEF20"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591944C4"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4922"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44A29011"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Аналітична частина по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DB99D"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20.11.2023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14682EC"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6F5BC40A"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FF369"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16D9E5AE"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CF238"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27.11.2023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2F5160C"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0483DB21"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B33D"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0F4EB87" w14:textId="77777777" w:rsidR="00AA2058" w:rsidRPr="00042924" w:rsidRDefault="00AA2058" w:rsidP="00AA2058">
            <w:pPr>
              <w:spacing w:after="0" w:line="240" w:lineRule="auto"/>
              <w:rPr>
                <w:rFonts w:ascii="Times New Roman" w:eastAsia="Calibri" w:hAnsi="Times New Roman" w:cs="Times New Roman"/>
                <w:kern w:val="0"/>
                <w:sz w:val="24"/>
                <w:highlight w:val="yellow"/>
                <w:lang w:val="uk-UA"/>
                <w14:ligatures w14:val="none"/>
              </w:rPr>
            </w:pPr>
            <w:r w:rsidRPr="00042924">
              <w:rPr>
                <w:rFonts w:ascii="Times New Roman" w:eastAsia="Calibri" w:hAnsi="Times New Roman" w:cs="Times New Roman"/>
                <w:kern w:val="0"/>
                <w:sz w:val="24"/>
                <w:lang w:val="uk-UA"/>
                <w14:ligatures w14:val="none"/>
              </w:rP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4EA4" w14:textId="77777777" w:rsidR="00AA2058" w:rsidRPr="00042924" w:rsidRDefault="00AA2058" w:rsidP="00AA2058">
            <w:pPr>
              <w:spacing w:after="0" w:line="240" w:lineRule="auto"/>
              <w:jc w:val="center"/>
              <w:rPr>
                <w:rFonts w:ascii="Times New Roman" w:eastAsia="Calibri" w:hAnsi="Times New Roman" w:cs="Times New Roman"/>
                <w:kern w:val="0"/>
                <w:sz w:val="24"/>
                <w:highlight w:val="yellow"/>
                <w:lang w:val="uk-UA"/>
                <w14:ligatures w14:val="none"/>
              </w:rPr>
            </w:pPr>
            <w:r w:rsidRPr="00042924">
              <w:rPr>
                <w:rFonts w:ascii="Times New Roman" w:eastAsia="Calibri" w:hAnsi="Times New Roman" w:cs="Times New Roman"/>
                <w:kern w:val="0"/>
                <w:sz w:val="24"/>
                <w:lang w:val="uk-UA"/>
                <w14:ligatures w14:val="none"/>
              </w:rPr>
              <w:t>до 06.12.2023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061D70D"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6B17B2EC"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A2674"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56220316"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D3FC0"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04.12.2023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FE3A402"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362580C9"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7EB8B"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753E4E1"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033C0"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04.12.2023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94E2671"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1E18FCAF"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A80A6"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EB65426"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 xml:space="preserve">Оформлення презентаційних матеріалів, проходження нормоконтролю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6E23E"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09.12.2023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FE20CFB"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r w:rsidR="00AA2058" w:rsidRPr="00042924" w14:paraId="2E1DE0E9" w14:textId="77777777" w:rsidTr="0029174C">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29706"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5B8885AA" w14:textId="77777777" w:rsidR="00AA2058" w:rsidRPr="00042924" w:rsidRDefault="00AA2058" w:rsidP="00AA2058">
            <w:pPr>
              <w:spacing w:after="0" w:line="240" w:lineRule="auto"/>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CA559" w14:textId="77777777" w:rsidR="00AA2058" w:rsidRPr="00042924" w:rsidRDefault="00AA2058" w:rsidP="00AA2058">
            <w:pPr>
              <w:spacing w:after="0" w:line="240" w:lineRule="auto"/>
              <w:jc w:val="center"/>
              <w:rPr>
                <w:rFonts w:ascii="Times New Roman" w:eastAsia="Calibri" w:hAnsi="Times New Roman" w:cs="Times New Roman"/>
                <w:kern w:val="0"/>
                <w:sz w:val="24"/>
                <w:lang w:val="uk-UA"/>
                <w14:ligatures w14:val="none"/>
              </w:rPr>
            </w:pPr>
            <w:r w:rsidRPr="00042924">
              <w:rPr>
                <w:rFonts w:ascii="Times New Roman" w:eastAsia="Calibri" w:hAnsi="Times New Roman" w:cs="Times New Roman"/>
                <w:kern w:val="0"/>
                <w:sz w:val="24"/>
                <w:lang w:val="uk-UA"/>
                <w14:ligatures w14:val="none"/>
              </w:rPr>
              <w:t>до 16.12.2023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BE011F7"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kern w:val="0"/>
                <w:sz w:val="28"/>
                <w:highlight w:val="yellow"/>
                <w:lang w:val="uk-UA"/>
                <w14:ligatures w14:val="none"/>
              </w:rPr>
            </w:pPr>
          </w:p>
        </w:tc>
      </w:tr>
    </w:tbl>
    <w:p w14:paraId="4B4A1C9E" w14:textId="77777777" w:rsidR="00AA2058" w:rsidRPr="00042924" w:rsidRDefault="00AA2058" w:rsidP="00AA2058">
      <w:pPr>
        <w:autoSpaceDE w:val="0"/>
        <w:autoSpaceDN w:val="0"/>
        <w:adjustRightInd w:val="0"/>
        <w:spacing w:after="0" w:line="240" w:lineRule="auto"/>
        <w:jc w:val="both"/>
        <w:rPr>
          <w:rFonts w:ascii="Times New Roman" w:eastAsia="Times New Roman" w:hAnsi="Times New Roman" w:cs="Times New Roman"/>
          <w:b/>
          <w:bCs/>
          <w:kern w:val="0"/>
          <w:sz w:val="12"/>
          <w:szCs w:val="28"/>
          <w:highlight w:val="yellow"/>
          <w:lang w:val="uk-UA" w:eastAsia="ru-RU"/>
          <w14:ligatures w14:val="none"/>
        </w:rPr>
      </w:pPr>
    </w:p>
    <w:p w14:paraId="7538A84C" w14:textId="77777777" w:rsidR="00AA2058" w:rsidRPr="00042924" w:rsidRDefault="00AA2058" w:rsidP="00AA2058">
      <w:pPr>
        <w:autoSpaceDE w:val="0"/>
        <w:autoSpaceDN w:val="0"/>
        <w:adjustRightInd w:val="0"/>
        <w:spacing w:after="0" w:line="240" w:lineRule="auto"/>
        <w:jc w:val="right"/>
        <w:rPr>
          <w:rFonts w:ascii="Times New Roman" w:eastAsia="Times New Roman" w:hAnsi="Times New Roman" w:cs="Times New Roman"/>
          <w:b/>
          <w:bCs/>
          <w:kern w:val="0"/>
          <w:sz w:val="28"/>
          <w:szCs w:val="28"/>
          <w:lang w:val="uk-UA" w:eastAsia="ru-RU"/>
          <w14:ligatures w14:val="none"/>
        </w:rPr>
      </w:pPr>
    </w:p>
    <w:p w14:paraId="199D4FB7" w14:textId="77777777" w:rsidR="00AA2058" w:rsidRPr="00042924" w:rsidRDefault="00AA2058" w:rsidP="00AA2058">
      <w:pPr>
        <w:autoSpaceDE w:val="0"/>
        <w:autoSpaceDN w:val="0"/>
        <w:adjustRightInd w:val="0"/>
        <w:spacing w:after="0" w:line="240" w:lineRule="auto"/>
        <w:jc w:val="right"/>
        <w:rPr>
          <w:rFonts w:ascii="Times New Roman" w:eastAsia="Times New Roman" w:hAnsi="Times New Roman" w:cs="Times New Roman"/>
          <w:bCs/>
          <w:kern w:val="0"/>
          <w:sz w:val="28"/>
          <w:szCs w:val="28"/>
          <w:lang w:val="uk-UA" w:eastAsia="ru-RU"/>
          <w14:ligatures w14:val="none"/>
        </w:rPr>
      </w:pPr>
      <w:r w:rsidRPr="00042924">
        <w:rPr>
          <w:rFonts w:ascii="Times New Roman" w:eastAsia="Times New Roman" w:hAnsi="Times New Roman" w:cs="Times New Roman"/>
          <w:b/>
          <w:bCs/>
          <w:kern w:val="0"/>
          <w:sz w:val="28"/>
          <w:szCs w:val="28"/>
          <w:lang w:val="uk-UA" w:eastAsia="ru-RU"/>
          <w14:ligatures w14:val="none"/>
        </w:rPr>
        <w:t>Здобувач ВО</w:t>
      </w:r>
      <w:r w:rsidRPr="00042924">
        <w:rPr>
          <w:rFonts w:ascii="Times New Roman" w:eastAsia="Times New Roman" w:hAnsi="Times New Roman" w:cs="Times New Roman"/>
          <w:b/>
          <w:bCs/>
          <w:kern w:val="0"/>
          <w:sz w:val="24"/>
          <w:szCs w:val="24"/>
          <w:lang w:val="uk-UA" w:eastAsia="ru-RU"/>
          <w14:ligatures w14:val="none"/>
        </w:rPr>
        <w:t xml:space="preserve">   ____________________________</w:t>
      </w:r>
      <w:r w:rsidRPr="00042924">
        <w:rPr>
          <w:rFonts w:ascii="Times New Roman" w:eastAsia="Times New Roman" w:hAnsi="Times New Roman" w:cs="Times New Roman"/>
          <w:bCs/>
          <w:kern w:val="0"/>
          <w:sz w:val="28"/>
          <w:szCs w:val="28"/>
          <w:lang w:val="uk-UA" w:eastAsia="ru-RU"/>
          <w14:ligatures w14:val="none"/>
        </w:rPr>
        <w:t xml:space="preserve"> </w:t>
      </w:r>
      <w:r w:rsidR="009F2E12">
        <w:rPr>
          <w:rFonts w:ascii="Times New Roman" w:eastAsia="Times New Roman" w:hAnsi="Times New Roman" w:cs="Times New Roman"/>
          <w:bCs/>
          <w:kern w:val="0"/>
          <w:sz w:val="28"/>
          <w:szCs w:val="28"/>
          <w:lang w:val="uk-UA" w:eastAsia="ru-RU"/>
          <w14:ligatures w14:val="none"/>
        </w:rPr>
        <w:t>Кочерга С.К.</w:t>
      </w:r>
    </w:p>
    <w:p w14:paraId="4307ECBB" w14:textId="77777777" w:rsidR="00AA2058" w:rsidRPr="00042924" w:rsidRDefault="00AA2058" w:rsidP="00AA2058">
      <w:pPr>
        <w:autoSpaceDE w:val="0"/>
        <w:autoSpaceDN w:val="0"/>
        <w:adjustRightInd w:val="0"/>
        <w:spacing w:after="0" w:line="240" w:lineRule="auto"/>
        <w:jc w:val="center"/>
        <w:rPr>
          <w:rFonts w:ascii="Times New Roman" w:eastAsia="Times New Roman" w:hAnsi="Times New Roman" w:cs="Times New Roman"/>
          <w:bCs/>
          <w:kern w:val="0"/>
          <w:sz w:val="28"/>
          <w:szCs w:val="28"/>
          <w:lang w:val="uk-UA" w:eastAsia="ru-RU"/>
          <w14:ligatures w14:val="none"/>
        </w:rPr>
      </w:pPr>
      <w:r w:rsidRPr="00042924">
        <w:rPr>
          <w:rFonts w:ascii="Times New Roman" w:eastAsia="Calibri" w:hAnsi="Times New Roman" w:cs="Times New Roman"/>
          <w:bCs/>
          <w:kern w:val="0"/>
          <w:szCs w:val="24"/>
          <w:vertAlign w:val="superscript"/>
          <w:lang w:val="uk-UA"/>
          <w14:ligatures w14:val="none"/>
        </w:rPr>
        <w:t xml:space="preserve">                                                                                         ( підпис )</w:t>
      </w:r>
    </w:p>
    <w:p w14:paraId="2211A631" w14:textId="77777777" w:rsidR="00AA2058" w:rsidRPr="00042924" w:rsidRDefault="00AA2058" w:rsidP="00AA2058">
      <w:pPr>
        <w:autoSpaceDE w:val="0"/>
        <w:autoSpaceDN w:val="0"/>
        <w:adjustRightInd w:val="0"/>
        <w:spacing w:after="0" w:line="240" w:lineRule="auto"/>
        <w:rPr>
          <w:rFonts w:ascii="Times New Roman" w:eastAsia="Times New Roman" w:hAnsi="Times New Roman" w:cs="Times New Roman"/>
          <w:b/>
          <w:bCs/>
          <w:kern w:val="0"/>
          <w:sz w:val="24"/>
          <w:szCs w:val="24"/>
          <w:highlight w:val="yellow"/>
          <w:lang w:val="uk-UA" w:eastAsia="ru-RU"/>
          <w14:ligatures w14:val="none"/>
        </w:rPr>
      </w:pPr>
    </w:p>
    <w:p w14:paraId="1A215AA1" w14:textId="77777777" w:rsidR="00AA2058" w:rsidRPr="00913646" w:rsidRDefault="00AA2058" w:rsidP="00AA2058">
      <w:pPr>
        <w:autoSpaceDE w:val="0"/>
        <w:autoSpaceDN w:val="0"/>
        <w:adjustRightInd w:val="0"/>
        <w:spacing w:after="0" w:line="240" w:lineRule="auto"/>
        <w:jc w:val="right"/>
        <w:rPr>
          <w:rFonts w:ascii="Times New Roman" w:eastAsia="Times New Roman" w:hAnsi="Times New Roman" w:cs="Times New Roman"/>
          <w:bCs/>
          <w:kern w:val="0"/>
          <w:sz w:val="28"/>
          <w:szCs w:val="28"/>
          <w:lang w:val="uk-UA" w:eastAsia="ru-RU"/>
          <w14:ligatures w14:val="none"/>
        </w:rPr>
      </w:pPr>
      <w:r w:rsidRPr="00042924">
        <w:rPr>
          <w:rFonts w:ascii="Times New Roman" w:eastAsia="Times New Roman" w:hAnsi="Times New Roman" w:cs="Times New Roman"/>
          <w:b/>
          <w:bCs/>
          <w:kern w:val="0"/>
          <w:sz w:val="28"/>
          <w:szCs w:val="28"/>
          <w:lang w:val="uk-UA" w:eastAsia="ru-RU"/>
          <w14:ligatures w14:val="none"/>
        </w:rPr>
        <w:t xml:space="preserve">Керівник роботи </w:t>
      </w:r>
      <w:r w:rsidRPr="00042924">
        <w:rPr>
          <w:rFonts w:ascii="Times New Roman" w:eastAsia="Times New Roman" w:hAnsi="Times New Roman" w:cs="Times New Roman"/>
          <w:b/>
          <w:bCs/>
          <w:kern w:val="0"/>
          <w:sz w:val="24"/>
          <w:szCs w:val="24"/>
          <w:lang w:val="uk-UA" w:eastAsia="ru-RU"/>
          <w14:ligatures w14:val="none"/>
        </w:rPr>
        <w:t xml:space="preserve">_________________________  </w:t>
      </w:r>
      <w:r w:rsidR="00913646">
        <w:rPr>
          <w:rFonts w:ascii="Times New Roman" w:eastAsia="Times New Roman" w:hAnsi="Times New Roman" w:cs="Times New Roman"/>
          <w:bCs/>
          <w:kern w:val="0"/>
          <w:sz w:val="28"/>
          <w:szCs w:val="28"/>
          <w:lang w:val="uk-UA" w:eastAsia="ru-RU"/>
          <w14:ligatures w14:val="none"/>
        </w:rPr>
        <w:t>Ніколайчук О.А.</w:t>
      </w:r>
    </w:p>
    <w:p w14:paraId="0C9E8824" w14:textId="77777777" w:rsidR="00AA2058" w:rsidRPr="00042924" w:rsidRDefault="00AA2058" w:rsidP="00AA2058">
      <w:pPr>
        <w:autoSpaceDE w:val="0"/>
        <w:autoSpaceDN w:val="0"/>
        <w:adjustRightInd w:val="0"/>
        <w:spacing w:after="0" w:line="240" w:lineRule="auto"/>
        <w:jc w:val="center"/>
        <w:rPr>
          <w:rFonts w:ascii="Calibri" w:eastAsia="Calibri" w:hAnsi="Calibri" w:cs="Times New Roman"/>
          <w:kern w:val="0"/>
          <w:lang w:val="uk-UA"/>
          <w14:ligatures w14:val="none"/>
        </w:rPr>
      </w:pPr>
      <w:r w:rsidRPr="00042924">
        <w:rPr>
          <w:rFonts w:ascii="Times New Roman" w:eastAsia="Calibri" w:hAnsi="Times New Roman" w:cs="Times New Roman"/>
          <w:bCs/>
          <w:kern w:val="0"/>
          <w:szCs w:val="24"/>
          <w:vertAlign w:val="superscript"/>
          <w:lang w:val="uk-UA"/>
          <w14:ligatures w14:val="none"/>
        </w:rPr>
        <w:t xml:space="preserve">                                                                                  ( підпис )</w:t>
      </w:r>
    </w:p>
    <w:p w14:paraId="38D982A7" w14:textId="77777777" w:rsidR="00AA2058" w:rsidRPr="00042924" w:rsidRDefault="00AA2058" w:rsidP="00AA2058">
      <w:pPr>
        <w:rPr>
          <w:rFonts w:ascii="Times New Roman" w:eastAsia="Calibri" w:hAnsi="Times New Roman" w:cs="Times New Roman"/>
          <w:b/>
          <w:kern w:val="0"/>
          <w:sz w:val="28"/>
          <w:szCs w:val="28"/>
          <w:lang w:val="uk-UA"/>
          <w14:ligatures w14:val="none"/>
        </w:rPr>
      </w:pPr>
      <w:r w:rsidRPr="00042924">
        <w:rPr>
          <w:rFonts w:ascii="Times New Roman" w:eastAsia="Calibri" w:hAnsi="Times New Roman" w:cs="Times New Roman"/>
          <w:b/>
          <w:kern w:val="0"/>
          <w:sz w:val="28"/>
          <w:szCs w:val="28"/>
          <w:lang w:val="uk-UA"/>
          <w14:ligatures w14:val="none"/>
        </w:rPr>
        <w:br w:type="page"/>
      </w:r>
    </w:p>
    <w:p w14:paraId="0B7615A4" w14:textId="77777777" w:rsidR="00AA2058" w:rsidRDefault="00AA2058" w:rsidP="00517187">
      <w:pPr>
        <w:spacing w:after="0" w:line="240" w:lineRule="auto"/>
        <w:jc w:val="center"/>
        <w:rPr>
          <w:rFonts w:ascii="Times New Roman" w:eastAsia="Calibri" w:hAnsi="Times New Roman" w:cs="Times New Roman"/>
          <w:b/>
          <w:kern w:val="0"/>
          <w:sz w:val="28"/>
          <w:szCs w:val="28"/>
          <w:lang w:val="uk-UA"/>
          <w14:ligatures w14:val="none"/>
        </w:rPr>
      </w:pPr>
      <w:r w:rsidRPr="00042924">
        <w:rPr>
          <w:rFonts w:ascii="Times New Roman" w:eastAsia="Calibri" w:hAnsi="Times New Roman" w:cs="Times New Roman"/>
          <w:b/>
          <w:kern w:val="0"/>
          <w:sz w:val="28"/>
          <w:szCs w:val="28"/>
          <w:lang w:val="uk-UA"/>
          <w14:ligatures w14:val="none"/>
        </w:rPr>
        <w:lastRenderedPageBreak/>
        <w:t>РЕФЕРАТ</w:t>
      </w:r>
    </w:p>
    <w:p w14:paraId="4C28E74E" w14:textId="77777777" w:rsidR="00517187" w:rsidRDefault="00517187" w:rsidP="00517187">
      <w:pPr>
        <w:spacing w:after="0" w:line="240" w:lineRule="auto"/>
        <w:ind w:firstLine="720"/>
        <w:jc w:val="both"/>
        <w:rPr>
          <w:rFonts w:ascii="Times New Roman" w:eastAsia="Calibri" w:hAnsi="Times New Roman" w:cs="Times New Roman"/>
          <w:b/>
          <w:kern w:val="0"/>
          <w:sz w:val="28"/>
          <w:szCs w:val="28"/>
          <w:lang w:val="uk-UA"/>
          <w14:ligatures w14:val="none"/>
        </w:rPr>
      </w:pPr>
    </w:p>
    <w:p w14:paraId="583E740D" w14:textId="77777777" w:rsidR="00517187" w:rsidRPr="00042924" w:rsidRDefault="00517187" w:rsidP="00517187">
      <w:pPr>
        <w:spacing w:after="0" w:line="240" w:lineRule="auto"/>
        <w:ind w:firstLine="720"/>
        <w:jc w:val="both"/>
        <w:rPr>
          <w:rFonts w:ascii="Times New Roman" w:eastAsia="Calibri" w:hAnsi="Times New Roman" w:cs="Times New Roman"/>
          <w:b/>
          <w:kern w:val="0"/>
          <w:sz w:val="28"/>
          <w:szCs w:val="28"/>
          <w:lang w:val="uk-UA"/>
          <w14:ligatures w14:val="none"/>
        </w:rPr>
      </w:pPr>
    </w:p>
    <w:p w14:paraId="6EF6F2F5" w14:textId="77777777" w:rsidR="00AA2058" w:rsidRPr="00042924" w:rsidRDefault="00AA2058" w:rsidP="00517187">
      <w:pPr>
        <w:spacing w:after="0" w:line="240" w:lineRule="auto"/>
        <w:ind w:firstLine="720"/>
        <w:jc w:val="both"/>
        <w:rPr>
          <w:rFonts w:ascii="Times New Roman" w:eastAsia="Calibri" w:hAnsi="Times New Roman" w:cs="Times New Roman"/>
          <w:kern w:val="0"/>
          <w:sz w:val="28"/>
          <w:szCs w:val="28"/>
          <w:lang w:val="uk-UA"/>
          <w14:ligatures w14:val="none"/>
        </w:rPr>
      </w:pPr>
      <w:r w:rsidRPr="00042924">
        <w:rPr>
          <w:rFonts w:ascii="Times New Roman" w:eastAsia="Calibri" w:hAnsi="Times New Roman" w:cs="Times New Roman"/>
          <w:kern w:val="0"/>
          <w:sz w:val="28"/>
          <w:szCs w:val="28"/>
          <w:lang w:val="uk-UA"/>
          <w14:ligatures w14:val="none"/>
        </w:rPr>
        <w:t>Загальна кількість в роботі: сторінок</w:t>
      </w:r>
      <w:r w:rsidR="00C46C91">
        <w:rPr>
          <w:rFonts w:ascii="Times New Roman" w:eastAsia="Calibri" w:hAnsi="Times New Roman" w:cs="Times New Roman"/>
          <w:kern w:val="0"/>
          <w:sz w:val="28"/>
          <w:szCs w:val="28"/>
          <w:lang w:val="uk-UA"/>
          <w14:ligatures w14:val="none"/>
        </w:rPr>
        <w:t xml:space="preserve"> – </w:t>
      </w:r>
      <w:r w:rsidR="00390292" w:rsidRPr="00BE6C60">
        <w:rPr>
          <w:rFonts w:ascii="Times New Roman" w:eastAsia="Calibri" w:hAnsi="Times New Roman" w:cs="Times New Roman"/>
          <w:kern w:val="0"/>
          <w:sz w:val="28"/>
          <w:szCs w:val="28"/>
          <w:lang w:val="uk-UA"/>
          <w14:ligatures w14:val="none"/>
        </w:rPr>
        <w:t>70</w:t>
      </w:r>
      <w:r w:rsidR="00C46C91">
        <w:rPr>
          <w:rFonts w:ascii="Times New Roman" w:eastAsia="Calibri" w:hAnsi="Times New Roman" w:cs="Times New Roman"/>
          <w:kern w:val="0"/>
          <w:sz w:val="28"/>
          <w:szCs w:val="28"/>
          <w:lang w:val="uk-UA"/>
          <w14:ligatures w14:val="none"/>
        </w:rPr>
        <w:t xml:space="preserve"> с</w:t>
      </w:r>
      <w:r w:rsidR="00480EA4">
        <w:rPr>
          <w:rFonts w:ascii="Times New Roman" w:eastAsia="Calibri" w:hAnsi="Times New Roman" w:cs="Times New Roman"/>
          <w:kern w:val="0"/>
          <w:sz w:val="28"/>
          <w:szCs w:val="28"/>
          <w:lang w:val="uk-UA"/>
          <w14:ligatures w14:val="none"/>
        </w:rPr>
        <w:t>т</w:t>
      </w:r>
      <w:r w:rsidR="00C46C91">
        <w:rPr>
          <w:rFonts w:ascii="Times New Roman" w:eastAsia="Calibri" w:hAnsi="Times New Roman" w:cs="Times New Roman"/>
          <w:kern w:val="0"/>
          <w:sz w:val="28"/>
          <w:szCs w:val="28"/>
          <w:lang w:val="uk-UA"/>
          <w14:ligatures w14:val="none"/>
        </w:rPr>
        <w:t>.</w:t>
      </w:r>
      <w:r w:rsidRPr="00042924">
        <w:rPr>
          <w:rFonts w:ascii="Times New Roman" w:eastAsia="Calibri" w:hAnsi="Times New Roman" w:cs="Times New Roman"/>
          <w:kern w:val="0"/>
          <w:sz w:val="28"/>
          <w:szCs w:val="28"/>
          <w:lang w:val="uk-UA"/>
          <w14:ligatures w14:val="none"/>
        </w:rPr>
        <w:t>, рисунків</w:t>
      </w:r>
      <w:r w:rsidR="00C46C91">
        <w:rPr>
          <w:rFonts w:ascii="Times New Roman" w:eastAsia="Calibri" w:hAnsi="Times New Roman" w:cs="Times New Roman"/>
          <w:kern w:val="0"/>
          <w:sz w:val="28"/>
          <w:szCs w:val="28"/>
          <w:lang w:val="uk-UA"/>
          <w14:ligatures w14:val="none"/>
        </w:rPr>
        <w:t xml:space="preserve"> – </w:t>
      </w:r>
      <w:r w:rsidR="00623E32">
        <w:rPr>
          <w:rFonts w:ascii="Times New Roman" w:eastAsia="Calibri" w:hAnsi="Times New Roman" w:cs="Times New Roman"/>
          <w:kern w:val="0"/>
          <w:sz w:val="28"/>
          <w:szCs w:val="28"/>
          <w:lang w:val="uk-UA"/>
          <w14:ligatures w14:val="none"/>
        </w:rPr>
        <w:t>9</w:t>
      </w:r>
      <w:r w:rsidR="00C46C91">
        <w:rPr>
          <w:rFonts w:ascii="Times New Roman" w:eastAsia="Calibri" w:hAnsi="Times New Roman" w:cs="Times New Roman"/>
          <w:kern w:val="0"/>
          <w:sz w:val="28"/>
          <w:szCs w:val="28"/>
          <w:lang w:val="uk-UA"/>
          <w14:ligatures w14:val="none"/>
        </w:rPr>
        <w:t xml:space="preserve"> шт.</w:t>
      </w:r>
      <w:r w:rsidRPr="00042924">
        <w:rPr>
          <w:rFonts w:ascii="Times New Roman" w:eastAsia="Calibri" w:hAnsi="Times New Roman" w:cs="Times New Roman"/>
          <w:kern w:val="0"/>
          <w:sz w:val="28"/>
          <w:szCs w:val="28"/>
          <w:lang w:val="uk-UA"/>
          <w14:ligatures w14:val="none"/>
        </w:rPr>
        <w:t>, таблиць</w:t>
      </w:r>
      <w:r w:rsidR="0092089C">
        <w:rPr>
          <w:rFonts w:ascii="Times New Roman" w:eastAsia="Calibri" w:hAnsi="Times New Roman" w:cs="Times New Roman"/>
          <w:kern w:val="0"/>
          <w:sz w:val="28"/>
          <w:szCs w:val="28"/>
          <w:lang w:val="uk-UA"/>
          <w14:ligatures w14:val="none"/>
        </w:rPr>
        <w:t xml:space="preserve"> – </w:t>
      </w:r>
      <w:r w:rsidR="00623E32">
        <w:rPr>
          <w:rFonts w:ascii="Times New Roman" w:eastAsia="Calibri" w:hAnsi="Times New Roman" w:cs="Times New Roman"/>
          <w:kern w:val="0"/>
          <w:sz w:val="28"/>
          <w:szCs w:val="28"/>
          <w:lang w:val="uk-UA"/>
          <w14:ligatures w14:val="none"/>
        </w:rPr>
        <w:t>3</w:t>
      </w:r>
      <w:r w:rsidR="00390292" w:rsidRPr="00BE6C60">
        <w:rPr>
          <w:rFonts w:ascii="Times New Roman" w:eastAsia="Calibri" w:hAnsi="Times New Roman" w:cs="Times New Roman"/>
          <w:kern w:val="0"/>
          <w:sz w:val="28"/>
          <w:szCs w:val="28"/>
          <w:lang w:val="uk-UA"/>
          <w14:ligatures w14:val="none"/>
        </w:rPr>
        <w:t>2</w:t>
      </w:r>
      <w:r w:rsidR="0092089C">
        <w:rPr>
          <w:rFonts w:ascii="Times New Roman" w:eastAsia="Calibri" w:hAnsi="Times New Roman" w:cs="Times New Roman"/>
          <w:kern w:val="0"/>
          <w:sz w:val="28"/>
          <w:szCs w:val="28"/>
          <w:lang w:val="uk-UA"/>
          <w14:ligatures w14:val="none"/>
        </w:rPr>
        <w:t xml:space="preserve"> шт.</w:t>
      </w:r>
      <w:r w:rsidRPr="00042924">
        <w:rPr>
          <w:rFonts w:ascii="Times New Roman" w:eastAsia="Calibri" w:hAnsi="Times New Roman" w:cs="Times New Roman"/>
          <w:kern w:val="0"/>
          <w:sz w:val="28"/>
          <w:szCs w:val="28"/>
          <w:lang w:val="uk-UA"/>
          <w14:ligatures w14:val="none"/>
        </w:rPr>
        <w:t xml:space="preserve">, </w:t>
      </w:r>
      <w:r w:rsidRPr="0092089C">
        <w:rPr>
          <w:rFonts w:ascii="Times New Roman" w:eastAsia="Calibri" w:hAnsi="Times New Roman" w:cs="Times New Roman"/>
          <w:kern w:val="0"/>
          <w:sz w:val="28"/>
          <w:szCs w:val="28"/>
          <w:lang w:val="uk-UA"/>
          <w14:ligatures w14:val="none"/>
        </w:rPr>
        <w:t xml:space="preserve">додатків </w:t>
      </w:r>
      <w:r w:rsidR="0092089C">
        <w:rPr>
          <w:rFonts w:ascii="Times New Roman" w:eastAsia="Calibri" w:hAnsi="Times New Roman" w:cs="Times New Roman"/>
          <w:kern w:val="0"/>
          <w:sz w:val="28"/>
          <w:szCs w:val="28"/>
          <w:lang w:val="uk-UA"/>
          <w14:ligatures w14:val="none"/>
        </w:rPr>
        <w:t>–</w:t>
      </w:r>
      <w:r w:rsidR="0092089C" w:rsidRPr="0092089C">
        <w:rPr>
          <w:rFonts w:ascii="Times New Roman" w:eastAsia="Calibri" w:hAnsi="Times New Roman" w:cs="Times New Roman"/>
          <w:kern w:val="0"/>
          <w:sz w:val="28"/>
          <w:szCs w:val="28"/>
          <w:lang w:val="uk-UA"/>
          <w14:ligatures w14:val="none"/>
        </w:rPr>
        <w:t xml:space="preserve"> </w:t>
      </w:r>
      <w:r w:rsidR="00390292" w:rsidRPr="00BE6C60">
        <w:rPr>
          <w:rFonts w:ascii="Times New Roman" w:eastAsia="Calibri" w:hAnsi="Times New Roman" w:cs="Times New Roman"/>
          <w:kern w:val="0"/>
          <w:sz w:val="28"/>
          <w:szCs w:val="28"/>
          <w:lang w:val="uk-UA"/>
          <w14:ligatures w14:val="none"/>
        </w:rPr>
        <w:t>5</w:t>
      </w:r>
      <w:r w:rsidR="0092089C">
        <w:rPr>
          <w:rFonts w:ascii="Times New Roman" w:eastAsia="Calibri" w:hAnsi="Times New Roman" w:cs="Times New Roman"/>
          <w:kern w:val="0"/>
          <w:sz w:val="28"/>
          <w:szCs w:val="28"/>
          <w:lang w:val="uk-UA"/>
          <w14:ligatures w14:val="none"/>
        </w:rPr>
        <w:t xml:space="preserve"> шт.</w:t>
      </w:r>
      <w:r w:rsidRPr="0092089C">
        <w:rPr>
          <w:rFonts w:ascii="Times New Roman" w:eastAsia="Calibri" w:hAnsi="Times New Roman" w:cs="Times New Roman"/>
          <w:kern w:val="0"/>
          <w:sz w:val="28"/>
          <w:szCs w:val="28"/>
          <w:lang w:val="uk-UA"/>
          <w14:ligatures w14:val="none"/>
        </w:rPr>
        <w:t>,</w:t>
      </w:r>
      <w:r w:rsidRPr="00042924">
        <w:rPr>
          <w:rFonts w:ascii="Times New Roman" w:eastAsia="Calibri" w:hAnsi="Times New Roman" w:cs="Times New Roman"/>
          <w:kern w:val="0"/>
          <w:sz w:val="28"/>
          <w:szCs w:val="28"/>
          <w:lang w:val="uk-UA"/>
          <w14:ligatures w14:val="none"/>
        </w:rPr>
        <w:t xml:space="preserve"> використаних джерел</w:t>
      </w:r>
      <w:r w:rsidR="0092089C">
        <w:rPr>
          <w:rFonts w:ascii="Times New Roman" w:eastAsia="Calibri" w:hAnsi="Times New Roman" w:cs="Times New Roman"/>
          <w:kern w:val="0"/>
          <w:sz w:val="28"/>
          <w:szCs w:val="28"/>
          <w:lang w:val="uk-UA"/>
          <w14:ligatures w14:val="none"/>
        </w:rPr>
        <w:t xml:space="preserve"> – </w:t>
      </w:r>
      <w:r w:rsidR="00480EA4">
        <w:rPr>
          <w:rFonts w:ascii="Times New Roman" w:eastAsia="Calibri" w:hAnsi="Times New Roman" w:cs="Times New Roman"/>
          <w:kern w:val="0"/>
          <w:sz w:val="28"/>
          <w:szCs w:val="28"/>
          <w:lang w:val="uk-UA"/>
          <w14:ligatures w14:val="none"/>
        </w:rPr>
        <w:t>4</w:t>
      </w:r>
      <w:r w:rsidR="00390292" w:rsidRPr="00BE6C60">
        <w:rPr>
          <w:rFonts w:ascii="Times New Roman" w:eastAsia="Calibri" w:hAnsi="Times New Roman" w:cs="Times New Roman"/>
          <w:kern w:val="0"/>
          <w:sz w:val="28"/>
          <w:szCs w:val="28"/>
          <w:lang w:val="uk-UA"/>
          <w14:ligatures w14:val="none"/>
        </w:rPr>
        <w:t>0</w:t>
      </w:r>
      <w:r w:rsidR="0092089C">
        <w:rPr>
          <w:rFonts w:ascii="Times New Roman" w:eastAsia="Calibri" w:hAnsi="Times New Roman" w:cs="Times New Roman"/>
          <w:kern w:val="0"/>
          <w:sz w:val="28"/>
          <w:szCs w:val="28"/>
          <w:lang w:val="uk-UA"/>
          <w14:ligatures w14:val="none"/>
        </w:rPr>
        <w:t xml:space="preserve"> шт.</w:t>
      </w:r>
    </w:p>
    <w:p w14:paraId="12D391D9" w14:textId="77777777" w:rsidR="00CE7A98" w:rsidRDefault="00CE7A98" w:rsidP="00517187">
      <w:pPr>
        <w:spacing w:after="0" w:line="240" w:lineRule="auto"/>
        <w:ind w:firstLine="709"/>
        <w:jc w:val="both"/>
        <w:rPr>
          <w:rFonts w:ascii="Times New Roman" w:eastAsia="Calibri" w:hAnsi="Times New Roman" w:cs="Times New Roman"/>
          <w:kern w:val="0"/>
          <w:sz w:val="28"/>
          <w:szCs w:val="28"/>
          <w:lang w:val="uk-UA"/>
          <w14:ligatures w14:val="none"/>
        </w:rPr>
      </w:pPr>
    </w:p>
    <w:p w14:paraId="598EFA96" w14:textId="77777777" w:rsidR="00B726CD" w:rsidRPr="00B726CD" w:rsidRDefault="00B726CD" w:rsidP="00517187">
      <w:pPr>
        <w:spacing w:after="0" w:line="240" w:lineRule="auto"/>
        <w:ind w:firstLine="709"/>
        <w:jc w:val="both"/>
        <w:rPr>
          <w:rFonts w:ascii="Times New Roman" w:eastAsia="Calibri" w:hAnsi="Times New Roman" w:cs="Times New Roman"/>
          <w:kern w:val="0"/>
          <w:sz w:val="28"/>
          <w:szCs w:val="28"/>
          <w:lang w:val="uk-UA"/>
          <w14:ligatures w14:val="none"/>
        </w:rPr>
      </w:pPr>
      <w:r w:rsidRPr="00B726CD">
        <w:rPr>
          <w:rFonts w:ascii="Times New Roman" w:eastAsia="Calibri" w:hAnsi="Times New Roman" w:cs="Times New Roman"/>
          <w:kern w:val="0"/>
          <w:sz w:val="28"/>
          <w:szCs w:val="28"/>
          <w:lang w:val="uk-UA"/>
          <w14:ligatures w14:val="none"/>
        </w:rPr>
        <w:t>Об’єктом дослідження</w:t>
      </w:r>
      <w:r w:rsidR="002746CA">
        <w:rPr>
          <w:rFonts w:ascii="Times New Roman" w:eastAsia="Calibri" w:hAnsi="Times New Roman" w:cs="Times New Roman"/>
          <w:kern w:val="0"/>
          <w:sz w:val="28"/>
          <w:szCs w:val="28"/>
          <w:lang w:val="uk-UA"/>
          <w14:ligatures w14:val="none"/>
        </w:rPr>
        <w:t>:</w:t>
      </w:r>
      <w:r w:rsidRPr="00B726CD">
        <w:rPr>
          <w:rFonts w:ascii="Times New Roman" w:eastAsia="Calibri" w:hAnsi="Times New Roman" w:cs="Times New Roman"/>
          <w:kern w:val="0"/>
          <w:sz w:val="28"/>
          <w:szCs w:val="28"/>
          <w:lang w:val="uk-UA"/>
          <w14:ligatures w14:val="none"/>
        </w:rPr>
        <w:t xml:space="preserve"> є фінансово-господарська діяльність ПАТ «АрселорМіттал Кривий Ріг».</w:t>
      </w:r>
    </w:p>
    <w:p w14:paraId="5D3034A4" w14:textId="77777777" w:rsidR="00626747" w:rsidRDefault="00B726CD" w:rsidP="00517187">
      <w:pPr>
        <w:spacing w:after="0" w:line="240" w:lineRule="auto"/>
        <w:ind w:firstLine="709"/>
        <w:jc w:val="both"/>
        <w:rPr>
          <w:rFonts w:ascii="Times New Roman" w:eastAsia="Calibri" w:hAnsi="Times New Roman" w:cs="Times New Roman"/>
          <w:kern w:val="0"/>
          <w:sz w:val="28"/>
          <w:szCs w:val="28"/>
          <w:lang w:val="uk-UA"/>
          <w14:ligatures w14:val="none"/>
        </w:rPr>
      </w:pPr>
      <w:r w:rsidRPr="00B726CD">
        <w:rPr>
          <w:rFonts w:ascii="Times New Roman" w:eastAsia="Calibri" w:hAnsi="Times New Roman" w:cs="Times New Roman"/>
          <w:kern w:val="0"/>
          <w:sz w:val="28"/>
          <w:szCs w:val="28"/>
          <w:lang w:val="uk-UA"/>
          <w14:ligatures w14:val="none"/>
        </w:rPr>
        <w:t>Предметом дослідження</w:t>
      </w:r>
      <w:r w:rsidR="002746CA">
        <w:rPr>
          <w:rFonts w:ascii="Times New Roman" w:eastAsia="Calibri" w:hAnsi="Times New Roman" w:cs="Times New Roman"/>
          <w:kern w:val="0"/>
          <w:sz w:val="28"/>
          <w:szCs w:val="28"/>
          <w:lang w:val="uk-UA"/>
          <w14:ligatures w14:val="none"/>
        </w:rPr>
        <w:t>:</w:t>
      </w:r>
      <w:r w:rsidRPr="00B726CD">
        <w:rPr>
          <w:rFonts w:ascii="Times New Roman" w:eastAsia="Calibri" w:hAnsi="Times New Roman" w:cs="Times New Roman"/>
          <w:kern w:val="0"/>
          <w:sz w:val="28"/>
          <w:szCs w:val="28"/>
          <w:lang w:val="uk-UA"/>
          <w14:ligatures w14:val="none"/>
        </w:rPr>
        <w:t xml:space="preserve"> є теоретико-методичні та практичні аспекти діагностики банкрутства підприємства та розробки заходів щодо його запобігання.</w:t>
      </w:r>
    </w:p>
    <w:p w14:paraId="1D6063DA" w14:textId="77777777" w:rsidR="00626747" w:rsidRDefault="00626747" w:rsidP="00517187">
      <w:pPr>
        <w:spacing w:after="0" w:line="240" w:lineRule="auto"/>
        <w:ind w:firstLine="709"/>
        <w:jc w:val="both"/>
        <w:rPr>
          <w:rFonts w:ascii="Times New Roman" w:eastAsia="Calibri" w:hAnsi="Times New Roman" w:cs="Times New Roman"/>
          <w:kern w:val="0"/>
          <w:sz w:val="28"/>
          <w:szCs w:val="28"/>
          <w:lang w:val="uk-UA"/>
          <w14:ligatures w14:val="none"/>
        </w:rPr>
      </w:pPr>
      <w:r w:rsidRPr="00626747">
        <w:rPr>
          <w:rFonts w:ascii="Times New Roman" w:eastAsia="Calibri" w:hAnsi="Times New Roman" w:cs="Times New Roman"/>
          <w:kern w:val="0"/>
          <w:sz w:val="28"/>
          <w:szCs w:val="28"/>
          <w:lang w:val="uk-UA"/>
          <w14:ligatures w14:val="none"/>
        </w:rPr>
        <w:t>Мета кваліфікаційної роботи</w:t>
      </w:r>
      <w:r w:rsidR="002746CA">
        <w:rPr>
          <w:rFonts w:ascii="Times New Roman" w:eastAsia="Calibri" w:hAnsi="Times New Roman" w:cs="Times New Roman"/>
          <w:kern w:val="0"/>
          <w:sz w:val="28"/>
          <w:szCs w:val="28"/>
          <w:lang w:val="uk-UA"/>
          <w14:ligatures w14:val="none"/>
        </w:rPr>
        <w:t>:</w:t>
      </w:r>
      <w:r w:rsidRPr="00626747">
        <w:rPr>
          <w:rFonts w:ascii="Times New Roman" w:eastAsia="Calibri" w:hAnsi="Times New Roman" w:cs="Times New Roman"/>
          <w:kern w:val="0"/>
          <w:sz w:val="28"/>
          <w:szCs w:val="28"/>
          <w:lang w:val="uk-UA"/>
          <w14:ligatures w14:val="none"/>
        </w:rPr>
        <w:t xml:space="preserve"> полягає у діагностиці банкрутства ПАТ «АрселорМіттал Кривий Ріг» та обґрунтуванні заходів щодо запобігання.</w:t>
      </w:r>
    </w:p>
    <w:p w14:paraId="15E367BB" w14:textId="77777777" w:rsidR="00A814BA" w:rsidRPr="00A814BA" w:rsidRDefault="00626747" w:rsidP="00517187">
      <w:pPr>
        <w:spacing w:after="0" w:line="240" w:lineRule="auto"/>
        <w:ind w:firstLine="709"/>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М</w:t>
      </w:r>
      <w:r w:rsidRPr="00626747">
        <w:rPr>
          <w:rFonts w:ascii="Times New Roman" w:eastAsia="Calibri" w:hAnsi="Times New Roman" w:cs="Times New Roman"/>
          <w:kern w:val="0"/>
          <w:sz w:val="28"/>
          <w:szCs w:val="28"/>
          <w:lang w:val="uk-UA"/>
          <w14:ligatures w14:val="none"/>
        </w:rPr>
        <w:t>етоди дослідження</w:t>
      </w:r>
      <w:r w:rsidR="00FD7CD2">
        <w:rPr>
          <w:rFonts w:ascii="Times New Roman" w:eastAsia="Calibri" w:hAnsi="Times New Roman" w:cs="Times New Roman"/>
          <w:kern w:val="0"/>
          <w:sz w:val="28"/>
          <w:szCs w:val="28"/>
          <w:lang w:val="uk-UA"/>
          <w14:ligatures w14:val="none"/>
        </w:rPr>
        <w:t>:</w:t>
      </w:r>
      <w:r w:rsidRPr="00626747">
        <w:rPr>
          <w:rFonts w:ascii="Times New Roman" w:eastAsia="Calibri" w:hAnsi="Times New Roman" w:cs="Times New Roman"/>
          <w:kern w:val="0"/>
          <w:sz w:val="28"/>
          <w:szCs w:val="28"/>
          <w:lang w:val="uk-UA"/>
          <w14:ligatures w14:val="none"/>
        </w:rPr>
        <w:t xml:space="preserve"> системно-орієнтований підхід, статистичний аналіз, економічний і фінансовий аналіз, кількісний і структурний аналіз, експертний аналіз, </w:t>
      </w:r>
      <w:r w:rsidRPr="00D06AE4">
        <w:rPr>
          <w:rFonts w:ascii="Times New Roman" w:eastAsia="Calibri" w:hAnsi="Times New Roman" w:cs="Times New Roman"/>
          <w:kern w:val="0"/>
          <w:sz w:val="28"/>
          <w:szCs w:val="28"/>
          <w:lang w:val="uk-UA"/>
          <w14:ligatures w14:val="none"/>
        </w:rPr>
        <w:t>методи імовірнісного моделювання та фінансового прогнозування.</w:t>
      </w:r>
      <w:r w:rsidR="00A814BA" w:rsidRPr="00A814BA">
        <w:rPr>
          <w:rFonts w:ascii="Times New Roman" w:eastAsia="Calibri" w:hAnsi="Times New Roman" w:cs="Times New Roman"/>
          <w:kern w:val="0"/>
          <w:sz w:val="28"/>
          <w:szCs w:val="28"/>
          <w:lang w:val="uk-UA"/>
          <w14:ligatures w14:val="none"/>
        </w:rPr>
        <w:tab/>
      </w:r>
    </w:p>
    <w:p w14:paraId="500F39FD" w14:textId="77777777" w:rsidR="00A814BA" w:rsidRPr="00F2731E" w:rsidRDefault="00A814BA" w:rsidP="00517187">
      <w:pPr>
        <w:spacing w:after="0" w:line="240" w:lineRule="auto"/>
        <w:ind w:firstLine="709"/>
        <w:jc w:val="both"/>
        <w:rPr>
          <w:rFonts w:ascii="Times New Roman" w:eastAsia="Calibri" w:hAnsi="Times New Roman" w:cs="Times New Roman"/>
          <w:kern w:val="0"/>
          <w:sz w:val="28"/>
          <w:szCs w:val="28"/>
          <w:lang w:val="uk-UA"/>
          <w14:ligatures w14:val="none"/>
        </w:rPr>
      </w:pPr>
      <w:r w:rsidRPr="00A814BA">
        <w:rPr>
          <w:rFonts w:ascii="Times New Roman" w:eastAsia="Calibri" w:hAnsi="Times New Roman" w:cs="Times New Roman"/>
          <w:kern w:val="0"/>
          <w:sz w:val="28"/>
          <w:szCs w:val="28"/>
          <w:lang w:val="uk-UA"/>
          <w14:ligatures w14:val="none"/>
        </w:rPr>
        <w:t>Основні результати дослідження:</w:t>
      </w:r>
      <w:r w:rsidR="002746CA">
        <w:rPr>
          <w:rFonts w:ascii="Times New Roman" w:eastAsia="Calibri" w:hAnsi="Times New Roman" w:cs="Times New Roman"/>
          <w:kern w:val="0"/>
          <w:sz w:val="28"/>
          <w:szCs w:val="28"/>
          <w:lang w:val="uk-UA"/>
          <w14:ligatures w14:val="none"/>
        </w:rPr>
        <w:t xml:space="preserve"> </w:t>
      </w:r>
      <w:r w:rsidR="00C80693" w:rsidRPr="00BB4C03">
        <w:rPr>
          <w:rFonts w:ascii="Times New Roman" w:hAnsi="Times New Roman" w:cs="Times New Roman"/>
          <w:color w:val="000000" w:themeColor="text1"/>
          <w:sz w:val="28"/>
          <w:szCs w:val="28"/>
          <w:lang w:val="uk-UA"/>
        </w:rPr>
        <w:t xml:space="preserve">досліджено </w:t>
      </w:r>
      <w:r w:rsidR="0063743D" w:rsidRPr="00BB4C03">
        <w:rPr>
          <w:rFonts w:ascii="Times New Roman" w:hAnsi="Times New Roman" w:cs="Times New Roman"/>
          <w:color w:val="000000" w:themeColor="text1"/>
          <w:sz w:val="28"/>
          <w:szCs w:val="28"/>
          <w:lang w:val="uk-UA"/>
        </w:rPr>
        <w:t xml:space="preserve">теоретичну </w:t>
      </w:r>
      <w:r w:rsidR="00C80693" w:rsidRPr="00BB4C03">
        <w:rPr>
          <w:rFonts w:ascii="Times New Roman" w:hAnsi="Times New Roman" w:cs="Times New Roman"/>
          <w:color w:val="000000" w:themeColor="text1"/>
          <w:sz w:val="28"/>
          <w:szCs w:val="28"/>
          <w:lang w:val="uk-UA"/>
        </w:rPr>
        <w:t>сутність</w:t>
      </w:r>
      <w:r w:rsidR="0063743D" w:rsidRPr="00BB4C03">
        <w:rPr>
          <w:rFonts w:ascii="Times New Roman" w:hAnsi="Times New Roman" w:cs="Times New Roman"/>
          <w:color w:val="000000" w:themeColor="text1"/>
          <w:sz w:val="28"/>
          <w:szCs w:val="28"/>
          <w:lang w:val="uk-UA"/>
        </w:rPr>
        <w:t xml:space="preserve">, причини та наслідки </w:t>
      </w:r>
      <w:r w:rsidR="00C80693" w:rsidRPr="00BB4C03">
        <w:rPr>
          <w:rFonts w:ascii="Times New Roman" w:hAnsi="Times New Roman" w:cs="Times New Roman"/>
          <w:color w:val="000000" w:themeColor="text1"/>
          <w:sz w:val="28"/>
          <w:szCs w:val="28"/>
          <w:lang w:val="uk-UA"/>
        </w:rPr>
        <w:t>поняття «</w:t>
      </w:r>
      <w:r w:rsidR="00145A14" w:rsidRPr="00BB4C03">
        <w:rPr>
          <w:rFonts w:ascii="Times New Roman" w:hAnsi="Times New Roman" w:cs="Times New Roman"/>
          <w:color w:val="000000" w:themeColor="text1"/>
          <w:sz w:val="28"/>
          <w:szCs w:val="28"/>
          <w:lang w:val="uk-UA"/>
        </w:rPr>
        <w:t>банкрутство</w:t>
      </w:r>
      <w:r w:rsidR="00C80693" w:rsidRPr="00BB4C03">
        <w:rPr>
          <w:rFonts w:ascii="Times New Roman" w:hAnsi="Times New Roman" w:cs="Times New Roman"/>
          <w:color w:val="000000" w:themeColor="text1"/>
          <w:sz w:val="28"/>
          <w:szCs w:val="28"/>
          <w:lang w:val="uk-UA"/>
        </w:rPr>
        <w:t>»;</w:t>
      </w:r>
      <w:r w:rsidR="005253E7" w:rsidRPr="00BB4C03">
        <w:rPr>
          <w:rFonts w:ascii="Times New Roman" w:hAnsi="Times New Roman" w:cs="Times New Roman"/>
          <w:color w:val="000000" w:themeColor="text1"/>
          <w:sz w:val="28"/>
          <w:szCs w:val="28"/>
          <w:lang w:val="uk-UA"/>
        </w:rPr>
        <w:t xml:space="preserve"> вивчено методичні підходи до оцінки фінансової скрути компанії та прогнозування потенційного банкрутства  підприємств</w:t>
      </w:r>
      <w:r w:rsidR="00C80693" w:rsidRPr="00BB4C03">
        <w:rPr>
          <w:rFonts w:ascii="Times New Roman" w:hAnsi="Times New Roman" w:cs="Times New Roman"/>
          <w:color w:val="000000" w:themeColor="text1"/>
          <w:sz w:val="28"/>
          <w:szCs w:val="28"/>
          <w:lang w:val="uk-UA"/>
        </w:rPr>
        <w:t xml:space="preserve">; </w:t>
      </w:r>
      <w:r w:rsidR="00BB4C03" w:rsidRPr="00BB4C03">
        <w:rPr>
          <w:rFonts w:ascii="Times New Roman" w:hAnsi="Times New Roman" w:cs="Times New Roman"/>
          <w:color w:val="000000" w:themeColor="text1"/>
          <w:sz w:val="28"/>
          <w:szCs w:val="28"/>
          <w:lang w:val="uk-UA"/>
        </w:rPr>
        <w:t>розглянуто</w:t>
      </w:r>
      <w:r w:rsidR="005253E7" w:rsidRPr="00BB4C03">
        <w:rPr>
          <w:rFonts w:ascii="Times New Roman" w:hAnsi="Times New Roman" w:cs="Times New Roman"/>
          <w:color w:val="000000" w:themeColor="text1"/>
          <w:sz w:val="28"/>
          <w:szCs w:val="28"/>
          <w:lang w:val="uk-UA"/>
        </w:rPr>
        <w:t xml:space="preserve"> </w:t>
      </w:r>
      <w:r w:rsidR="005253E7" w:rsidRPr="00BB4C03">
        <w:rPr>
          <w:rFonts w:ascii="Times New Roman" w:eastAsia="Times New Roman" w:hAnsi="Times New Roman" w:cs="Times New Roman"/>
          <w:color w:val="000000" w:themeColor="text1"/>
          <w:sz w:val="28"/>
          <w:lang w:val="uk-UA"/>
        </w:rPr>
        <w:t>сучасні проблеми фінансового стану та банкрутства вітчизняних підприємств</w:t>
      </w:r>
      <w:r w:rsidR="00BB4C03" w:rsidRPr="00BB4C03">
        <w:rPr>
          <w:rFonts w:ascii="Times New Roman" w:eastAsia="Times New Roman" w:hAnsi="Times New Roman" w:cs="Times New Roman"/>
          <w:color w:val="000000" w:themeColor="text1"/>
          <w:sz w:val="28"/>
          <w:lang w:val="uk-UA"/>
        </w:rPr>
        <w:t>;</w:t>
      </w:r>
      <w:r w:rsidR="005253E7" w:rsidRPr="00BB4C03">
        <w:rPr>
          <w:rFonts w:ascii="Times New Roman" w:hAnsi="Times New Roman" w:cs="Times New Roman"/>
          <w:color w:val="000000" w:themeColor="text1"/>
          <w:sz w:val="28"/>
          <w:szCs w:val="28"/>
          <w:lang w:val="uk-UA"/>
        </w:rPr>
        <w:t xml:space="preserve"> </w:t>
      </w:r>
      <w:r w:rsidR="00C80693" w:rsidRPr="00BB4C03">
        <w:rPr>
          <w:rFonts w:ascii="Times New Roman" w:hAnsi="Times New Roman" w:cs="Times New Roman"/>
          <w:color w:val="000000" w:themeColor="text1"/>
          <w:sz w:val="28"/>
          <w:szCs w:val="28"/>
          <w:lang w:val="uk-UA"/>
        </w:rPr>
        <w:t xml:space="preserve">здійснено </w:t>
      </w:r>
      <w:r w:rsidR="00C80693" w:rsidRPr="00F2731E">
        <w:rPr>
          <w:rFonts w:ascii="Times New Roman" w:hAnsi="Times New Roman" w:cs="Times New Roman"/>
          <w:sz w:val="28"/>
          <w:szCs w:val="28"/>
          <w:lang w:val="uk-UA"/>
        </w:rPr>
        <w:t xml:space="preserve">аналіз показників фінансово-господарської діяльності </w:t>
      </w:r>
      <w:r w:rsidR="00B57774" w:rsidRPr="00F2731E">
        <w:rPr>
          <w:rFonts w:ascii="Times New Roman" w:eastAsia="Calibri" w:hAnsi="Times New Roman" w:cs="Times New Roman"/>
          <w:kern w:val="0"/>
          <w:sz w:val="28"/>
          <w:szCs w:val="28"/>
          <w:lang w:val="uk-UA"/>
          <w14:ligatures w14:val="none"/>
        </w:rPr>
        <w:t>ПАТ «АрселорМіттал Кривий Ріг»</w:t>
      </w:r>
      <w:r w:rsidR="00C80693" w:rsidRPr="00F2731E">
        <w:rPr>
          <w:rFonts w:ascii="Times New Roman" w:hAnsi="Times New Roman" w:cs="Times New Roman"/>
          <w:sz w:val="28"/>
          <w:szCs w:val="28"/>
          <w:lang w:val="uk-UA"/>
        </w:rPr>
        <w:t xml:space="preserve">; </w:t>
      </w:r>
      <w:r w:rsidR="00B57774" w:rsidRPr="00F2731E">
        <w:rPr>
          <w:rFonts w:ascii="Times New Roman" w:hAnsi="Times New Roman" w:cs="Times New Roman"/>
          <w:sz w:val="28"/>
          <w:szCs w:val="28"/>
          <w:lang w:val="uk-UA"/>
        </w:rPr>
        <w:t xml:space="preserve">проведено </w:t>
      </w:r>
      <w:r w:rsidR="00C028B4" w:rsidRPr="00F2731E">
        <w:rPr>
          <w:rFonts w:ascii="Times New Roman" w:eastAsia="Calibri" w:hAnsi="Times New Roman" w:cs="Times New Roman"/>
          <w:kern w:val="0"/>
          <w:sz w:val="28"/>
          <w:szCs w:val="28"/>
          <w:lang w:val="uk-UA"/>
          <w14:ligatures w14:val="none"/>
        </w:rPr>
        <w:t>оцінк</w:t>
      </w:r>
      <w:r w:rsidR="00B57774" w:rsidRPr="00F2731E">
        <w:rPr>
          <w:rFonts w:ascii="Times New Roman" w:eastAsia="Calibri" w:hAnsi="Times New Roman" w:cs="Times New Roman"/>
          <w:kern w:val="0"/>
          <w:sz w:val="28"/>
          <w:szCs w:val="28"/>
          <w:lang w:val="uk-UA"/>
          <w14:ligatures w14:val="none"/>
        </w:rPr>
        <w:t>у</w:t>
      </w:r>
      <w:r w:rsidR="00C028B4" w:rsidRPr="00F2731E">
        <w:rPr>
          <w:rFonts w:ascii="Times New Roman" w:eastAsia="Calibri" w:hAnsi="Times New Roman" w:cs="Times New Roman"/>
          <w:kern w:val="0"/>
          <w:sz w:val="28"/>
          <w:szCs w:val="28"/>
          <w:lang w:val="uk-UA"/>
          <w14:ligatures w14:val="none"/>
        </w:rPr>
        <w:t xml:space="preserve"> та </w:t>
      </w:r>
      <w:r w:rsidR="002746CA" w:rsidRPr="00F2731E">
        <w:rPr>
          <w:rFonts w:ascii="Times New Roman" w:eastAsia="Calibri" w:hAnsi="Times New Roman" w:cs="Times New Roman"/>
          <w:kern w:val="0"/>
          <w:sz w:val="28"/>
          <w:szCs w:val="28"/>
          <w:lang w:val="uk-UA"/>
          <w14:ligatures w14:val="none"/>
        </w:rPr>
        <w:t xml:space="preserve">визначення ймовірності банкрутства </w:t>
      </w:r>
      <w:r w:rsidR="00B57774" w:rsidRPr="00F2731E">
        <w:rPr>
          <w:rFonts w:ascii="Times New Roman" w:eastAsia="Calibri" w:hAnsi="Times New Roman" w:cs="Times New Roman"/>
          <w:kern w:val="0"/>
          <w:sz w:val="28"/>
          <w:szCs w:val="28"/>
          <w:lang w:val="uk-UA"/>
          <w14:ligatures w14:val="none"/>
        </w:rPr>
        <w:t xml:space="preserve">ПАТ «АрселорМіттал Кривий Ріг» </w:t>
      </w:r>
      <w:r w:rsidR="00077B31" w:rsidRPr="00F2731E">
        <w:rPr>
          <w:rFonts w:ascii="Times New Roman" w:eastAsia="Calibri" w:hAnsi="Times New Roman" w:cs="Times New Roman"/>
          <w:kern w:val="0"/>
          <w:sz w:val="28"/>
          <w:szCs w:val="28"/>
          <w:lang w:val="uk-UA"/>
          <w14:ligatures w14:val="none"/>
        </w:rPr>
        <w:t xml:space="preserve">та </w:t>
      </w:r>
      <w:r w:rsidR="00F2731E" w:rsidRPr="00F2731E">
        <w:rPr>
          <w:rFonts w:ascii="Times New Roman" w:eastAsia="Calibri" w:hAnsi="Times New Roman" w:cs="Times New Roman"/>
          <w:kern w:val="0"/>
          <w:sz w:val="28"/>
          <w:szCs w:val="28"/>
          <w:lang w:val="uk-UA"/>
          <w14:ligatures w14:val="none"/>
        </w:rPr>
        <w:t xml:space="preserve">запропоновані заходи щодо </w:t>
      </w:r>
      <w:r w:rsidR="00077B31" w:rsidRPr="00F2731E">
        <w:rPr>
          <w:rFonts w:ascii="Times New Roman" w:eastAsia="Calibri" w:hAnsi="Times New Roman" w:cs="Times New Roman"/>
          <w:kern w:val="0"/>
          <w:sz w:val="28"/>
          <w:szCs w:val="28"/>
          <w:lang w:val="uk-UA"/>
          <w14:ligatures w14:val="none"/>
        </w:rPr>
        <w:t xml:space="preserve"> його запобігання</w:t>
      </w:r>
      <w:r w:rsidR="00C028B4" w:rsidRPr="00F2731E">
        <w:rPr>
          <w:rFonts w:ascii="Times New Roman" w:eastAsia="Calibri" w:hAnsi="Times New Roman" w:cs="Times New Roman"/>
          <w:kern w:val="0"/>
          <w:sz w:val="28"/>
          <w:szCs w:val="28"/>
          <w:lang w:val="uk-UA"/>
          <w14:ligatures w14:val="none"/>
        </w:rPr>
        <w:t>.</w:t>
      </w:r>
      <w:r w:rsidRPr="00F2731E">
        <w:rPr>
          <w:rFonts w:ascii="Times New Roman" w:eastAsia="Calibri" w:hAnsi="Times New Roman" w:cs="Times New Roman"/>
          <w:kern w:val="0"/>
          <w:sz w:val="28"/>
          <w:szCs w:val="28"/>
          <w:lang w:val="uk-UA"/>
          <w14:ligatures w14:val="none"/>
        </w:rPr>
        <w:tab/>
      </w:r>
    </w:p>
    <w:p w14:paraId="73307C91" w14:textId="77777777" w:rsidR="00CE7A98" w:rsidRDefault="00CE7A98" w:rsidP="00517187">
      <w:pPr>
        <w:spacing w:after="0" w:line="240" w:lineRule="auto"/>
        <w:ind w:firstLine="709"/>
        <w:jc w:val="both"/>
        <w:rPr>
          <w:rFonts w:ascii="Times New Roman" w:eastAsia="Calibri" w:hAnsi="Times New Roman" w:cs="Times New Roman"/>
          <w:kern w:val="0"/>
          <w:sz w:val="28"/>
          <w:szCs w:val="28"/>
          <w:lang w:val="uk-UA"/>
          <w14:ligatures w14:val="none"/>
        </w:rPr>
      </w:pPr>
    </w:p>
    <w:p w14:paraId="2627C8D4" w14:textId="77777777" w:rsidR="00AA2058" w:rsidRPr="00042924" w:rsidRDefault="00A814BA" w:rsidP="00517187">
      <w:pPr>
        <w:spacing w:after="0" w:line="240" w:lineRule="auto"/>
        <w:ind w:firstLine="709"/>
        <w:jc w:val="both"/>
        <w:rPr>
          <w:rFonts w:ascii="Times New Roman" w:eastAsia="Calibri" w:hAnsi="Times New Roman" w:cs="Times New Roman"/>
          <w:kern w:val="0"/>
          <w:sz w:val="28"/>
          <w:szCs w:val="28"/>
          <w:lang w:val="uk-UA"/>
          <w14:ligatures w14:val="none"/>
        </w:rPr>
      </w:pPr>
      <w:r w:rsidRPr="00CE7A98">
        <w:rPr>
          <w:rFonts w:ascii="Times New Roman" w:eastAsia="Calibri" w:hAnsi="Times New Roman" w:cs="Times New Roman"/>
          <w:b/>
          <w:kern w:val="0"/>
          <w:sz w:val="28"/>
          <w:szCs w:val="28"/>
          <w:lang w:val="uk-UA"/>
          <w14:ligatures w14:val="none"/>
        </w:rPr>
        <w:t>Ключові слова</w:t>
      </w:r>
      <w:r w:rsidR="006738D7">
        <w:rPr>
          <w:rFonts w:ascii="Times New Roman" w:eastAsia="Calibri" w:hAnsi="Times New Roman" w:cs="Times New Roman"/>
          <w:kern w:val="0"/>
          <w:sz w:val="28"/>
          <w:szCs w:val="28"/>
          <w:lang w:val="uk-UA"/>
          <w14:ligatures w14:val="none"/>
        </w:rPr>
        <w:t>:</w:t>
      </w:r>
      <w:r w:rsidRPr="00A814BA">
        <w:rPr>
          <w:rFonts w:ascii="Times New Roman" w:eastAsia="Calibri" w:hAnsi="Times New Roman" w:cs="Times New Roman"/>
          <w:kern w:val="0"/>
          <w:sz w:val="28"/>
          <w:szCs w:val="28"/>
          <w:lang w:val="uk-UA"/>
          <w14:ligatures w14:val="none"/>
        </w:rPr>
        <w:tab/>
      </w:r>
      <w:r w:rsidR="002B4BFD">
        <w:rPr>
          <w:rFonts w:ascii="Times New Roman" w:eastAsia="Calibri" w:hAnsi="Times New Roman" w:cs="Times New Roman"/>
          <w:kern w:val="0"/>
          <w:sz w:val="28"/>
          <w:szCs w:val="28"/>
          <w:lang w:val="uk-UA"/>
          <w14:ligatures w14:val="none"/>
        </w:rPr>
        <w:t xml:space="preserve"> </w:t>
      </w:r>
      <w:r w:rsidR="002B4BFD" w:rsidRPr="002B4BFD">
        <w:rPr>
          <w:rFonts w:ascii="Times New Roman" w:eastAsia="Calibri" w:hAnsi="Times New Roman" w:cs="Times New Roman"/>
          <w:kern w:val="0"/>
          <w:sz w:val="28"/>
          <w:szCs w:val="28"/>
          <w:lang w:val="uk-UA"/>
          <w14:ligatures w14:val="none"/>
        </w:rPr>
        <w:t>банкрутство, діагностика банкрутства, фінансова криза, заходи запобігання, фінансовий аналіз, прогнозування банкрутства, моделі оцінки банкрутства, фінансова стійкість, платоспромож</w:t>
      </w:r>
      <w:r w:rsidR="00806B6E">
        <w:rPr>
          <w:rFonts w:ascii="Times New Roman" w:eastAsia="Calibri" w:hAnsi="Times New Roman" w:cs="Times New Roman"/>
          <w:kern w:val="0"/>
          <w:sz w:val="28"/>
          <w:szCs w:val="28"/>
          <w:lang w:val="uk-UA"/>
          <w14:ligatures w14:val="none"/>
        </w:rPr>
        <w:t>ність</w:t>
      </w:r>
      <w:r w:rsidR="002B4BFD" w:rsidRPr="002B4BFD">
        <w:rPr>
          <w:rFonts w:ascii="Times New Roman" w:eastAsia="Calibri" w:hAnsi="Times New Roman" w:cs="Times New Roman"/>
          <w:kern w:val="0"/>
          <w:sz w:val="28"/>
          <w:szCs w:val="28"/>
          <w:lang w:val="uk-UA"/>
          <w14:ligatures w14:val="none"/>
        </w:rPr>
        <w:t>.</w:t>
      </w:r>
      <w:r w:rsidR="00AA2058" w:rsidRPr="00042924">
        <w:rPr>
          <w:rFonts w:ascii="Times New Roman" w:eastAsia="Calibri" w:hAnsi="Times New Roman" w:cs="Times New Roman"/>
          <w:kern w:val="0"/>
          <w:sz w:val="28"/>
          <w:szCs w:val="28"/>
          <w:lang w:val="uk-UA"/>
          <w14:ligatures w14:val="none"/>
        </w:rPr>
        <w:br w:type="page"/>
      </w:r>
    </w:p>
    <w:tbl>
      <w:tblPr>
        <w:tblStyle w:val="TableNormal"/>
        <w:tblW w:w="5000" w:type="pct"/>
        <w:tblLook w:val="01E0" w:firstRow="1" w:lastRow="1" w:firstColumn="1" w:lastColumn="1" w:noHBand="0" w:noVBand="0"/>
      </w:tblPr>
      <w:tblGrid>
        <w:gridCol w:w="707"/>
        <w:gridCol w:w="8649"/>
        <w:gridCol w:w="565"/>
      </w:tblGrid>
      <w:tr w:rsidR="00CD1A3C" w:rsidRPr="00042924" w14:paraId="22EC7190" w14:textId="77777777" w:rsidTr="00D7433E">
        <w:trPr>
          <w:trHeight w:val="850"/>
        </w:trPr>
        <w:tc>
          <w:tcPr>
            <w:tcW w:w="5000" w:type="pct"/>
            <w:gridSpan w:val="3"/>
            <w:vAlign w:val="center"/>
          </w:tcPr>
          <w:p w14:paraId="5F50341F" w14:textId="77777777" w:rsidR="00CD1A3C" w:rsidRPr="00042924" w:rsidRDefault="00CD1A3C" w:rsidP="00E6657F">
            <w:pPr>
              <w:jc w:val="center"/>
              <w:rPr>
                <w:rFonts w:ascii="Times New Roman" w:eastAsia="Times New Roman" w:hAnsi="Times New Roman" w:cs="Times New Roman"/>
                <w:sz w:val="26"/>
                <w:lang w:val="uk-UA"/>
              </w:rPr>
            </w:pPr>
            <w:r w:rsidRPr="00042924">
              <w:rPr>
                <w:rFonts w:ascii="Times New Roman" w:eastAsia="Times New Roman" w:hAnsi="Times New Roman" w:cs="Times New Roman"/>
                <w:b/>
                <w:sz w:val="28"/>
                <w:lang w:val="uk-UA"/>
              </w:rPr>
              <w:lastRenderedPageBreak/>
              <w:t>ЗМІСТ</w:t>
            </w:r>
          </w:p>
        </w:tc>
      </w:tr>
      <w:tr w:rsidR="00BB0909" w:rsidRPr="00042924" w14:paraId="152DF23F" w14:textId="77777777" w:rsidTr="00D7433E">
        <w:trPr>
          <w:trHeight w:val="510"/>
        </w:trPr>
        <w:tc>
          <w:tcPr>
            <w:tcW w:w="4715" w:type="pct"/>
            <w:gridSpan w:val="2"/>
            <w:vAlign w:val="center"/>
          </w:tcPr>
          <w:p w14:paraId="63CD7528" w14:textId="77777777" w:rsidR="00BB0909" w:rsidRPr="00042924" w:rsidRDefault="00BB0909" w:rsidP="00477C6A">
            <w:pPr>
              <w:rPr>
                <w:rFonts w:ascii="Times New Roman" w:eastAsia="Times New Roman" w:hAnsi="Times New Roman" w:cs="Times New Roman"/>
                <w:sz w:val="26"/>
                <w:lang w:val="uk-UA"/>
              </w:rPr>
            </w:pPr>
            <w:r w:rsidRPr="00042924">
              <w:rPr>
                <w:rFonts w:ascii="Times New Roman" w:eastAsia="Times New Roman" w:hAnsi="Times New Roman" w:cs="Times New Roman"/>
                <w:sz w:val="28"/>
                <w:lang w:val="uk-UA"/>
              </w:rPr>
              <w:t>ВСТУП</w:t>
            </w:r>
            <w:r w:rsidR="00FA455F">
              <w:rPr>
                <w:rFonts w:ascii="Times New Roman" w:eastAsia="Times New Roman" w:hAnsi="Times New Roman" w:cs="Times New Roman"/>
                <w:sz w:val="28"/>
                <w:lang w:val="uk-UA"/>
              </w:rPr>
              <w:t>……………………………………………………………………</w:t>
            </w:r>
            <w:r w:rsidR="00477C6A">
              <w:rPr>
                <w:rFonts w:ascii="Times New Roman" w:eastAsia="Times New Roman" w:hAnsi="Times New Roman" w:cs="Times New Roman"/>
                <w:sz w:val="28"/>
                <w:lang w:val="uk-UA"/>
              </w:rPr>
              <w:t>…</w:t>
            </w:r>
            <w:r w:rsidR="00D7433E">
              <w:rPr>
                <w:rFonts w:ascii="Times New Roman" w:eastAsia="Times New Roman" w:hAnsi="Times New Roman" w:cs="Times New Roman"/>
                <w:sz w:val="28"/>
                <w:lang w:val="uk-UA"/>
              </w:rPr>
              <w:t>………</w:t>
            </w:r>
          </w:p>
        </w:tc>
        <w:tc>
          <w:tcPr>
            <w:tcW w:w="285" w:type="pct"/>
            <w:vAlign w:val="center"/>
          </w:tcPr>
          <w:p w14:paraId="5C14632F" w14:textId="77777777" w:rsidR="00BB0909" w:rsidRPr="00042924" w:rsidRDefault="00996731" w:rsidP="002C37C8">
            <w:pPr>
              <w:jc w:val="cente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6</w:t>
            </w:r>
          </w:p>
        </w:tc>
      </w:tr>
      <w:tr w:rsidR="00D7433E" w:rsidRPr="00042924" w14:paraId="75F18714" w14:textId="77777777" w:rsidTr="002C37C8">
        <w:trPr>
          <w:trHeight w:val="340"/>
        </w:trPr>
        <w:tc>
          <w:tcPr>
            <w:tcW w:w="356" w:type="pct"/>
          </w:tcPr>
          <w:p w14:paraId="1EB30B25" w14:textId="77777777" w:rsidR="00BB0909" w:rsidRPr="00042924" w:rsidRDefault="00BB0909" w:rsidP="00477C6A">
            <w:pPr>
              <w:jc w:val="cente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1</w:t>
            </w:r>
          </w:p>
        </w:tc>
        <w:tc>
          <w:tcPr>
            <w:tcW w:w="4359" w:type="pct"/>
          </w:tcPr>
          <w:p w14:paraId="55BF3D04" w14:textId="77777777" w:rsidR="00A84F77" w:rsidRPr="00042924" w:rsidRDefault="0027720D" w:rsidP="00477C6A">
            <w:pPr>
              <w:tabs>
                <w:tab w:val="left" w:pos="1646"/>
                <w:tab w:val="left" w:pos="3717"/>
                <w:tab w:val="left" w:pos="4513"/>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Теоретико-методичні основи</w:t>
            </w:r>
            <w:r w:rsidR="00A84F77" w:rsidRPr="00042924">
              <w:rPr>
                <w:rFonts w:ascii="Times New Roman" w:eastAsia="Times New Roman" w:hAnsi="Times New Roman" w:cs="Times New Roman"/>
                <w:sz w:val="28"/>
                <w:lang w:val="uk-UA"/>
              </w:rPr>
              <w:t xml:space="preserve"> </w:t>
            </w:r>
            <w:r w:rsidR="00247C33" w:rsidRPr="00042924">
              <w:rPr>
                <w:rFonts w:ascii="Times New Roman" w:eastAsia="Times New Roman" w:hAnsi="Times New Roman" w:cs="Times New Roman"/>
                <w:sz w:val="28"/>
                <w:lang w:val="uk-UA"/>
              </w:rPr>
              <w:t xml:space="preserve">діагностики </w:t>
            </w:r>
            <w:r w:rsidRPr="00042924">
              <w:rPr>
                <w:rFonts w:ascii="Times New Roman" w:eastAsia="Times New Roman" w:hAnsi="Times New Roman" w:cs="Times New Roman"/>
                <w:sz w:val="28"/>
                <w:lang w:val="uk-UA"/>
              </w:rPr>
              <w:t>банкрутства підприємств</w:t>
            </w:r>
            <w:r w:rsidR="00D7433E">
              <w:rPr>
                <w:rFonts w:ascii="Times New Roman" w:eastAsia="Times New Roman" w:hAnsi="Times New Roman" w:cs="Times New Roman"/>
                <w:sz w:val="28"/>
                <w:lang w:val="uk-UA"/>
              </w:rPr>
              <w:t>……</w:t>
            </w:r>
          </w:p>
          <w:p w14:paraId="2494B399" w14:textId="77777777" w:rsidR="00BB0909" w:rsidRPr="00042924" w:rsidRDefault="00BB0909" w:rsidP="00477C6A">
            <w:pPr>
              <w:tabs>
                <w:tab w:val="left" w:pos="1646"/>
                <w:tab w:val="left" w:pos="3717"/>
                <w:tab w:val="left" w:pos="4513"/>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 xml:space="preserve">1.1. </w:t>
            </w:r>
            <w:r w:rsidR="00E04013" w:rsidRPr="00042924">
              <w:rPr>
                <w:rFonts w:ascii="Times New Roman" w:eastAsia="Times New Roman" w:hAnsi="Times New Roman" w:cs="Times New Roman"/>
                <w:sz w:val="28"/>
                <w:lang w:val="uk-UA"/>
              </w:rPr>
              <w:t>Теоретична сутність, при</w:t>
            </w:r>
            <w:r w:rsidR="00CE4292" w:rsidRPr="00042924">
              <w:rPr>
                <w:rFonts w:ascii="Times New Roman" w:eastAsia="Times New Roman" w:hAnsi="Times New Roman" w:cs="Times New Roman"/>
                <w:sz w:val="28"/>
                <w:lang w:val="uk-UA"/>
              </w:rPr>
              <w:t xml:space="preserve">чини </w:t>
            </w:r>
            <w:r w:rsidR="00E04013" w:rsidRPr="00042924">
              <w:rPr>
                <w:rFonts w:ascii="Times New Roman" w:eastAsia="Times New Roman" w:hAnsi="Times New Roman" w:cs="Times New Roman"/>
                <w:sz w:val="28"/>
                <w:lang w:val="uk-UA"/>
              </w:rPr>
              <w:t>та</w:t>
            </w:r>
            <w:r w:rsidR="00CE4292" w:rsidRPr="00042924">
              <w:rPr>
                <w:rFonts w:ascii="Times New Roman" w:eastAsia="Times New Roman" w:hAnsi="Times New Roman" w:cs="Times New Roman"/>
                <w:sz w:val="28"/>
                <w:lang w:val="uk-UA"/>
              </w:rPr>
              <w:t xml:space="preserve"> наслідки банкрутства підприємств</w:t>
            </w:r>
            <w:r w:rsidR="002C37C8">
              <w:rPr>
                <w:rFonts w:ascii="Times New Roman" w:eastAsia="Times New Roman" w:hAnsi="Times New Roman" w:cs="Times New Roman"/>
                <w:sz w:val="28"/>
                <w:lang w:val="uk-UA"/>
              </w:rPr>
              <w:t>……………………………………………………………</w:t>
            </w:r>
            <w:r w:rsidR="003737F2">
              <w:rPr>
                <w:rFonts w:ascii="Times New Roman" w:eastAsia="Times New Roman" w:hAnsi="Times New Roman" w:cs="Times New Roman"/>
                <w:sz w:val="28"/>
                <w:lang w:val="uk-UA"/>
              </w:rPr>
              <w:t>……..</w:t>
            </w:r>
          </w:p>
          <w:p w14:paraId="77BAB2B2" w14:textId="77777777" w:rsidR="003A1A55" w:rsidRPr="00042924" w:rsidRDefault="003A1A55" w:rsidP="00477C6A">
            <w:pPr>
              <w:tabs>
                <w:tab w:val="left" w:pos="1646"/>
                <w:tab w:val="left" w:pos="3717"/>
                <w:tab w:val="left" w:pos="4513"/>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1.</w:t>
            </w:r>
            <w:r w:rsidR="00E04013" w:rsidRPr="00042924">
              <w:rPr>
                <w:rFonts w:ascii="Times New Roman" w:eastAsia="Times New Roman" w:hAnsi="Times New Roman" w:cs="Times New Roman"/>
                <w:sz w:val="28"/>
                <w:lang w:val="uk-UA"/>
              </w:rPr>
              <w:t>2</w:t>
            </w:r>
            <w:r w:rsidRPr="00042924">
              <w:rPr>
                <w:rFonts w:ascii="Times New Roman" w:eastAsia="Times New Roman" w:hAnsi="Times New Roman" w:cs="Times New Roman"/>
                <w:sz w:val="28"/>
                <w:lang w:val="uk-UA"/>
              </w:rPr>
              <w:t xml:space="preserve">. </w:t>
            </w:r>
            <w:r w:rsidR="00E04013" w:rsidRPr="00042924">
              <w:rPr>
                <w:rFonts w:ascii="Times New Roman" w:eastAsia="Times New Roman" w:hAnsi="Times New Roman" w:cs="Times New Roman"/>
                <w:sz w:val="28"/>
                <w:lang w:val="uk-UA"/>
              </w:rPr>
              <w:t xml:space="preserve">Методичні підходи </w:t>
            </w:r>
            <w:r w:rsidR="00FC6083" w:rsidRPr="00042924">
              <w:rPr>
                <w:rFonts w:ascii="Times New Roman" w:eastAsia="Times New Roman" w:hAnsi="Times New Roman" w:cs="Times New Roman"/>
                <w:sz w:val="28"/>
                <w:lang w:val="uk-UA"/>
              </w:rPr>
              <w:t>до оцінки фінансової скрути компанії та прогнозування потенційного банкрутства</w:t>
            </w:r>
            <w:r w:rsidR="00E04013" w:rsidRPr="00042924">
              <w:rPr>
                <w:rFonts w:ascii="Times New Roman" w:eastAsia="Times New Roman" w:hAnsi="Times New Roman" w:cs="Times New Roman"/>
                <w:sz w:val="28"/>
                <w:lang w:val="uk-UA"/>
              </w:rPr>
              <w:t xml:space="preserve">  підприємств</w:t>
            </w:r>
            <w:r w:rsidR="003737F2">
              <w:rPr>
                <w:rFonts w:ascii="Times New Roman" w:eastAsia="Times New Roman" w:hAnsi="Times New Roman" w:cs="Times New Roman"/>
                <w:sz w:val="28"/>
                <w:lang w:val="uk-UA"/>
              </w:rPr>
              <w:t>………………….</w:t>
            </w:r>
          </w:p>
          <w:p w14:paraId="506646C2" w14:textId="77777777" w:rsidR="00F91C89" w:rsidRPr="00042924" w:rsidRDefault="00F91C89" w:rsidP="00477C6A">
            <w:pPr>
              <w:tabs>
                <w:tab w:val="left" w:pos="1646"/>
                <w:tab w:val="left" w:pos="3717"/>
                <w:tab w:val="left" w:pos="4513"/>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1.3. Сучасні проблеми фінансового стану та банкрутства вітчизняних підприємств</w:t>
            </w:r>
            <w:r w:rsidR="003737F2">
              <w:rPr>
                <w:rFonts w:ascii="Times New Roman" w:eastAsia="Times New Roman" w:hAnsi="Times New Roman" w:cs="Times New Roman"/>
                <w:sz w:val="28"/>
                <w:lang w:val="uk-UA"/>
              </w:rPr>
              <w:t>…………………………………………………………………..</w:t>
            </w:r>
          </w:p>
        </w:tc>
        <w:tc>
          <w:tcPr>
            <w:tcW w:w="285" w:type="pct"/>
          </w:tcPr>
          <w:p w14:paraId="7EB5501F" w14:textId="77777777" w:rsidR="00246D9F" w:rsidRPr="00042924" w:rsidRDefault="00996731" w:rsidP="002C37C8">
            <w:pPr>
              <w:jc w:val="cente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8</w:t>
            </w:r>
          </w:p>
          <w:p w14:paraId="0CCFB8B0" w14:textId="77777777" w:rsidR="002C37C8" w:rsidRDefault="002C37C8" w:rsidP="002C37C8">
            <w:pPr>
              <w:jc w:val="center"/>
              <w:rPr>
                <w:rFonts w:ascii="Times New Roman" w:eastAsia="Times New Roman" w:hAnsi="Times New Roman" w:cs="Times New Roman"/>
                <w:sz w:val="28"/>
                <w:lang w:val="uk-UA"/>
              </w:rPr>
            </w:pPr>
          </w:p>
          <w:p w14:paraId="17ED027E" w14:textId="77777777" w:rsidR="00246D9F" w:rsidRPr="00042924" w:rsidRDefault="00996731" w:rsidP="002C37C8">
            <w:pPr>
              <w:jc w:val="cente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8</w:t>
            </w:r>
          </w:p>
          <w:p w14:paraId="7A856B58" w14:textId="77777777" w:rsidR="00246D9F" w:rsidRPr="00042924" w:rsidRDefault="00246D9F" w:rsidP="002C37C8">
            <w:pPr>
              <w:jc w:val="center"/>
              <w:rPr>
                <w:rFonts w:ascii="Times New Roman" w:eastAsia="Times New Roman" w:hAnsi="Times New Roman" w:cs="Times New Roman"/>
                <w:sz w:val="28"/>
                <w:lang w:val="uk-UA"/>
              </w:rPr>
            </w:pPr>
          </w:p>
          <w:p w14:paraId="6B740B6C" w14:textId="77777777" w:rsidR="00246D9F" w:rsidRPr="00042924" w:rsidRDefault="008F0521" w:rsidP="002C37C8">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14</w:t>
            </w:r>
          </w:p>
          <w:p w14:paraId="5DE72332" w14:textId="77777777" w:rsidR="00246D9F" w:rsidRPr="00042924" w:rsidRDefault="00246D9F" w:rsidP="002C37C8">
            <w:pPr>
              <w:jc w:val="center"/>
              <w:rPr>
                <w:rFonts w:ascii="Times New Roman" w:eastAsia="Times New Roman" w:hAnsi="Times New Roman" w:cs="Times New Roman"/>
                <w:sz w:val="28"/>
                <w:lang w:val="uk-UA"/>
              </w:rPr>
            </w:pPr>
          </w:p>
          <w:p w14:paraId="073E23D6" w14:textId="77777777" w:rsidR="00246D9F" w:rsidRPr="00042924" w:rsidRDefault="008F0521" w:rsidP="002C37C8">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19</w:t>
            </w:r>
          </w:p>
        </w:tc>
      </w:tr>
      <w:tr w:rsidR="00D7433E" w:rsidRPr="00042924" w14:paraId="017715AD" w14:textId="77777777" w:rsidTr="00093DDA">
        <w:trPr>
          <w:trHeight w:val="340"/>
        </w:trPr>
        <w:tc>
          <w:tcPr>
            <w:tcW w:w="356" w:type="pct"/>
          </w:tcPr>
          <w:p w14:paraId="4DD80F43" w14:textId="77777777" w:rsidR="00BB0909" w:rsidRPr="00042924" w:rsidRDefault="00BB0909" w:rsidP="00477C6A">
            <w:pPr>
              <w:jc w:val="cente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2</w:t>
            </w:r>
          </w:p>
        </w:tc>
        <w:tc>
          <w:tcPr>
            <w:tcW w:w="4359" w:type="pct"/>
          </w:tcPr>
          <w:p w14:paraId="74CE6710" w14:textId="77777777" w:rsidR="00262521" w:rsidRPr="00042924" w:rsidRDefault="00286B08" w:rsidP="00477C6A">
            <w:pPr>
              <w:tabs>
                <w:tab w:val="left" w:pos="3137"/>
                <w:tab w:val="left" w:pos="5281"/>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 xml:space="preserve">Фінансовий аналіз та діагностика банкрутства </w:t>
            </w:r>
            <w:r w:rsidR="00A539C8" w:rsidRPr="00042924">
              <w:rPr>
                <w:rFonts w:ascii="Times New Roman" w:eastAsia="Times New Roman" w:hAnsi="Times New Roman" w:cs="Times New Roman"/>
                <w:sz w:val="28"/>
                <w:lang w:val="uk-UA"/>
              </w:rPr>
              <w:t>ПАТ</w:t>
            </w:r>
            <w:r w:rsidRPr="00042924">
              <w:rPr>
                <w:rFonts w:ascii="Times New Roman" w:eastAsia="Times New Roman" w:hAnsi="Times New Roman" w:cs="Times New Roman"/>
                <w:sz w:val="28"/>
                <w:lang w:val="uk-UA"/>
              </w:rPr>
              <w:t xml:space="preserve"> «АрселорМіттал Кривий Ріг»</w:t>
            </w:r>
            <w:r w:rsidR="003737F2">
              <w:rPr>
                <w:rFonts w:ascii="Times New Roman" w:eastAsia="Times New Roman" w:hAnsi="Times New Roman" w:cs="Times New Roman"/>
                <w:sz w:val="28"/>
                <w:lang w:val="uk-UA"/>
              </w:rPr>
              <w:t>…………………………………………………………………..</w:t>
            </w:r>
          </w:p>
          <w:p w14:paraId="2D54B5F8" w14:textId="77777777" w:rsidR="00B27984" w:rsidRPr="00042924" w:rsidRDefault="00B27984" w:rsidP="00477C6A">
            <w:pPr>
              <w:tabs>
                <w:tab w:val="left" w:pos="3137"/>
                <w:tab w:val="left" w:pos="5281"/>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 xml:space="preserve">2.1. </w:t>
            </w:r>
            <w:r w:rsidR="00E04013" w:rsidRPr="00042924">
              <w:rPr>
                <w:rFonts w:ascii="Times New Roman" w:eastAsia="Times New Roman" w:hAnsi="Times New Roman" w:cs="Times New Roman"/>
                <w:sz w:val="28"/>
                <w:lang w:val="uk-UA"/>
              </w:rPr>
              <w:t>Організаційно-економічна характеристика ПАТ «АрселорМіттал Кривий</w:t>
            </w:r>
            <w:r w:rsidR="00E04013" w:rsidRPr="00042924">
              <w:rPr>
                <w:rFonts w:ascii="Times New Roman" w:eastAsia="Times New Roman" w:hAnsi="Times New Roman" w:cs="Times New Roman"/>
                <w:spacing w:val="-3"/>
                <w:sz w:val="28"/>
                <w:lang w:val="uk-UA"/>
              </w:rPr>
              <w:t xml:space="preserve"> </w:t>
            </w:r>
            <w:r w:rsidR="00E04013" w:rsidRPr="00042924">
              <w:rPr>
                <w:rFonts w:ascii="Times New Roman" w:eastAsia="Times New Roman" w:hAnsi="Times New Roman" w:cs="Times New Roman"/>
                <w:sz w:val="28"/>
                <w:lang w:val="uk-UA"/>
              </w:rPr>
              <w:t>Ріг» та його діяльності</w:t>
            </w:r>
            <w:r w:rsidR="003737F2">
              <w:rPr>
                <w:rFonts w:ascii="Times New Roman" w:eastAsia="Times New Roman" w:hAnsi="Times New Roman" w:cs="Times New Roman"/>
                <w:sz w:val="28"/>
                <w:lang w:val="uk-UA"/>
              </w:rPr>
              <w:t>……………………………………………..</w:t>
            </w:r>
          </w:p>
          <w:p w14:paraId="25D5A6F7" w14:textId="77777777" w:rsidR="003745A8" w:rsidRPr="00042924" w:rsidRDefault="00E04013" w:rsidP="00477C6A">
            <w:pPr>
              <w:tabs>
                <w:tab w:val="left" w:pos="3137"/>
                <w:tab w:val="left" w:pos="5281"/>
              </w:tabs>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2.</w:t>
            </w:r>
            <w:r w:rsidR="00286B08" w:rsidRPr="00042924">
              <w:rPr>
                <w:rFonts w:ascii="Times New Roman" w:eastAsia="Times New Roman" w:hAnsi="Times New Roman" w:cs="Times New Roman"/>
                <w:sz w:val="28"/>
                <w:lang w:val="uk-UA"/>
              </w:rPr>
              <w:t>2</w:t>
            </w:r>
            <w:r w:rsidR="003745A8" w:rsidRPr="00042924">
              <w:rPr>
                <w:rFonts w:ascii="Times New Roman" w:eastAsia="Times New Roman" w:hAnsi="Times New Roman" w:cs="Times New Roman"/>
                <w:sz w:val="28"/>
                <w:lang w:val="uk-UA"/>
              </w:rPr>
              <w:t xml:space="preserve">. </w:t>
            </w:r>
            <w:r w:rsidR="003C24D5" w:rsidRPr="00042924">
              <w:rPr>
                <w:rFonts w:ascii="Times New Roman" w:eastAsia="Times New Roman" w:hAnsi="Times New Roman" w:cs="Times New Roman"/>
                <w:sz w:val="28"/>
                <w:lang w:val="uk-UA"/>
              </w:rPr>
              <w:t>Інтегральн</w:t>
            </w:r>
            <w:r w:rsidR="004856F6" w:rsidRPr="00042924">
              <w:rPr>
                <w:rFonts w:ascii="Times New Roman" w:eastAsia="Times New Roman" w:hAnsi="Times New Roman" w:cs="Times New Roman"/>
                <w:sz w:val="28"/>
                <w:lang w:val="uk-UA"/>
              </w:rPr>
              <w:t>а діагностика</w:t>
            </w:r>
            <w:r w:rsidR="003745A8" w:rsidRPr="00042924">
              <w:rPr>
                <w:rFonts w:ascii="Times New Roman" w:eastAsia="Times New Roman" w:hAnsi="Times New Roman" w:cs="Times New Roman"/>
                <w:sz w:val="28"/>
                <w:lang w:val="uk-UA"/>
              </w:rPr>
              <w:t xml:space="preserve"> ймовірності банкрутства</w:t>
            </w:r>
            <w:r w:rsidR="003C24D5" w:rsidRPr="00042924">
              <w:rPr>
                <w:rFonts w:ascii="Times New Roman" w:eastAsia="Times New Roman" w:hAnsi="Times New Roman" w:cs="Times New Roman"/>
                <w:sz w:val="28"/>
                <w:lang w:val="uk-UA"/>
              </w:rPr>
              <w:t xml:space="preserve"> ПАТ «АрселорМіттал Кривий Ріг»</w:t>
            </w:r>
            <w:r w:rsidR="00681719">
              <w:rPr>
                <w:rFonts w:ascii="Times New Roman" w:eastAsia="Times New Roman" w:hAnsi="Times New Roman" w:cs="Times New Roman"/>
                <w:sz w:val="28"/>
                <w:lang w:val="uk-UA"/>
              </w:rPr>
              <w:t>……………………………………………….</w:t>
            </w:r>
          </w:p>
        </w:tc>
        <w:tc>
          <w:tcPr>
            <w:tcW w:w="285" w:type="pct"/>
            <w:vAlign w:val="bottom"/>
          </w:tcPr>
          <w:p w14:paraId="10730A3B" w14:textId="77777777" w:rsidR="00BB0909" w:rsidRPr="00042924" w:rsidRDefault="008F0521" w:rsidP="00093DDA">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25</w:t>
            </w:r>
          </w:p>
          <w:p w14:paraId="285C2B43" w14:textId="77777777" w:rsidR="00E235C5" w:rsidRPr="00042924" w:rsidRDefault="00E235C5" w:rsidP="00093DDA">
            <w:pPr>
              <w:jc w:val="center"/>
              <w:rPr>
                <w:rFonts w:ascii="Times New Roman" w:eastAsia="Times New Roman" w:hAnsi="Times New Roman" w:cs="Times New Roman"/>
                <w:sz w:val="28"/>
                <w:lang w:val="uk-UA"/>
              </w:rPr>
            </w:pPr>
          </w:p>
          <w:p w14:paraId="72F47B29" w14:textId="77777777" w:rsidR="00E235C5" w:rsidRPr="00042924" w:rsidRDefault="008F0521" w:rsidP="00093DDA">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25</w:t>
            </w:r>
          </w:p>
          <w:p w14:paraId="2825BB39" w14:textId="77777777" w:rsidR="00E235C5" w:rsidRPr="00042924" w:rsidRDefault="00E235C5" w:rsidP="00093DDA">
            <w:pPr>
              <w:jc w:val="center"/>
              <w:rPr>
                <w:rFonts w:ascii="Times New Roman" w:eastAsia="Times New Roman" w:hAnsi="Times New Roman" w:cs="Times New Roman"/>
                <w:sz w:val="28"/>
                <w:lang w:val="uk-UA"/>
              </w:rPr>
            </w:pPr>
          </w:p>
          <w:p w14:paraId="4A8C3FC4" w14:textId="77777777" w:rsidR="00E235C5" w:rsidRPr="00042924" w:rsidRDefault="008F0521" w:rsidP="00093DDA">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36</w:t>
            </w:r>
          </w:p>
        </w:tc>
      </w:tr>
      <w:tr w:rsidR="00BB0909" w:rsidRPr="00042924" w14:paraId="7423CA0A" w14:textId="77777777" w:rsidTr="00D7433E">
        <w:trPr>
          <w:trHeight w:val="510"/>
        </w:trPr>
        <w:tc>
          <w:tcPr>
            <w:tcW w:w="4715" w:type="pct"/>
            <w:gridSpan w:val="2"/>
            <w:vAlign w:val="center"/>
          </w:tcPr>
          <w:p w14:paraId="50874EA9" w14:textId="77777777" w:rsidR="00BB0909" w:rsidRPr="00042924" w:rsidRDefault="00BB0909" w:rsidP="00477C6A">
            <w:pPr>
              <w:rPr>
                <w:rFonts w:ascii="Times New Roman" w:eastAsia="Times New Roman" w:hAnsi="Times New Roman" w:cs="Times New Roman"/>
                <w:sz w:val="26"/>
                <w:lang w:val="uk-UA"/>
              </w:rPr>
            </w:pPr>
            <w:r w:rsidRPr="00042924">
              <w:rPr>
                <w:rFonts w:ascii="Times New Roman" w:eastAsia="Times New Roman" w:hAnsi="Times New Roman" w:cs="Times New Roman"/>
                <w:sz w:val="28"/>
                <w:lang w:val="uk-UA"/>
              </w:rPr>
              <w:t>ВИСНОВК</w:t>
            </w:r>
            <w:r w:rsidR="001A5511">
              <w:rPr>
                <w:rFonts w:ascii="Times New Roman" w:eastAsia="Times New Roman" w:hAnsi="Times New Roman" w:cs="Times New Roman"/>
                <w:sz w:val="28"/>
                <w:lang w:val="uk-UA"/>
              </w:rPr>
              <w:t>И ТА РЕКОМЕНДАЦІЇ..</w:t>
            </w:r>
            <w:r w:rsidR="00681719">
              <w:rPr>
                <w:rFonts w:ascii="Times New Roman" w:eastAsia="Times New Roman" w:hAnsi="Times New Roman" w:cs="Times New Roman"/>
                <w:w w:val="99"/>
                <w:sz w:val="28"/>
                <w:lang w:val="uk-UA"/>
              </w:rPr>
              <w:t>……………………………………………….</w:t>
            </w:r>
          </w:p>
        </w:tc>
        <w:tc>
          <w:tcPr>
            <w:tcW w:w="285" w:type="pct"/>
            <w:vAlign w:val="center"/>
          </w:tcPr>
          <w:p w14:paraId="71E187CD" w14:textId="77777777" w:rsidR="00BB0909" w:rsidRPr="00042924" w:rsidRDefault="008F0521" w:rsidP="002C37C8">
            <w:pPr>
              <w:jc w:val="center"/>
              <w:rPr>
                <w:rFonts w:ascii="Times New Roman" w:eastAsia="Times New Roman" w:hAnsi="Times New Roman" w:cs="Times New Roman"/>
                <w:sz w:val="28"/>
                <w:lang w:val="uk-UA"/>
              </w:rPr>
            </w:pPr>
            <w:r>
              <w:rPr>
                <w:rFonts w:ascii="Times New Roman" w:eastAsia="Times New Roman" w:hAnsi="Times New Roman" w:cs="Times New Roman"/>
                <w:sz w:val="28"/>
                <w:lang w:val="uk-UA"/>
              </w:rPr>
              <w:t>49</w:t>
            </w:r>
          </w:p>
        </w:tc>
      </w:tr>
      <w:tr w:rsidR="00BB0909" w:rsidRPr="00042924" w14:paraId="07AFB717" w14:textId="77777777" w:rsidTr="00D7433E">
        <w:trPr>
          <w:trHeight w:val="510"/>
        </w:trPr>
        <w:tc>
          <w:tcPr>
            <w:tcW w:w="4715" w:type="pct"/>
            <w:gridSpan w:val="2"/>
            <w:vAlign w:val="center"/>
          </w:tcPr>
          <w:p w14:paraId="1C0AEA88" w14:textId="77777777" w:rsidR="00BB0909" w:rsidRPr="00042924" w:rsidRDefault="00BB0909" w:rsidP="00477C6A">
            <w:pP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СПИСОК</w:t>
            </w:r>
            <w:r w:rsidRPr="00042924">
              <w:rPr>
                <w:rFonts w:ascii="Times New Roman" w:eastAsia="Times New Roman" w:hAnsi="Times New Roman" w:cs="Times New Roman"/>
                <w:spacing w:val="-3"/>
                <w:sz w:val="28"/>
                <w:lang w:val="uk-UA"/>
              </w:rPr>
              <w:t xml:space="preserve"> </w:t>
            </w:r>
            <w:r w:rsidRPr="00042924">
              <w:rPr>
                <w:rFonts w:ascii="Times New Roman" w:eastAsia="Times New Roman" w:hAnsi="Times New Roman" w:cs="Times New Roman"/>
                <w:sz w:val="28"/>
                <w:lang w:val="uk-UA"/>
              </w:rPr>
              <w:t>ВИКОРИСТАНИХ</w:t>
            </w:r>
            <w:r w:rsidRPr="00042924">
              <w:rPr>
                <w:rFonts w:ascii="Times New Roman" w:eastAsia="Times New Roman" w:hAnsi="Times New Roman" w:cs="Times New Roman"/>
                <w:spacing w:val="-7"/>
                <w:sz w:val="28"/>
                <w:lang w:val="uk-UA"/>
              </w:rPr>
              <w:t xml:space="preserve"> </w:t>
            </w:r>
            <w:r w:rsidRPr="00042924">
              <w:rPr>
                <w:rFonts w:ascii="Times New Roman" w:eastAsia="Times New Roman" w:hAnsi="Times New Roman" w:cs="Times New Roman"/>
                <w:sz w:val="28"/>
                <w:lang w:val="uk-UA"/>
              </w:rPr>
              <w:t>ДЖЕРЕЛ</w:t>
            </w:r>
            <w:r w:rsidR="00681719">
              <w:rPr>
                <w:rFonts w:ascii="Times New Roman" w:eastAsia="Times New Roman" w:hAnsi="Times New Roman" w:cs="Times New Roman"/>
                <w:sz w:val="28"/>
                <w:lang w:val="uk-UA"/>
              </w:rPr>
              <w:t>…………………………………………..</w:t>
            </w:r>
          </w:p>
        </w:tc>
        <w:tc>
          <w:tcPr>
            <w:tcW w:w="285" w:type="pct"/>
            <w:vAlign w:val="center"/>
          </w:tcPr>
          <w:p w14:paraId="69D4117C" w14:textId="77777777" w:rsidR="00BB0909" w:rsidRPr="00035CAD" w:rsidRDefault="00035CAD" w:rsidP="002C37C8">
            <w:pPr>
              <w:jc w:val="center"/>
              <w:rPr>
                <w:rFonts w:ascii="Times New Roman" w:eastAsia="Times New Roman" w:hAnsi="Times New Roman" w:cs="Times New Roman"/>
                <w:sz w:val="28"/>
                <w:szCs w:val="28"/>
                <w:lang w:val="uk-UA"/>
              </w:rPr>
            </w:pPr>
            <w:r w:rsidRPr="00035CAD">
              <w:rPr>
                <w:rFonts w:ascii="Times New Roman" w:eastAsia="Times New Roman" w:hAnsi="Times New Roman" w:cs="Times New Roman"/>
                <w:sz w:val="28"/>
                <w:szCs w:val="28"/>
                <w:lang w:val="uk-UA"/>
              </w:rPr>
              <w:t>5</w:t>
            </w:r>
            <w:r w:rsidRPr="00035CAD">
              <w:rPr>
                <w:rFonts w:ascii="Times New Roman" w:eastAsia="Times New Roman" w:hAnsi="Times New Roman" w:cs="Times New Roman"/>
                <w:sz w:val="28"/>
                <w:szCs w:val="28"/>
              </w:rPr>
              <w:t>7</w:t>
            </w:r>
          </w:p>
        </w:tc>
      </w:tr>
      <w:tr w:rsidR="00BB0909" w:rsidRPr="00042924" w14:paraId="7BB358A2" w14:textId="77777777" w:rsidTr="00D7433E">
        <w:trPr>
          <w:trHeight w:val="510"/>
        </w:trPr>
        <w:tc>
          <w:tcPr>
            <w:tcW w:w="4715" w:type="pct"/>
            <w:gridSpan w:val="2"/>
            <w:vAlign w:val="center"/>
          </w:tcPr>
          <w:p w14:paraId="7B0F9630" w14:textId="77777777" w:rsidR="00BB0909" w:rsidRPr="00042924" w:rsidRDefault="00BB0909" w:rsidP="00477C6A">
            <w:pPr>
              <w:rPr>
                <w:rFonts w:ascii="Times New Roman" w:eastAsia="Times New Roman" w:hAnsi="Times New Roman" w:cs="Times New Roman"/>
                <w:sz w:val="28"/>
                <w:lang w:val="uk-UA"/>
              </w:rPr>
            </w:pPr>
            <w:r w:rsidRPr="00042924">
              <w:rPr>
                <w:rFonts w:ascii="Times New Roman" w:eastAsia="Times New Roman" w:hAnsi="Times New Roman" w:cs="Times New Roman"/>
                <w:sz w:val="28"/>
                <w:lang w:val="uk-UA"/>
              </w:rPr>
              <w:t>ДОДАТК</w:t>
            </w:r>
            <w:r w:rsidR="00390292">
              <w:rPr>
                <w:rFonts w:ascii="Times New Roman" w:eastAsia="Times New Roman" w:hAnsi="Times New Roman" w:cs="Times New Roman"/>
                <w:sz w:val="28"/>
                <w:lang w:val="uk-UA"/>
              </w:rPr>
              <w:t xml:space="preserve">И А – Д </w:t>
            </w:r>
            <w:r w:rsidR="00681719">
              <w:rPr>
                <w:rFonts w:ascii="Times New Roman" w:eastAsia="Times New Roman" w:hAnsi="Times New Roman" w:cs="Times New Roman"/>
                <w:sz w:val="28"/>
                <w:lang w:val="uk-UA"/>
              </w:rPr>
              <w:t>…</w:t>
            </w:r>
            <w:r w:rsidR="00390292">
              <w:rPr>
                <w:rFonts w:ascii="Times New Roman" w:eastAsia="Times New Roman" w:hAnsi="Times New Roman" w:cs="Times New Roman"/>
                <w:sz w:val="28"/>
                <w:lang w:val="uk-UA"/>
              </w:rPr>
              <w:t>…...</w:t>
            </w:r>
            <w:r w:rsidR="00681719">
              <w:rPr>
                <w:rFonts w:ascii="Times New Roman" w:eastAsia="Times New Roman" w:hAnsi="Times New Roman" w:cs="Times New Roman"/>
                <w:sz w:val="28"/>
                <w:lang w:val="uk-UA"/>
              </w:rPr>
              <w:t>…………………………………………………………...</w:t>
            </w:r>
          </w:p>
        </w:tc>
        <w:tc>
          <w:tcPr>
            <w:tcW w:w="285" w:type="pct"/>
            <w:vAlign w:val="center"/>
          </w:tcPr>
          <w:p w14:paraId="2001AF6B" w14:textId="77777777" w:rsidR="00BB0909" w:rsidRPr="00035CAD" w:rsidRDefault="00035CAD" w:rsidP="002C37C8">
            <w:pPr>
              <w:jc w:val="center"/>
              <w:rPr>
                <w:rFonts w:ascii="Times New Roman" w:eastAsia="Times New Roman" w:hAnsi="Times New Roman" w:cs="Times New Roman"/>
                <w:sz w:val="28"/>
                <w:szCs w:val="28"/>
                <w:lang w:val="uk-UA"/>
              </w:rPr>
            </w:pPr>
            <w:r w:rsidRPr="00035CAD">
              <w:rPr>
                <w:rFonts w:ascii="Times New Roman" w:eastAsia="Times New Roman" w:hAnsi="Times New Roman" w:cs="Times New Roman"/>
                <w:sz w:val="28"/>
                <w:szCs w:val="28"/>
                <w:lang w:val="uk-UA"/>
              </w:rPr>
              <w:t>6</w:t>
            </w:r>
            <w:r w:rsidRPr="00035CAD">
              <w:rPr>
                <w:rFonts w:ascii="Times New Roman" w:eastAsia="Times New Roman" w:hAnsi="Times New Roman" w:cs="Times New Roman"/>
                <w:sz w:val="28"/>
                <w:szCs w:val="28"/>
              </w:rPr>
              <w:t>0</w:t>
            </w:r>
          </w:p>
        </w:tc>
      </w:tr>
    </w:tbl>
    <w:p w14:paraId="2A5C4AF8" w14:textId="77777777" w:rsidR="00EA49F2" w:rsidRPr="00042924" w:rsidRDefault="00EA49F2">
      <w:pPr>
        <w:rPr>
          <w:sz w:val="28"/>
          <w:szCs w:val="28"/>
          <w:lang w:val="uk-UA"/>
        </w:rPr>
      </w:pPr>
      <w:r w:rsidRPr="00042924">
        <w:rPr>
          <w:sz w:val="28"/>
          <w:szCs w:val="28"/>
          <w:lang w:val="uk-UA"/>
        </w:rPr>
        <w:br w:type="page"/>
      </w:r>
    </w:p>
    <w:p w14:paraId="31B4D959" w14:textId="77777777" w:rsidR="005406EE" w:rsidRDefault="00EA49F2" w:rsidP="003202CB">
      <w:pPr>
        <w:spacing w:after="0" w:line="240" w:lineRule="auto"/>
        <w:jc w:val="center"/>
        <w:rPr>
          <w:rFonts w:ascii="Times New Roman" w:hAnsi="Times New Roman" w:cs="Times New Roman"/>
          <w:b/>
          <w:bCs/>
          <w:sz w:val="28"/>
          <w:szCs w:val="28"/>
          <w:lang w:val="uk-UA"/>
        </w:rPr>
      </w:pPr>
      <w:bookmarkStart w:id="0" w:name="_Hlk151646529"/>
      <w:r w:rsidRPr="00042924">
        <w:rPr>
          <w:rFonts w:ascii="Times New Roman" w:hAnsi="Times New Roman" w:cs="Times New Roman"/>
          <w:b/>
          <w:bCs/>
          <w:sz w:val="28"/>
          <w:szCs w:val="28"/>
          <w:lang w:val="uk-UA"/>
        </w:rPr>
        <w:lastRenderedPageBreak/>
        <w:t>ВСТУП</w:t>
      </w:r>
    </w:p>
    <w:p w14:paraId="0202E93A" w14:textId="77777777" w:rsidR="003202CB" w:rsidRDefault="003202CB" w:rsidP="003202CB">
      <w:pPr>
        <w:spacing w:after="0" w:line="240" w:lineRule="auto"/>
        <w:jc w:val="center"/>
        <w:rPr>
          <w:rFonts w:ascii="Times New Roman" w:hAnsi="Times New Roman" w:cs="Times New Roman"/>
          <w:b/>
          <w:bCs/>
          <w:sz w:val="28"/>
          <w:szCs w:val="28"/>
          <w:lang w:val="uk-UA"/>
        </w:rPr>
      </w:pPr>
    </w:p>
    <w:p w14:paraId="44BA0AE5" w14:textId="77777777" w:rsidR="003202CB" w:rsidRPr="00042924" w:rsidRDefault="003202CB" w:rsidP="003202CB">
      <w:pPr>
        <w:spacing w:after="0" w:line="240" w:lineRule="auto"/>
        <w:jc w:val="center"/>
        <w:rPr>
          <w:rFonts w:ascii="Times New Roman" w:hAnsi="Times New Roman" w:cs="Times New Roman"/>
          <w:b/>
          <w:bCs/>
          <w:sz w:val="28"/>
          <w:szCs w:val="28"/>
          <w:lang w:val="uk-UA"/>
        </w:rPr>
      </w:pPr>
    </w:p>
    <w:p w14:paraId="3040CF35" w14:textId="77777777" w:rsidR="005D64D1" w:rsidRPr="00042924" w:rsidRDefault="00E6657F" w:rsidP="003202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27447D" w:rsidRPr="00042924">
        <w:rPr>
          <w:rFonts w:ascii="Times New Roman" w:hAnsi="Times New Roman" w:cs="Times New Roman"/>
          <w:sz w:val="28"/>
          <w:szCs w:val="28"/>
          <w:lang w:val="uk-UA"/>
        </w:rPr>
        <w:t xml:space="preserve">ослідження спрямоване на оцінку ризиків банкрутства та визначення шляхів підвищення фінансової стабільності ПАТ «АрселорМіттал Кривий Ріг». Вибір цієї теми обумовлений тим що </w:t>
      </w:r>
      <w:r w:rsidR="00674F7A">
        <w:rPr>
          <w:rFonts w:ascii="Times New Roman" w:hAnsi="Times New Roman" w:cs="Times New Roman"/>
          <w:sz w:val="28"/>
          <w:szCs w:val="28"/>
          <w:lang w:val="uk-UA"/>
        </w:rPr>
        <w:t>дане підприємство</w:t>
      </w:r>
      <w:r w:rsidR="0010168F">
        <w:rPr>
          <w:rFonts w:ascii="Times New Roman" w:hAnsi="Times New Roman" w:cs="Times New Roman"/>
          <w:sz w:val="28"/>
          <w:szCs w:val="28"/>
          <w:lang w:val="uk-UA"/>
        </w:rPr>
        <w:t xml:space="preserve"> </w:t>
      </w:r>
      <w:r w:rsidR="0027447D" w:rsidRPr="00042924">
        <w:rPr>
          <w:rFonts w:ascii="Times New Roman" w:hAnsi="Times New Roman" w:cs="Times New Roman"/>
          <w:sz w:val="28"/>
          <w:szCs w:val="28"/>
          <w:lang w:val="uk-UA"/>
        </w:rPr>
        <w:t>входить до складу</w:t>
      </w:r>
      <w:r w:rsidR="003202CB">
        <w:rPr>
          <w:rFonts w:ascii="Times New Roman" w:hAnsi="Times New Roman" w:cs="Times New Roman"/>
          <w:sz w:val="28"/>
          <w:szCs w:val="28"/>
          <w:lang w:val="uk-UA"/>
        </w:rPr>
        <w:t xml:space="preserve"> одного найбільших</w:t>
      </w:r>
      <w:r w:rsidR="0027447D" w:rsidRPr="00042924">
        <w:rPr>
          <w:rFonts w:ascii="Times New Roman" w:hAnsi="Times New Roman" w:cs="Times New Roman"/>
          <w:sz w:val="28"/>
          <w:szCs w:val="28"/>
          <w:lang w:val="uk-UA"/>
        </w:rPr>
        <w:t xml:space="preserve"> міжнародн</w:t>
      </w:r>
      <w:r w:rsidR="003202CB">
        <w:rPr>
          <w:rFonts w:ascii="Times New Roman" w:hAnsi="Times New Roman" w:cs="Times New Roman"/>
          <w:sz w:val="28"/>
          <w:szCs w:val="28"/>
          <w:lang w:val="uk-UA"/>
        </w:rPr>
        <w:t>их</w:t>
      </w:r>
      <w:r w:rsidR="0027447D" w:rsidRPr="00042924">
        <w:rPr>
          <w:rFonts w:ascii="Times New Roman" w:hAnsi="Times New Roman" w:cs="Times New Roman"/>
          <w:sz w:val="28"/>
          <w:szCs w:val="28"/>
          <w:lang w:val="uk-UA"/>
        </w:rPr>
        <w:t xml:space="preserve"> холдинг</w:t>
      </w:r>
      <w:r w:rsidR="003202CB">
        <w:rPr>
          <w:rFonts w:ascii="Times New Roman" w:hAnsi="Times New Roman" w:cs="Times New Roman"/>
          <w:sz w:val="28"/>
          <w:szCs w:val="28"/>
          <w:lang w:val="uk-UA"/>
        </w:rPr>
        <w:t>ів</w:t>
      </w:r>
      <w:r w:rsidR="0027447D" w:rsidRPr="00042924">
        <w:rPr>
          <w:rFonts w:ascii="Times New Roman" w:hAnsi="Times New Roman" w:cs="Times New Roman"/>
          <w:sz w:val="28"/>
          <w:szCs w:val="28"/>
          <w:lang w:val="uk-UA"/>
        </w:rPr>
        <w:t xml:space="preserve"> «Arcelor Mittal» </w:t>
      </w:r>
      <w:r w:rsidR="003202CB">
        <w:rPr>
          <w:rFonts w:ascii="Times New Roman" w:hAnsi="Times New Roman" w:cs="Times New Roman"/>
          <w:sz w:val="28"/>
          <w:szCs w:val="28"/>
          <w:lang w:val="uk-UA"/>
        </w:rPr>
        <w:t xml:space="preserve">та </w:t>
      </w:r>
      <w:r w:rsidR="0027447D" w:rsidRPr="00042924">
        <w:rPr>
          <w:rFonts w:ascii="Times New Roman" w:hAnsi="Times New Roman" w:cs="Times New Roman"/>
          <w:sz w:val="28"/>
          <w:szCs w:val="28"/>
          <w:lang w:val="uk-UA"/>
        </w:rPr>
        <w:t>являється одним із самих важливих підприємств у Кривому Розі і враховуючи складну макроекономічну ситуацію, необхідно не тільки оцінити поточний фінансовий стан підприємства, але й провести превентивну діагностику банкрутства, щоб забезпечити безперебійну роботу підприємства в майбутньому.</w:t>
      </w:r>
    </w:p>
    <w:p w14:paraId="4159F0D5" w14:textId="77777777" w:rsidR="00501155" w:rsidRPr="00042924" w:rsidRDefault="00501155" w:rsidP="0027447D">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У сучасному висококонкурентному та глобально взаємопов’язаному бізнес-середовищі очікується, що сучасне підприємство втілюватиме в собі три види якостей: конкурентоспроможність, фінансову стабільність та адаптивність у своїй організаційній структурі. Однак очевидно, що не всі підприємства можуть відповідати цим вимогам. Динамічні зміни в бізнес-ландшафті можна пояснити різними проявами кризових явищ як на рівні підприємства, так і в масштабах національної економіки. Ці складні умови породили відносно недавнє поняття – неплатоспроможність, що означає стан, у якому підприємство не в змозі виконати свої фінансові зобов’язання, таким чином потенційно балансуючи на межі банкрутства.</w:t>
      </w:r>
    </w:p>
    <w:p w14:paraId="3278E748" w14:textId="77777777" w:rsidR="00501155" w:rsidRPr="00042924" w:rsidRDefault="00501155" w:rsidP="00DD099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Ці руйнівні зміни та негативні тенденції часто походять від певних груп економічних суб’єктів, які переслідують свої цілі, не маючи внутрішнього потенціалу підтримувати загальний рівень операційної ефективності у своїх відповідних секторах. У цьому контексті вирішення цих криз і викликів у ринковій економіці вимагає прийняття інноваційних стратегій управління, які сприяють економічній стабільності та стійкості.</w:t>
      </w:r>
    </w:p>
    <w:p w14:paraId="634D8F12" w14:textId="77777777" w:rsidR="00501155" w:rsidRPr="00042924" w:rsidRDefault="00501155" w:rsidP="00DD099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Інститут банкрутства все ще перебуває на ранніх стадіях свого розвитку, оскільки він намагається адекватно адаптуватися до постійно мінливої динаміки ринку. Різноманітний спектр професіоналів, починаючи від керівників підприємств і закінчуючи банкірами, які надають позики підприємствам з метою пом’якшення кредитного ризику, вимагає комплексного інструментарію для аналізу, оцінки ймовірності банкрутства та діагностики криз. Так само інвестори покладаються на цю важливу інформацію для прийняття обґрунтованих рішень щодо участі в інвестиційних проектах підприємства.</w:t>
      </w:r>
    </w:p>
    <w:p w14:paraId="31767E2E" w14:textId="77777777" w:rsidR="00501155" w:rsidRPr="00042924" w:rsidRDefault="00501155" w:rsidP="00DD099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Крім того, масштаби банкрутства підприємства служать життєво важливим індикатором економічного здоров'я нації. Якщо в сучасній економічній науці вироблені загальні підходи та критерії оцінки ймовірності банкрутства підприємства, то в сучасній літературі представлено різноманітні думки та підходи щодо процедур банкрутства та заходів запобігання.</w:t>
      </w:r>
    </w:p>
    <w:p w14:paraId="29D37FFB" w14:textId="77777777" w:rsidR="00501155" w:rsidRPr="00042924" w:rsidRDefault="00501155" w:rsidP="00DD099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Широко визнано, що запобігання часто є ефективнішим, ніж лікування, наголошуючи на важливості вивчення досвіду успішних підприємств щодо запобігання неплатоспроможності та банкрутства. Отже, дослідження як теоретичних основ, так і практичних аспектів банкрутства, його притаманних викликів і стратегій його запобігання залишається актуальним.</w:t>
      </w:r>
    </w:p>
    <w:p w14:paraId="31E18EC9" w14:textId="77777777" w:rsidR="00501155" w:rsidRPr="00042924" w:rsidRDefault="00501155" w:rsidP="00DD099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lastRenderedPageBreak/>
        <w:t>Проте варто зазначити, що наявні праці, незважаючи на їх теоретичну та практичну значущість, не вичерпно відображають стрімкі зміни та сучасні тенденції, які виникли у сфері банкрутства підприємств за останні роки. Крім того, сучасні теорії іноді не можуть надати практичних вказівок для практиків галузі. Ці прогалини є поштовхом для подальших досліджень і досліджень у цій галузі.</w:t>
      </w:r>
    </w:p>
    <w:p w14:paraId="352F7D40" w14:textId="77777777" w:rsidR="00B17440" w:rsidRPr="00E6657F" w:rsidRDefault="00B17440" w:rsidP="00B17440">
      <w:pPr>
        <w:spacing w:after="0" w:line="240" w:lineRule="auto"/>
        <w:ind w:firstLine="709"/>
        <w:jc w:val="both"/>
        <w:rPr>
          <w:rFonts w:ascii="Times New Roman" w:hAnsi="Times New Roman" w:cs="Times New Roman"/>
          <w:sz w:val="28"/>
          <w:szCs w:val="28"/>
          <w:lang w:val="uk-UA"/>
        </w:rPr>
      </w:pPr>
      <w:r w:rsidRPr="00E6657F">
        <w:rPr>
          <w:rFonts w:ascii="Times New Roman" w:hAnsi="Times New Roman" w:cs="Times New Roman"/>
          <w:sz w:val="28"/>
          <w:szCs w:val="28"/>
          <w:lang w:val="uk-UA"/>
        </w:rPr>
        <w:t>Мета кваліфікаційної роботи полягає у діагностиці банкрутства ПАТ «АрселорМіттал Кривий Ріг» та обґрунтуванні заходів щодо запобігання.</w:t>
      </w:r>
    </w:p>
    <w:p w14:paraId="79E4DDFB" w14:textId="77777777" w:rsidR="00B17440" w:rsidRPr="00E6657F" w:rsidRDefault="00B17440" w:rsidP="00B17440">
      <w:pPr>
        <w:spacing w:after="0" w:line="240" w:lineRule="auto"/>
        <w:ind w:firstLine="709"/>
        <w:jc w:val="both"/>
        <w:rPr>
          <w:rFonts w:ascii="Times New Roman" w:hAnsi="Times New Roman" w:cs="Times New Roman"/>
          <w:sz w:val="28"/>
          <w:szCs w:val="28"/>
          <w:lang w:val="uk-UA"/>
        </w:rPr>
      </w:pPr>
      <w:r w:rsidRPr="00E6657F">
        <w:rPr>
          <w:rFonts w:ascii="Times New Roman" w:hAnsi="Times New Roman" w:cs="Times New Roman"/>
          <w:sz w:val="28"/>
          <w:szCs w:val="28"/>
          <w:lang w:val="uk-UA"/>
        </w:rPr>
        <w:t>Об’єктом дослідження є фінансово-господарська діяльність ПАТ «АрселорМіттал Кривий Ріг».</w:t>
      </w:r>
    </w:p>
    <w:p w14:paraId="5C24EF4D" w14:textId="77777777" w:rsidR="00B17440" w:rsidRPr="00E6657F" w:rsidRDefault="00B17440" w:rsidP="00B17440">
      <w:pPr>
        <w:spacing w:after="0" w:line="240" w:lineRule="auto"/>
        <w:ind w:firstLine="709"/>
        <w:jc w:val="both"/>
        <w:rPr>
          <w:rFonts w:ascii="Times New Roman" w:hAnsi="Times New Roman" w:cs="Times New Roman"/>
          <w:sz w:val="28"/>
          <w:szCs w:val="28"/>
          <w:lang w:val="uk-UA"/>
        </w:rPr>
      </w:pPr>
      <w:r w:rsidRPr="00E6657F">
        <w:rPr>
          <w:rFonts w:ascii="Times New Roman" w:hAnsi="Times New Roman" w:cs="Times New Roman"/>
          <w:sz w:val="28"/>
          <w:szCs w:val="28"/>
          <w:lang w:val="uk-UA"/>
        </w:rPr>
        <w:t>Предметом дослідження є теоретико-методичні та практичні аспекти діагностики банкрутства підприємства та розробки заходів щодо його запобігання.</w:t>
      </w:r>
    </w:p>
    <w:p w14:paraId="0FFD4666" w14:textId="77777777" w:rsidR="00501155" w:rsidRPr="00E6657F" w:rsidRDefault="00501155" w:rsidP="00B17440">
      <w:pPr>
        <w:spacing w:after="0" w:line="240" w:lineRule="auto"/>
        <w:ind w:firstLine="709"/>
        <w:jc w:val="both"/>
        <w:rPr>
          <w:rFonts w:ascii="Times New Roman" w:hAnsi="Times New Roman" w:cs="Times New Roman"/>
          <w:sz w:val="28"/>
          <w:szCs w:val="28"/>
          <w:lang w:val="uk-UA"/>
        </w:rPr>
      </w:pPr>
      <w:r w:rsidRPr="00E6657F">
        <w:rPr>
          <w:rFonts w:ascii="Times New Roman" w:hAnsi="Times New Roman" w:cs="Times New Roman"/>
          <w:sz w:val="28"/>
          <w:szCs w:val="28"/>
          <w:lang w:val="uk-UA"/>
        </w:rPr>
        <w:t>Ця загальна мета розділена на кілька конкретних завдань:</w:t>
      </w:r>
    </w:p>
    <w:p w14:paraId="02828057"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Опрацювати теоретичні основи діагностики банкрутства підприємств</w:t>
      </w:r>
    </w:p>
    <w:p w14:paraId="63822F71"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1.Дослідити сутність, причини та наслідки банкрутства підприємств</w:t>
      </w:r>
      <w:r w:rsidR="00BB67AD" w:rsidRPr="00042924">
        <w:rPr>
          <w:rFonts w:ascii="Times New Roman" w:hAnsi="Times New Roman" w:cs="Times New Roman"/>
          <w:sz w:val="28"/>
          <w:szCs w:val="28"/>
          <w:lang w:val="uk-UA"/>
        </w:rPr>
        <w:t>.</w:t>
      </w:r>
    </w:p>
    <w:p w14:paraId="1462F7D8"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2.Вивчити методичні підходи до оцінки фінансової скрути та прогнозування банкрутства</w:t>
      </w:r>
      <w:r w:rsidR="00BB67AD" w:rsidRPr="00042924">
        <w:rPr>
          <w:rFonts w:ascii="Times New Roman" w:hAnsi="Times New Roman" w:cs="Times New Roman"/>
          <w:sz w:val="28"/>
          <w:szCs w:val="28"/>
          <w:lang w:val="uk-UA"/>
        </w:rPr>
        <w:t>.</w:t>
      </w:r>
    </w:p>
    <w:p w14:paraId="33CAD244"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3.Проаналізувати сучасні проблеми фінансового стану та банкрутства вітчизняних підприємств</w:t>
      </w:r>
      <w:r w:rsidR="00BB67AD" w:rsidRPr="00042924">
        <w:rPr>
          <w:rFonts w:ascii="Times New Roman" w:hAnsi="Times New Roman" w:cs="Times New Roman"/>
          <w:sz w:val="28"/>
          <w:szCs w:val="28"/>
          <w:lang w:val="uk-UA"/>
        </w:rPr>
        <w:t>.</w:t>
      </w:r>
    </w:p>
    <w:p w14:paraId="06F14868"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4.Здійснити діагностику ймовірності банкрутства ПАТ «АрселорМіттал Кривий Ріг»</w:t>
      </w:r>
      <w:r w:rsidR="00BB67AD" w:rsidRPr="00042924">
        <w:rPr>
          <w:rFonts w:ascii="Times New Roman" w:hAnsi="Times New Roman" w:cs="Times New Roman"/>
          <w:sz w:val="28"/>
          <w:szCs w:val="28"/>
          <w:lang w:val="uk-UA"/>
        </w:rPr>
        <w:t>.</w:t>
      </w:r>
    </w:p>
    <w:p w14:paraId="71737F1E"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5.Дати організаційно-економічну характеристику ПАТ «АрселорМіттал Кривий Ріг»</w:t>
      </w:r>
      <w:r w:rsidR="00BB67AD" w:rsidRPr="00042924">
        <w:rPr>
          <w:rFonts w:ascii="Times New Roman" w:hAnsi="Times New Roman" w:cs="Times New Roman"/>
          <w:sz w:val="28"/>
          <w:szCs w:val="28"/>
          <w:lang w:val="uk-UA"/>
        </w:rPr>
        <w:t>.</w:t>
      </w:r>
    </w:p>
    <w:p w14:paraId="76E08AB8" w14:textId="77777777" w:rsidR="00C07EDA" w:rsidRPr="00042924" w:rsidRDefault="00C07EDA" w:rsidP="00C07EDA">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6.Провести інтегральну діагностику ймовірності банкрутства ПАТ «АрселорМіттал Кривий Ріг» за допомогою різних методик</w:t>
      </w:r>
      <w:r w:rsidR="00BB67AD" w:rsidRPr="00042924">
        <w:rPr>
          <w:rFonts w:ascii="Times New Roman" w:hAnsi="Times New Roman" w:cs="Times New Roman"/>
          <w:sz w:val="28"/>
          <w:szCs w:val="28"/>
          <w:lang w:val="uk-UA"/>
        </w:rPr>
        <w:t>.</w:t>
      </w:r>
    </w:p>
    <w:p w14:paraId="1F36B98B" w14:textId="77777777" w:rsidR="00C07EDA" w:rsidRPr="00042924" w:rsidRDefault="00C07EDA" w:rsidP="00C07EDA">
      <w:pPr>
        <w:spacing w:after="0" w:line="240" w:lineRule="auto"/>
        <w:ind w:firstLine="709"/>
        <w:jc w:val="both"/>
        <w:rPr>
          <w:rFonts w:ascii="Times New Roman" w:hAnsi="Times New Roman" w:cs="Times New Roman"/>
          <w:sz w:val="28"/>
          <w:szCs w:val="28"/>
          <w:highlight w:val="yellow"/>
          <w:lang w:val="uk-UA"/>
        </w:rPr>
      </w:pPr>
      <w:r w:rsidRPr="00042924">
        <w:rPr>
          <w:rFonts w:ascii="Times New Roman" w:hAnsi="Times New Roman" w:cs="Times New Roman"/>
          <w:sz w:val="28"/>
          <w:szCs w:val="28"/>
          <w:lang w:val="uk-UA"/>
        </w:rPr>
        <w:t>7.Розробити рекомендації щодо запобігання банкрутству ПАТ «АрселорМіттал Кривий Ріг»</w:t>
      </w:r>
      <w:r w:rsidR="00BB67AD" w:rsidRPr="00042924">
        <w:rPr>
          <w:rFonts w:ascii="Times New Roman" w:hAnsi="Times New Roman" w:cs="Times New Roman"/>
          <w:sz w:val="28"/>
          <w:szCs w:val="28"/>
          <w:lang w:val="uk-UA"/>
        </w:rPr>
        <w:t>.</w:t>
      </w:r>
    </w:p>
    <w:p w14:paraId="1178D75A" w14:textId="77777777" w:rsidR="00501155" w:rsidRPr="00042924" w:rsidRDefault="00501155" w:rsidP="00DD099A">
      <w:pPr>
        <w:spacing w:after="0" w:line="240" w:lineRule="auto"/>
        <w:ind w:firstLine="709"/>
        <w:jc w:val="both"/>
        <w:rPr>
          <w:rFonts w:ascii="Times New Roman" w:hAnsi="Times New Roman" w:cs="Times New Roman"/>
          <w:sz w:val="28"/>
          <w:szCs w:val="28"/>
          <w:lang w:val="uk-UA"/>
        </w:rPr>
      </w:pPr>
      <w:r w:rsidRPr="008D33FB">
        <w:rPr>
          <w:rFonts w:ascii="Times New Roman" w:hAnsi="Times New Roman" w:cs="Times New Roman"/>
          <w:sz w:val="28"/>
          <w:szCs w:val="28"/>
          <w:lang w:val="uk-UA"/>
        </w:rPr>
        <w:t xml:space="preserve">Для досягнення цих цілей було використано різноманітні </w:t>
      </w:r>
      <w:bookmarkStart w:id="1" w:name="_Hlk152791292"/>
      <w:r w:rsidRPr="008D33FB">
        <w:rPr>
          <w:rFonts w:ascii="Times New Roman" w:hAnsi="Times New Roman" w:cs="Times New Roman"/>
          <w:sz w:val="28"/>
          <w:szCs w:val="28"/>
          <w:lang w:val="uk-UA"/>
        </w:rPr>
        <w:t>методи дослідження, включаючи системно-орієнтований підхід, статистичний аналіз, економічний і фінансовий аналіз, кількісний і структурний аналіз, експертний аналіз, методи імовірнісного моделювання та фінансового прогнозування.</w:t>
      </w:r>
      <w:bookmarkEnd w:id="1"/>
    </w:p>
    <w:p w14:paraId="63EA409B" w14:textId="77777777" w:rsidR="004243A3" w:rsidRPr="002B747F" w:rsidRDefault="004243A3" w:rsidP="004243A3">
      <w:pPr>
        <w:widowControl w:val="0"/>
        <w:spacing w:after="0" w:line="240" w:lineRule="auto"/>
        <w:ind w:firstLine="709"/>
        <w:jc w:val="both"/>
        <w:rPr>
          <w:rFonts w:ascii="Times New Roman" w:hAnsi="Times New Roman" w:cs="Times New Roman"/>
          <w:sz w:val="28"/>
          <w:szCs w:val="28"/>
          <w:lang w:val="uk-UA"/>
        </w:rPr>
      </w:pPr>
      <w:r w:rsidRPr="009A5373">
        <w:rPr>
          <w:rFonts w:ascii="Times New Roman" w:hAnsi="Times New Roman" w:cs="Times New Roman"/>
          <w:sz w:val="28"/>
          <w:szCs w:val="28"/>
          <w:lang w:val="uk-UA"/>
        </w:rPr>
        <w:t>Інформаційною базою дослідження</w:t>
      </w:r>
      <w:r>
        <w:rPr>
          <w:rFonts w:ascii="Times New Roman" w:hAnsi="Times New Roman" w:cs="Times New Roman"/>
          <w:sz w:val="28"/>
          <w:szCs w:val="28"/>
          <w:lang w:val="uk-UA"/>
        </w:rPr>
        <w:t xml:space="preserve"> виступають </w:t>
      </w:r>
      <w:r>
        <w:rPr>
          <w:rFonts w:ascii="Times New Roman" w:eastAsia="Times New Roman" w:hAnsi="Times New Roman" w:cs="Times New Roman"/>
          <w:sz w:val="28"/>
          <w:szCs w:val="28"/>
          <w:lang w:val="uk-UA"/>
        </w:rPr>
        <w:t xml:space="preserve">фінансова звітність </w:t>
      </w:r>
      <w:r w:rsidRPr="00FE1E84">
        <w:rPr>
          <w:rFonts w:ascii="Times New Roman" w:eastAsia="Times New Roman" w:hAnsi="Times New Roman" w:cs="Times New Roman"/>
          <w:sz w:val="28"/>
          <w:szCs w:val="28"/>
          <w:lang w:val="uk-UA"/>
        </w:rPr>
        <w:t xml:space="preserve">ПАТ </w:t>
      </w:r>
      <w:r w:rsidRPr="00042924">
        <w:rPr>
          <w:rFonts w:ascii="Times New Roman" w:hAnsi="Times New Roman" w:cs="Times New Roman"/>
          <w:sz w:val="28"/>
          <w:szCs w:val="28"/>
          <w:lang w:val="uk-UA"/>
        </w:rPr>
        <w:t>«АрселорМіттал Кривий Ріг»</w:t>
      </w:r>
      <w:r w:rsidRPr="00FE1E8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B2575A">
        <w:rPr>
          <w:rFonts w:ascii="Times New Roman" w:eastAsia="Calibri" w:hAnsi="Times New Roman" w:cs="Times New Roman"/>
          <w:color w:val="000000"/>
          <w:sz w:val="28"/>
          <w:szCs w:val="28"/>
          <w:shd w:val="clear" w:color="auto" w:fill="FFFFFF"/>
          <w:lang w:val="uk-UA"/>
        </w:rPr>
        <w:t>за 20</w:t>
      </w:r>
      <w:r>
        <w:rPr>
          <w:rFonts w:ascii="Times New Roman" w:eastAsia="Calibri" w:hAnsi="Times New Roman" w:cs="Times New Roman"/>
          <w:color w:val="000000"/>
          <w:sz w:val="28"/>
          <w:szCs w:val="28"/>
          <w:shd w:val="clear" w:color="auto" w:fill="FFFFFF"/>
          <w:lang w:val="uk-UA"/>
        </w:rPr>
        <w:t>20</w:t>
      </w:r>
      <w:r w:rsidRPr="00B2575A">
        <w:rPr>
          <w:rFonts w:ascii="Times New Roman" w:eastAsia="Calibri" w:hAnsi="Times New Roman" w:cs="Times New Roman"/>
          <w:color w:val="000000"/>
          <w:sz w:val="28"/>
          <w:szCs w:val="28"/>
          <w:shd w:val="clear" w:color="auto" w:fill="FFFFFF"/>
          <w:lang w:val="uk-UA"/>
        </w:rPr>
        <w:t>-20</w:t>
      </w:r>
      <w:r>
        <w:rPr>
          <w:rFonts w:ascii="Times New Roman" w:eastAsia="Calibri" w:hAnsi="Times New Roman" w:cs="Times New Roman"/>
          <w:color w:val="000000"/>
          <w:sz w:val="28"/>
          <w:szCs w:val="28"/>
          <w:shd w:val="clear" w:color="auto" w:fill="FFFFFF"/>
          <w:lang w:val="uk-UA"/>
        </w:rPr>
        <w:t>22</w:t>
      </w:r>
      <w:r w:rsidRPr="00B2575A">
        <w:rPr>
          <w:rFonts w:ascii="Times New Roman" w:eastAsia="Calibri" w:hAnsi="Times New Roman" w:cs="Times New Roman"/>
          <w:color w:val="000000"/>
          <w:sz w:val="28"/>
          <w:szCs w:val="28"/>
          <w:shd w:val="clear" w:color="auto" w:fill="FFFFFF"/>
          <w:lang w:val="uk-UA"/>
        </w:rPr>
        <w:t xml:space="preserve"> рр., </w:t>
      </w:r>
      <w:r>
        <w:rPr>
          <w:rFonts w:ascii="Times New Roman" w:eastAsia="Calibri" w:hAnsi="Times New Roman" w:cs="Times New Roman"/>
          <w:color w:val="000000"/>
          <w:sz w:val="28"/>
          <w:szCs w:val="28"/>
          <w:shd w:val="clear" w:color="auto" w:fill="FFFFFF"/>
          <w:lang w:val="uk-UA"/>
        </w:rPr>
        <w:t xml:space="preserve">сайт </w:t>
      </w:r>
      <w:r>
        <w:rPr>
          <w:rFonts w:ascii="Times New Roman" w:eastAsia="Times New Roman" w:hAnsi="Times New Roman" w:cs="Times New Roman"/>
          <w:sz w:val="28"/>
          <w:szCs w:val="28"/>
          <w:lang w:val="uk-UA"/>
        </w:rPr>
        <w:t>підприємства</w:t>
      </w:r>
      <w:r w:rsidRPr="00B2575A">
        <w:rPr>
          <w:rFonts w:ascii="Times New Roman" w:eastAsia="Calibri" w:hAnsi="Times New Roman" w:cs="Times New Roman"/>
          <w:color w:val="000000"/>
          <w:sz w:val="28"/>
          <w:szCs w:val="28"/>
          <w:shd w:val="clear" w:color="auto" w:fill="FFFFFF"/>
          <w:lang w:val="uk-UA"/>
        </w:rPr>
        <w:t>, статистичні дані з сайт</w:t>
      </w:r>
      <w:r>
        <w:rPr>
          <w:rFonts w:ascii="Times New Roman" w:eastAsia="Calibri" w:hAnsi="Times New Roman" w:cs="Times New Roman"/>
          <w:color w:val="000000"/>
          <w:sz w:val="28"/>
          <w:szCs w:val="28"/>
          <w:shd w:val="clear" w:color="auto" w:fill="FFFFFF"/>
          <w:lang w:val="uk-UA"/>
        </w:rPr>
        <w:t>у</w:t>
      </w:r>
      <w:r w:rsidRPr="00B2575A">
        <w:rPr>
          <w:rFonts w:ascii="Times New Roman" w:eastAsia="Calibri" w:hAnsi="Times New Roman" w:cs="Times New Roman"/>
          <w:color w:val="000000"/>
          <w:sz w:val="28"/>
          <w:szCs w:val="28"/>
          <w:shd w:val="clear" w:color="auto" w:fill="FFFFFF"/>
          <w:lang w:val="uk-UA"/>
        </w:rPr>
        <w:t xml:space="preserve"> Державної служби статистики України, навчальна та науково-практична література, чинна нормативно-правова база України, </w:t>
      </w:r>
      <w:r>
        <w:rPr>
          <w:rFonts w:ascii="Times New Roman" w:eastAsia="Calibri" w:hAnsi="Times New Roman" w:cs="Times New Roman"/>
          <w:color w:val="000000"/>
          <w:sz w:val="28"/>
          <w:szCs w:val="28"/>
          <w:shd w:val="clear" w:color="auto" w:fill="FFFFFF"/>
          <w:lang w:val="uk-UA"/>
        </w:rPr>
        <w:t xml:space="preserve">інформація </w:t>
      </w:r>
      <w:r w:rsidRPr="00B2575A">
        <w:rPr>
          <w:rFonts w:ascii="Times New Roman" w:eastAsia="Calibri" w:hAnsi="Times New Roman" w:cs="Times New Roman"/>
          <w:color w:val="000000"/>
          <w:sz w:val="28"/>
          <w:szCs w:val="28"/>
          <w:shd w:val="clear" w:color="auto" w:fill="FFFFFF"/>
          <w:lang w:val="uk-UA"/>
        </w:rPr>
        <w:t xml:space="preserve"> мережі Інтернет</w:t>
      </w:r>
      <w:r>
        <w:rPr>
          <w:rFonts w:ascii="Times New Roman" w:eastAsia="Calibri" w:hAnsi="Times New Roman" w:cs="Times New Roman"/>
          <w:color w:val="000000"/>
          <w:sz w:val="28"/>
          <w:szCs w:val="28"/>
          <w:shd w:val="clear" w:color="auto" w:fill="FFFFFF"/>
          <w:lang w:val="uk-UA"/>
        </w:rPr>
        <w:t>.</w:t>
      </w:r>
    </w:p>
    <w:p w14:paraId="2CBD5AE5" w14:textId="77777777" w:rsidR="004243A3" w:rsidRPr="009148BE" w:rsidRDefault="004243A3" w:rsidP="004243A3">
      <w:pPr>
        <w:spacing w:after="0" w:line="240" w:lineRule="auto"/>
        <w:ind w:firstLine="709"/>
        <w:jc w:val="both"/>
        <w:rPr>
          <w:rFonts w:ascii="Times New Roman" w:hAnsi="Times New Roman" w:cs="Times New Roman"/>
          <w:sz w:val="28"/>
          <w:szCs w:val="28"/>
          <w:lang w:val="uk-UA"/>
        </w:rPr>
      </w:pPr>
      <w:r w:rsidRPr="009148BE">
        <w:rPr>
          <w:rFonts w:ascii="Times New Roman" w:hAnsi="Times New Roman" w:cs="Times New Roman"/>
          <w:sz w:val="28"/>
          <w:szCs w:val="28"/>
          <w:lang w:val="uk-UA"/>
        </w:rPr>
        <w:t>Основні результати кваліфікаційної роботи доповідалися на VIІІ всеукраїнській науково-практичній інтернет-конференції «Управління ресурсним забезпеченням господарської діяльності підприємств реального сектору економіки» (</w:t>
      </w:r>
      <w:r>
        <w:rPr>
          <w:rFonts w:ascii="Times New Roman" w:hAnsi="Times New Roman" w:cs="Times New Roman"/>
          <w:sz w:val="28"/>
          <w:szCs w:val="28"/>
          <w:lang w:val="uk-UA"/>
        </w:rPr>
        <w:t xml:space="preserve">м. </w:t>
      </w:r>
      <w:r w:rsidRPr="009148BE">
        <w:rPr>
          <w:rFonts w:ascii="Times New Roman" w:hAnsi="Times New Roman" w:cs="Times New Roman"/>
          <w:sz w:val="28"/>
          <w:szCs w:val="28"/>
          <w:lang w:val="uk-UA"/>
        </w:rPr>
        <w:t xml:space="preserve">Полтава, </w:t>
      </w:r>
      <w:r w:rsidR="00613549">
        <w:rPr>
          <w:rFonts w:ascii="Times New Roman" w:hAnsi="Times New Roman" w:cs="Times New Roman"/>
          <w:sz w:val="28"/>
          <w:szCs w:val="28"/>
          <w:lang w:val="uk-UA"/>
        </w:rPr>
        <w:t>23 листопада 2023</w:t>
      </w:r>
      <w:r w:rsidR="000041AE">
        <w:rPr>
          <w:rFonts w:ascii="Times New Roman" w:hAnsi="Times New Roman" w:cs="Times New Roman"/>
          <w:sz w:val="28"/>
          <w:szCs w:val="28"/>
          <w:lang w:val="uk-UA"/>
        </w:rPr>
        <w:t xml:space="preserve"> року</w:t>
      </w:r>
      <w:r w:rsidRPr="009148BE">
        <w:rPr>
          <w:rFonts w:ascii="Times New Roman" w:hAnsi="Times New Roman" w:cs="Times New Roman"/>
          <w:sz w:val="28"/>
          <w:szCs w:val="28"/>
          <w:lang w:val="uk-UA"/>
        </w:rPr>
        <w:t>) та на VIІ міжнародній науково-практичній конференції «</w:t>
      </w:r>
      <w:r>
        <w:rPr>
          <w:rFonts w:ascii="Times New Roman" w:hAnsi="Times New Roman" w:cs="Times New Roman"/>
          <w:sz w:val="28"/>
          <w:szCs w:val="28"/>
          <w:lang w:val="uk-UA"/>
        </w:rPr>
        <w:t>С</w:t>
      </w:r>
      <w:r w:rsidRPr="009148BE">
        <w:rPr>
          <w:rFonts w:ascii="Times New Roman" w:hAnsi="Times New Roman" w:cs="Times New Roman"/>
          <w:sz w:val="28"/>
          <w:szCs w:val="28"/>
          <w:lang w:val="uk-UA"/>
        </w:rPr>
        <w:t>тратегії та інновації: актуальні управлінські практики</w:t>
      </w:r>
      <w:r>
        <w:rPr>
          <w:rFonts w:ascii="Times New Roman" w:hAnsi="Times New Roman" w:cs="Times New Roman"/>
          <w:sz w:val="28"/>
          <w:szCs w:val="28"/>
          <w:lang w:val="uk-UA"/>
        </w:rPr>
        <w:t xml:space="preserve">» (м. Кривий Ріг, </w:t>
      </w:r>
      <w:r w:rsidR="000041AE" w:rsidRPr="000041AE">
        <w:rPr>
          <w:rFonts w:ascii="Times New Roman" w:hAnsi="Times New Roman" w:cs="Times New Roman"/>
          <w:sz w:val="28"/>
          <w:szCs w:val="28"/>
          <w:lang w:val="uk-UA"/>
        </w:rPr>
        <w:t>28 квітня 2023 року</w:t>
      </w:r>
      <w:r>
        <w:rPr>
          <w:rFonts w:ascii="Times New Roman" w:hAnsi="Times New Roman" w:cs="Times New Roman"/>
          <w:sz w:val="28"/>
          <w:szCs w:val="28"/>
          <w:lang w:val="uk-UA"/>
        </w:rPr>
        <w:t>).</w:t>
      </w:r>
    </w:p>
    <w:p w14:paraId="7754BBD6" w14:textId="77777777" w:rsidR="00472DD5" w:rsidRPr="00042924" w:rsidRDefault="004243A3" w:rsidP="004243A3">
      <w:pPr>
        <w:widowControl w:val="0"/>
        <w:spacing w:after="0" w:line="240" w:lineRule="auto"/>
        <w:ind w:firstLine="709"/>
        <w:jc w:val="both"/>
        <w:rPr>
          <w:rFonts w:ascii="Times New Roman" w:eastAsia="Times New Roman" w:hAnsi="Times New Roman" w:cs="Times New Roman"/>
          <w:b/>
          <w:bCs/>
          <w:sz w:val="28"/>
          <w:lang w:val="uk-UA"/>
        </w:rPr>
      </w:pPr>
      <w:r w:rsidRPr="004243A3">
        <w:rPr>
          <w:rFonts w:ascii="Times New Roman" w:hAnsi="Times New Roman" w:cs="Times New Roman"/>
          <w:sz w:val="28"/>
          <w:szCs w:val="28"/>
          <w:lang w:val="uk-UA"/>
        </w:rPr>
        <w:t xml:space="preserve">Практичне значення роботи полягає </w:t>
      </w:r>
      <w:r w:rsidR="00D976FA">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розробці програми заходів щодо запобігання банкрутства, що можуть бути використанні  на інших споріднених </w:t>
      </w:r>
      <w:r w:rsidRPr="00F27687">
        <w:rPr>
          <w:rFonts w:ascii="Times New Roman" w:hAnsi="Times New Roman" w:cs="Times New Roman"/>
          <w:sz w:val="28"/>
          <w:szCs w:val="28"/>
          <w:lang w:val="uk-UA"/>
        </w:rPr>
        <w:t xml:space="preserve"> підприємства</w:t>
      </w:r>
      <w:r>
        <w:rPr>
          <w:rFonts w:ascii="Times New Roman" w:hAnsi="Times New Roman" w:cs="Times New Roman"/>
          <w:sz w:val="28"/>
          <w:szCs w:val="28"/>
          <w:lang w:val="uk-UA"/>
        </w:rPr>
        <w:t>х</w:t>
      </w:r>
      <w:r w:rsidRPr="00F27687">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4B138E" w:rsidRPr="00042924">
        <w:rPr>
          <w:rFonts w:ascii="Times New Roman" w:hAnsi="Times New Roman" w:cs="Times New Roman"/>
          <w:sz w:val="28"/>
          <w:szCs w:val="28"/>
          <w:lang w:val="uk-UA"/>
        </w:rPr>
        <w:t xml:space="preserve">труктурно дипломна робота складається зі вступу, двох основних розділів і висновку. </w:t>
      </w:r>
      <w:r w:rsidR="002C6384" w:rsidRPr="00042924">
        <w:rPr>
          <w:rFonts w:ascii="Times New Roman" w:eastAsia="Times New Roman" w:hAnsi="Times New Roman" w:cs="Times New Roman"/>
          <w:b/>
          <w:bCs/>
          <w:sz w:val="28"/>
          <w:lang w:val="uk-UA"/>
        </w:rPr>
        <w:br w:type="page"/>
      </w:r>
    </w:p>
    <w:p w14:paraId="08B6E6E0" w14:textId="77777777" w:rsidR="00265E33" w:rsidRPr="00042924" w:rsidRDefault="00B92FD7" w:rsidP="00B35233">
      <w:pPr>
        <w:spacing w:after="0" w:line="240" w:lineRule="auto"/>
        <w:jc w:val="center"/>
        <w:rPr>
          <w:rFonts w:ascii="Times New Roman" w:eastAsia="Times New Roman" w:hAnsi="Times New Roman" w:cs="Times New Roman"/>
          <w:b/>
          <w:bCs/>
          <w:sz w:val="28"/>
          <w:lang w:val="uk-UA"/>
        </w:rPr>
      </w:pPr>
      <w:bookmarkStart w:id="2" w:name="_Hlk151306221"/>
      <w:r w:rsidRPr="00042924">
        <w:rPr>
          <w:rFonts w:ascii="Times New Roman" w:eastAsia="Times New Roman" w:hAnsi="Times New Roman" w:cs="Times New Roman"/>
          <w:b/>
          <w:bCs/>
          <w:sz w:val="28"/>
          <w:lang w:val="uk-UA"/>
        </w:rPr>
        <w:lastRenderedPageBreak/>
        <w:t>1</w:t>
      </w:r>
      <w:r w:rsidR="00B35233">
        <w:rPr>
          <w:rFonts w:ascii="Times New Roman" w:eastAsia="Times New Roman" w:hAnsi="Times New Roman" w:cs="Times New Roman"/>
          <w:b/>
          <w:bCs/>
          <w:sz w:val="28"/>
          <w:lang w:val="uk-UA"/>
        </w:rPr>
        <w:t xml:space="preserve"> </w:t>
      </w:r>
      <w:r w:rsidRPr="00042924">
        <w:rPr>
          <w:rFonts w:ascii="Times New Roman" w:eastAsia="Times New Roman" w:hAnsi="Times New Roman" w:cs="Times New Roman"/>
          <w:b/>
          <w:bCs/>
          <w:sz w:val="28"/>
          <w:lang w:val="uk-UA"/>
        </w:rPr>
        <w:t xml:space="preserve">ТЕОРЕТИКО-МЕТОДИЧНІ </w:t>
      </w:r>
      <w:r w:rsidR="00E31179" w:rsidRPr="00042924">
        <w:rPr>
          <w:rFonts w:ascii="Times New Roman" w:eastAsia="Times New Roman" w:hAnsi="Times New Roman" w:cs="Times New Roman"/>
          <w:b/>
          <w:bCs/>
          <w:sz w:val="28"/>
          <w:lang w:val="uk-UA"/>
        </w:rPr>
        <w:t>ОСНОВИ ДІАГНОСТИКИ БАНКРУТСТВА ПІДПРИЄМСТВ</w:t>
      </w:r>
    </w:p>
    <w:p w14:paraId="6BC3C2AA" w14:textId="77777777" w:rsidR="0018728B" w:rsidRDefault="0018728B" w:rsidP="00B35233">
      <w:pPr>
        <w:tabs>
          <w:tab w:val="left" w:pos="1646"/>
          <w:tab w:val="left" w:pos="3717"/>
          <w:tab w:val="left" w:pos="4513"/>
        </w:tabs>
        <w:spacing w:after="0" w:line="240" w:lineRule="auto"/>
        <w:jc w:val="center"/>
        <w:rPr>
          <w:rFonts w:ascii="Times New Roman" w:eastAsia="Times New Roman" w:hAnsi="Times New Roman" w:cs="Times New Roman"/>
          <w:b/>
          <w:bCs/>
          <w:sz w:val="28"/>
          <w:lang w:val="uk-UA"/>
        </w:rPr>
      </w:pPr>
    </w:p>
    <w:p w14:paraId="500FE2CD" w14:textId="77777777" w:rsidR="00B35233" w:rsidRPr="00042924" w:rsidRDefault="00B35233" w:rsidP="00B35233">
      <w:pPr>
        <w:tabs>
          <w:tab w:val="left" w:pos="1646"/>
          <w:tab w:val="left" w:pos="3717"/>
          <w:tab w:val="left" w:pos="4513"/>
        </w:tabs>
        <w:spacing w:after="0" w:line="240" w:lineRule="auto"/>
        <w:jc w:val="center"/>
        <w:rPr>
          <w:rFonts w:ascii="Times New Roman" w:eastAsia="Times New Roman" w:hAnsi="Times New Roman" w:cs="Times New Roman"/>
          <w:b/>
          <w:bCs/>
          <w:sz w:val="28"/>
          <w:lang w:val="uk-UA"/>
        </w:rPr>
      </w:pPr>
    </w:p>
    <w:p w14:paraId="0C7CB3CF" w14:textId="77777777" w:rsidR="00E31179" w:rsidRPr="00042924" w:rsidRDefault="0018728B" w:rsidP="00B35233">
      <w:pPr>
        <w:spacing w:after="0" w:line="240" w:lineRule="auto"/>
        <w:ind w:firstLine="709"/>
        <w:jc w:val="both"/>
        <w:rPr>
          <w:rFonts w:ascii="Times New Roman" w:eastAsia="Times New Roman" w:hAnsi="Times New Roman" w:cs="Times New Roman"/>
          <w:b/>
          <w:bCs/>
          <w:sz w:val="28"/>
          <w:lang w:val="uk-UA"/>
        </w:rPr>
      </w:pPr>
      <w:r w:rsidRPr="00042924">
        <w:rPr>
          <w:rFonts w:ascii="Times New Roman" w:eastAsia="Times New Roman" w:hAnsi="Times New Roman" w:cs="Times New Roman"/>
          <w:b/>
          <w:bCs/>
          <w:sz w:val="28"/>
          <w:szCs w:val="28"/>
          <w:lang w:val="uk-UA"/>
        </w:rPr>
        <w:t>1.</w:t>
      </w:r>
      <w:r w:rsidRPr="00042924">
        <w:rPr>
          <w:rFonts w:ascii="Times New Roman" w:eastAsia="Times New Roman" w:hAnsi="Times New Roman" w:cs="Times New Roman"/>
          <w:b/>
          <w:bCs/>
          <w:sz w:val="28"/>
          <w:lang w:val="uk-UA"/>
        </w:rPr>
        <w:t xml:space="preserve">1 </w:t>
      </w:r>
      <w:r w:rsidR="001901EC" w:rsidRPr="00042924">
        <w:rPr>
          <w:rFonts w:ascii="Times New Roman" w:eastAsia="Times New Roman" w:hAnsi="Times New Roman" w:cs="Times New Roman"/>
          <w:b/>
          <w:bCs/>
          <w:sz w:val="28"/>
          <w:lang w:val="uk-UA"/>
        </w:rPr>
        <w:t>Теоретична сутність, причини та наслідки банкрутства підприємств</w:t>
      </w:r>
    </w:p>
    <w:p w14:paraId="270ABDCE" w14:textId="77777777" w:rsidR="0018728B" w:rsidRDefault="0018728B" w:rsidP="00B35233">
      <w:pPr>
        <w:spacing w:after="0" w:line="240" w:lineRule="auto"/>
        <w:rPr>
          <w:lang w:val="uk-UA"/>
        </w:rPr>
      </w:pPr>
    </w:p>
    <w:p w14:paraId="622044C0" w14:textId="77777777" w:rsidR="00B35233" w:rsidRPr="00042924" w:rsidRDefault="00B35233" w:rsidP="00B35233">
      <w:pPr>
        <w:spacing w:after="0" w:line="240" w:lineRule="auto"/>
        <w:rPr>
          <w:lang w:val="uk-UA"/>
        </w:rPr>
      </w:pPr>
    </w:p>
    <w:p w14:paraId="0AFA6D71" w14:textId="77777777" w:rsidR="00E1726B" w:rsidRPr="00042924" w:rsidRDefault="00E1726B" w:rsidP="009922EE">
      <w:pPr>
        <w:pStyle w:val="a4"/>
        <w:tabs>
          <w:tab w:val="left" w:pos="9658"/>
        </w:tabs>
        <w:ind w:firstLine="709"/>
        <w:jc w:val="both"/>
        <w:rPr>
          <w:lang w:val="uk-UA"/>
        </w:rPr>
      </w:pPr>
      <w:r w:rsidRPr="00042924">
        <w:rPr>
          <w:lang w:val="uk-UA"/>
        </w:rPr>
        <w:t>Сфера банкрутства — це багатогранна сфера економічної системи, що охоплює концепції, різні типи та причини, які є життєво важливими для розуміння. Існують різні типи та причини банкрутства, які класифікуються на основі факторів, що призводять до фінансової неспроможності, конкретної категорії боржника та мотивів, що спонукають відповідальну сторону оголосити про банкрутство.</w:t>
      </w:r>
    </w:p>
    <w:p w14:paraId="44454CE9" w14:textId="77777777" w:rsidR="003428DA" w:rsidRPr="00042924" w:rsidRDefault="003428DA" w:rsidP="003428DA">
      <w:pPr>
        <w:pStyle w:val="a4"/>
        <w:tabs>
          <w:tab w:val="left" w:pos="9658"/>
        </w:tabs>
        <w:ind w:firstLine="709"/>
        <w:jc w:val="both"/>
        <w:rPr>
          <w:lang w:val="uk-UA"/>
        </w:rPr>
      </w:pPr>
      <w:r w:rsidRPr="00042924">
        <w:rPr>
          <w:lang w:val="uk-UA"/>
        </w:rPr>
        <w:t>Підприємства, фізичні особи-підприємці та фізичні особи, які зазнали фінансових збитків під час здійснення господарської діяльності, за законом зобов’язані повідомити про банкрутство. Банкрутство, у цьому контексті, означає документально підтверджений стан, у якому суб’єкт господарювання виявляється не в змозі виконувати свої боргові зобов’язання та фінансувати свою поточну діяльність.</w:t>
      </w:r>
    </w:p>
    <w:p w14:paraId="31A45DB6" w14:textId="77777777" w:rsidR="00E1726B" w:rsidRPr="00042924" w:rsidRDefault="00E1726B" w:rsidP="009922EE">
      <w:pPr>
        <w:pStyle w:val="a4"/>
        <w:tabs>
          <w:tab w:val="left" w:pos="9658"/>
        </w:tabs>
        <w:ind w:firstLine="709"/>
        <w:jc w:val="both"/>
        <w:rPr>
          <w:lang w:val="uk-UA"/>
        </w:rPr>
      </w:pPr>
      <w:r w:rsidRPr="00042924">
        <w:rPr>
          <w:lang w:val="uk-UA"/>
        </w:rPr>
        <w:t>Важливо визнати, що банкрутство може охоплювати низку організацій, кожна з яких керується унікальними ознаками фінансової неспроможності. Ці відмінні показники формують конкретні процедури банкрутства, які застосовуються до кожного типу суб’єкта господарювання.</w:t>
      </w:r>
    </w:p>
    <w:p w14:paraId="09ABEB82" w14:textId="77777777" w:rsidR="00E1726B" w:rsidRPr="00042924" w:rsidRDefault="00E1726B" w:rsidP="009922EE">
      <w:pPr>
        <w:pStyle w:val="a4"/>
        <w:tabs>
          <w:tab w:val="left" w:pos="9658"/>
        </w:tabs>
        <w:ind w:firstLine="709"/>
        <w:jc w:val="both"/>
        <w:rPr>
          <w:lang w:val="uk-UA"/>
        </w:rPr>
      </w:pPr>
      <w:r w:rsidRPr="00042924">
        <w:rPr>
          <w:lang w:val="uk-UA"/>
        </w:rPr>
        <w:t>Банкрутство за своєю суттю пов’язане з ринковою динамікою, віддзеркалюючи притаманну невизначеність у досягненні остаточних фінансових результатів і ризик зазнати збитків. Неплатоспроможність суб’єкта господарювання може проявлятися в різних формах, наприклад, «фіктивна неплатоспроможність», що є наслідком умисного приховування активів з метою ухилення від погашення боргів перед кредиторами, або «необережна неплатоспроможність», що виникає внаслідок неефективної діяльності та виконання ризикованих операцій. фінансові операції.</w:t>
      </w:r>
    </w:p>
    <w:p w14:paraId="23768C48" w14:textId="77777777" w:rsidR="00B8757E" w:rsidRPr="00042924" w:rsidRDefault="00201D15" w:rsidP="00156E92">
      <w:pPr>
        <w:pStyle w:val="a4"/>
        <w:tabs>
          <w:tab w:val="left" w:pos="9658"/>
        </w:tabs>
        <w:ind w:firstLine="709"/>
        <w:jc w:val="both"/>
        <w:rPr>
          <w:lang w:val="uk-UA"/>
        </w:rPr>
      </w:pPr>
      <w:r w:rsidRPr="00042924">
        <w:rPr>
          <w:lang w:val="uk-UA"/>
        </w:rPr>
        <w:t>З методологічного підходу необхідно чітко визначити термін «банкрутство». У літературі наводиться ряд визначень, що відображає складність поняття. Серед цих визначень поширене тлумачення «банкрутства» обертається навколо критерію неплатоспроможності компанії, який залежить від її здатності виконувати фінансові зобов’язання. Більш конкретно, неплатоспроможність визначається як стан, в якому компанія стикається з труднощами в обслуговуванні своїх боргів. Таке розуміння підкреслює важливість формулювання чіткого та лаконічного визначення банкрутства</w:t>
      </w:r>
      <w:r w:rsidR="002D2CA7" w:rsidRPr="00042924">
        <w:rPr>
          <w:lang w:val="uk-UA"/>
        </w:rPr>
        <w:t>.</w:t>
      </w:r>
    </w:p>
    <w:p w14:paraId="15F06686" w14:textId="77777777" w:rsidR="00D03B87" w:rsidRPr="00042924" w:rsidRDefault="00D03B87" w:rsidP="00D03B87">
      <w:pPr>
        <w:pStyle w:val="a4"/>
        <w:tabs>
          <w:tab w:val="left" w:pos="9658"/>
        </w:tabs>
        <w:ind w:firstLine="709"/>
        <w:jc w:val="both"/>
        <w:rPr>
          <w:lang w:val="uk-UA"/>
        </w:rPr>
      </w:pPr>
      <w:r w:rsidRPr="00042924">
        <w:rPr>
          <w:lang w:val="uk-UA"/>
        </w:rPr>
        <w:t>Цікаво, що сучасна концепція банкрутства сягає своїм корінням в італійський вислів «banca rotta», що означає акт перекидання банкірів, коли вони не можуть виконати свої фінансові зобов’язання.</w:t>
      </w:r>
    </w:p>
    <w:p w14:paraId="4299D748" w14:textId="77777777" w:rsidR="00D03B87" w:rsidRPr="00042924" w:rsidRDefault="00D03B87" w:rsidP="00D03B87">
      <w:pPr>
        <w:pStyle w:val="a4"/>
        <w:tabs>
          <w:tab w:val="left" w:pos="9658"/>
        </w:tabs>
        <w:ind w:firstLine="709"/>
        <w:jc w:val="both"/>
        <w:rPr>
          <w:lang w:val="uk-UA"/>
        </w:rPr>
      </w:pPr>
      <w:r w:rsidRPr="00042924">
        <w:rPr>
          <w:lang w:val="uk-UA"/>
        </w:rPr>
        <w:t>У країнах з ринковою економікою банкрутство виступає механізмом економічного регулювання, наголошуючи насамперед на дотриманні зобов'язань і безпосередньо впливаючи на ефективність діяльності суб'єкта господарювання.</w:t>
      </w:r>
    </w:p>
    <w:p w14:paraId="22E4AC44" w14:textId="77777777" w:rsidR="00D03B87" w:rsidRPr="00042924" w:rsidRDefault="00D03B87" w:rsidP="00D03B87">
      <w:pPr>
        <w:pStyle w:val="a4"/>
        <w:tabs>
          <w:tab w:val="left" w:pos="9658"/>
        </w:tabs>
        <w:ind w:firstLine="709"/>
        <w:jc w:val="both"/>
        <w:rPr>
          <w:lang w:val="uk-UA"/>
        </w:rPr>
      </w:pPr>
      <w:r w:rsidRPr="00042924">
        <w:rPr>
          <w:lang w:val="uk-UA"/>
        </w:rPr>
        <w:t xml:space="preserve">Незважаючи на давнє походження банкрутства, існують різноманітні </w:t>
      </w:r>
      <w:r w:rsidRPr="00042924">
        <w:rPr>
          <w:lang w:val="uk-UA"/>
        </w:rPr>
        <w:lastRenderedPageBreak/>
        <w:t>трактування не лише серед науковців, а й у нормативних документах. Отже, важливо дослідити наукові праці, щоб точно визначити суть концепції банкрутства.</w:t>
      </w:r>
    </w:p>
    <w:p w14:paraId="39B16EA4" w14:textId="77777777" w:rsidR="006F0621" w:rsidRPr="00042924" w:rsidRDefault="006F0621" w:rsidP="00D03B87">
      <w:pPr>
        <w:pStyle w:val="a4"/>
        <w:tabs>
          <w:tab w:val="left" w:pos="9658"/>
        </w:tabs>
        <w:ind w:firstLine="709"/>
        <w:jc w:val="both"/>
        <w:rPr>
          <w:lang w:val="uk-UA"/>
        </w:rPr>
      </w:pPr>
      <w:r w:rsidRPr="00042924">
        <w:rPr>
          <w:lang w:val="uk-UA"/>
        </w:rPr>
        <w:t>У таблиці 1.1 наведено набір тлумачень терміна «банкрутство», сформульованих різними авторами. Таблиця служить цінним ресурсом для порівняння та порівняння нюансів перспектив і визначень банкрутства, запропонованих різними експертами та дослідниками.</w:t>
      </w:r>
    </w:p>
    <w:p w14:paraId="66EE5D6C" w14:textId="77777777" w:rsidR="00D03B87" w:rsidRPr="00042924" w:rsidRDefault="00D03B87" w:rsidP="00D03B87">
      <w:pPr>
        <w:pStyle w:val="a4"/>
        <w:tabs>
          <w:tab w:val="left" w:pos="9658"/>
        </w:tabs>
        <w:ind w:firstLine="709"/>
        <w:jc w:val="both"/>
        <w:rPr>
          <w:lang w:val="uk-UA"/>
        </w:rPr>
      </w:pPr>
    </w:p>
    <w:p w14:paraId="6182DBE3" w14:textId="77777777" w:rsidR="00D03B87" w:rsidRPr="00042924" w:rsidRDefault="00E3103E" w:rsidP="007F4825">
      <w:pPr>
        <w:pStyle w:val="a4"/>
        <w:tabs>
          <w:tab w:val="left" w:pos="9658"/>
        </w:tabs>
        <w:ind w:firstLine="709"/>
        <w:jc w:val="both"/>
        <w:rPr>
          <w:lang w:val="uk-UA"/>
        </w:rPr>
      </w:pPr>
      <w:r w:rsidRPr="00042924">
        <w:rPr>
          <w:lang w:val="uk-UA"/>
        </w:rPr>
        <w:t xml:space="preserve">Таблиця 1.1 </w:t>
      </w:r>
      <w:r w:rsidR="009D519E" w:rsidRPr="00042924">
        <w:rPr>
          <w:lang w:val="uk-UA"/>
        </w:rPr>
        <w:t xml:space="preserve">– </w:t>
      </w:r>
      <w:r w:rsidR="00EE27CF" w:rsidRPr="00042924">
        <w:rPr>
          <w:lang w:val="uk-UA"/>
        </w:rPr>
        <w:t>Основні визначальні ознаки поняття «банкрутство підприємства» у викладі дослідників</w:t>
      </w:r>
    </w:p>
    <w:tbl>
      <w:tblPr>
        <w:tblStyle w:val="a6"/>
        <w:tblW w:w="0" w:type="auto"/>
        <w:tblCellMar>
          <w:top w:w="57" w:type="dxa"/>
          <w:left w:w="85" w:type="dxa"/>
          <w:bottom w:w="57" w:type="dxa"/>
          <w:right w:w="85" w:type="dxa"/>
        </w:tblCellMar>
        <w:tblLook w:val="04A0" w:firstRow="1" w:lastRow="0" w:firstColumn="1" w:lastColumn="0" w:noHBand="0" w:noVBand="1"/>
      </w:tblPr>
      <w:tblGrid>
        <w:gridCol w:w="2689"/>
        <w:gridCol w:w="7222"/>
      </w:tblGrid>
      <w:tr w:rsidR="00D034AF" w:rsidRPr="00042924" w14:paraId="2B903889" w14:textId="77777777" w:rsidTr="00386853">
        <w:trPr>
          <w:trHeight w:val="340"/>
        </w:trPr>
        <w:tc>
          <w:tcPr>
            <w:tcW w:w="2689" w:type="dxa"/>
            <w:vAlign w:val="center"/>
          </w:tcPr>
          <w:p w14:paraId="743A83A1" w14:textId="77777777" w:rsidR="00D034AF" w:rsidRPr="00042924" w:rsidRDefault="007D0F5D" w:rsidP="004E35FB">
            <w:pPr>
              <w:pStyle w:val="a4"/>
              <w:tabs>
                <w:tab w:val="left" w:pos="9658"/>
              </w:tabs>
              <w:jc w:val="center"/>
              <w:rPr>
                <w:sz w:val="24"/>
                <w:szCs w:val="24"/>
                <w:lang w:val="uk-UA"/>
              </w:rPr>
            </w:pPr>
            <w:r w:rsidRPr="00042924">
              <w:rPr>
                <w:sz w:val="24"/>
                <w:szCs w:val="24"/>
                <w:lang w:val="uk-UA"/>
              </w:rPr>
              <w:t>Дослідник</w:t>
            </w:r>
            <w:r w:rsidR="00D83695" w:rsidRPr="00042924">
              <w:rPr>
                <w:sz w:val="24"/>
                <w:szCs w:val="24"/>
                <w:lang w:val="uk-UA"/>
              </w:rPr>
              <w:t>, джерело</w:t>
            </w:r>
          </w:p>
        </w:tc>
        <w:tc>
          <w:tcPr>
            <w:tcW w:w="7222" w:type="dxa"/>
            <w:vAlign w:val="center"/>
          </w:tcPr>
          <w:p w14:paraId="03D8B479" w14:textId="77777777" w:rsidR="00D034AF" w:rsidRPr="00042924" w:rsidRDefault="00A61F09" w:rsidP="004E35FB">
            <w:pPr>
              <w:pStyle w:val="a4"/>
              <w:tabs>
                <w:tab w:val="left" w:pos="9658"/>
              </w:tabs>
              <w:jc w:val="center"/>
              <w:rPr>
                <w:sz w:val="24"/>
                <w:szCs w:val="24"/>
                <w:lang w:val="uk-UA"/>
              </w:rPr>
            </w:pPr>
            <w:r w:rsidRPr="00042924">
              <w:rPr>
                <w:sz w:val="24"/>
                <w:szCs w:val="24"/>
                <w:lang w:val="uk-UA"/>
              </w:rPr>
              <w:t>Поняття «банкрутство»</w:t>
            </w:r>
          </w:p>
        </w:tc>
      </w:tr>
      <w:tr w:rsidR="00FB2818" w:rsidRPr="00042924" w14:paraId="3FC65056" w14:textId="77777777" w:rsidTr="00386853">
        <w:trPr>
          <w:trHeight w:val="283"/>
        </w:trPr>
        <w:tc>
          <w:tcPr>
            <w:tcW w:w="2689" w:type="dxa"/>
            <w:vAlign w:val="center"/>
          </w:tcPr>
          <w:p w14:paraId="56D5AA8C" w14:textId="77777777" w:rsidR="00FB2818" w:rsidRPr="00042924" w:rsidRDefault="00FB2818" w:rsidP="004E35FB">
            <w:pPr>
              <w:pStyle w:val="a4"/>
              <w:tabs>
                <w:tab w:val="left" w:pos="9658"/>
              </w:tabs>
              <w:jc w:val="center"/>
              <w:rPr>
                <w:sz w:val="24"/>
                <w:szCs w:val="24"/>
                <w:lang w:val="uk-UA"/>
              </w:rPr>
            </w:pPr>
            <w:r w:rsidRPr="00042924">
              <w:rPr>
                <w:sz w:val="24"/>
                <w:szCs w:val="24"/>
                <w:lang w:val="uk-UA"/>
              </w:rPr>
              <w:t>1</w:t>
            </w:r>
          </w:p>
        </w:tc>
        <w:tc>
          <w:tcPr>
            <w:tcW w:w="7222" w:type="dxa"/>
            <w:vAlign w:val="center"/>
          </w:tcPr>
          <w:p w14:paraId="5DFCA156" w14:textId="77777777" w:rsidR="00FB2818" w:rsidRPr="00042924" w:rsidRDefault="00FB2818" w:rsidP="004E35FB">
            <w:pPr>
              <w:pStyle w:val="a4"/>
              <w:tabs>
                <w:tab w:val="left" w:pos="9658"/>
              </w:tabs>
              <w:jc w:val="center"/>
              <w:rPr>
                <w:sz w:val="24"/>
                <w:szCs w:val="24"/>
                <w:lang w:val="uk-UA"/>
              </w:rPr>
            </w:pPr>
            <w:r w:rsidRPr="00042924">
              <w:rPr>
                <w:sz w:val="24"/>
                <w:szCs w:val="24"/>
                <w:lang w:val="uk-UA"/>
              </w:rPr>
              <w:t>2</w:t>
            </w:r>
          </w:p>
        </w:tc>
      </w:tr>
      <w:tr w:rsidR="00584260" w:rsidRPr="00042924" w14:paraId="6FB581E3" w14:textId="77777777" w:rsidTr="00076A81">
        <w:trPr>
          <w:trHeight w:val="283"/>
        </w:trPr>
        <w:tc>
          <w:tcPr>
            <w:tcW w:w="9911" w:type="dxa"/>
            <w:gridSpan w:val="2"/>
            <w:vAlign w:val="center"/>
          </w:tcPr>
          <w:p w14:paraId="3604C2E4" w14:textId="77777777" w:rsidR="00584260" w:rsidRPr="00042924" w:rsidRDefault="00584260" w:rsidP="004E35FB">
            <w:pPr>
              <w:pStyle w:val="a4"/>
              <w:tabs>
                <w:tab w:val="left" w:pos="9658"/>
              </w:tabs>
              <w:jc w:val="center"/>
              <w:rPr>
                <w:sz w:val="24"/>
                <w:szCs w:val="24"/>
                <w:lang w:val="uk-UA"/>
              </w:rPr>
            </w:pPr>
            <w:r w:rsidRPr="00042924">
              <w:rPr>
                <w:sz w:val="24"/>
                <w:szCs w:val="24"/>
                <w:lang w:val="uk-UA"/>
              </w:rPr>
              <w:t>Юридичний п</w:t>
            </w:r>
            <w:r w:rsidR="00F04AD1" w:rsidRPr="00042924">
              <w:rPr>
                <w:sz w:val="24"/>
                <w:szCs w:val="24"/>
                <w:lang w:val="uk-UA"/>
              </w:rPr>
              <w:t>ідхід</w:t>
            </w:r>
          </w:p>
        </w:tc>
      </w:tr>
      <w:tr w:rsidR="00D64D7E" w:rsidRPr="00042924" w14:paraId="516B74F4" w14:textId="77777777" w:rsidTr="00FB2818">
        <w:trPr>
          <w:trHeight w:val="850"/>
        </w:trPr>
        <w:tc>
          <w:tcPr>
            <w:tcW w:w="2689" w:type="dxa"/>
          </w:tcPr>
          <w:p w14:paraId="2144D23C" w14:textId="77777777" w:rsidR="004C4459" w:rsidRPr="00042924" w:rsidRDefault="004C4459" w:rsidP="00825B5D">
            <w:pPr>
              <w:pStyle w:val="TableParagraph"/>
              <w:spacing w:before="14" w:line="202" w:lineRule="exact"/>
              <w:ind w:left="56"/>
              <w:rPr>
                <w:sz w:val="24"/>
                <w:szCs w:val="24"/>
                <w:lang w:val="uk-UA"/>
              </w:rPr>
            </w:pPr>
            <w:r w:rsidRPr="00042924">
              <w:rPr>
                <w:sz w:val="24"/>
                <w:szCs w:val="24"/>
                <w:lang w:val="uk-UA"/>
              </w:rPr>
              <w:t>Кодекс України з</w:t>
            </w:r>
          </w:p>
          <w:p w14:paraId="68420982" w14:textId="77777777" w:rsidR="004C4459" w:rsidRPr="00042924" w:rsidRDefault="004C4459" w:rsidP="00825B5D">
            <w:pPr>
              <w:pStyle w:val="TableParagraph"/>
              <w:spacing w:before="14" w:line="202" w:lineRule="exact"/>
              <w:ind w:left="56"/>
              <w:rPr>
                <w:sz w:val="24"/>
                <w:szCs w:val="24"/>
                <w:lang w:val="uk-UA"/>
              </w:rPr>
            </w:pPr>
            <w:r w:rsidRPr="00042924">
              <w:rPr>
                <w:sz w:val="24"/>
                <w:szCs w:val="24"/>
                <w:lang w:val="uk-UA"/>
              </w:rPr>
              <w:t>процедур банкрутства</w:t>
            </w:r>
          </w:p>
          <w:p w14:paraId="4873A588" w14:textId="77777777" w:rsidR="004C4459" w:rsidRPr="00042924" w:rsidRDefault="004C4459" w:rsidP="00825B5D">
            <w:pPr>
              <w:pStyle w:val="TableParagraph"/>
              <w:spacing w:before="14" w:line="202" w:lineRule="exact"/>
              <w:ind w:left="56"/>
              <w:rPr>
                <w:sz w:val="24"/>
                <w:szCs w:val="24"/>
                <w:lang w:val="uk-UA"/>
              </w:rPr>
            </w:pPr>
            <w:r w:rsidRPr="00042924">
              <w:rPr>
                <w:sz w:val="24"/>
                <w:szCs w:val="24"/>
                <w:lang w:val="uk-UA"/>
              </w:rPr>
              <w:t xml:space="preserve">від </w:t>
            </w:r>
            <w:r w:rsidR="00C47950" w:rsidRPr="00042924">
              <w:rPr>
                <w:sz w:val="24"/>
                <w:szCs w:val="24"/>
                <w:lang w:val="uk-UA"/>
              </w:rPr>
              <w:t>20</w:t>
            </w:r>
            <w:r w:rsidRPr="00042924">
              <w:rPr>
                <w:sz w:val="24"/>
                <w:szCs w:val="24"/>
                <w:lang w:val="uk-UA"/>
              </w:rPr>
              <w:t>.</w:t>
            </w:r>
            <w:r w:rsidR="00C47950" w:rsidRPr="00042924">
              <w:rPr>
                <w:sz w:val="24"/>
                <w:szCs w:val="24"/>
                <w:lang w:val="uk-UA"/>
              </w:rPr>
              <w:t>03</w:t>
            </w:r>
            <w:r w:rsidRPr="00042924">
              <w:rPr>
                <w:sz w:val="24"/>
                <w:szCs w:val="24"/>
                <w:lang w:val="uk-UA"/>
              </w:rPr>
              <w:t>.20</w:t>
            </w:r>
            <w:r w:rsidR="00C47950" w:rsidRPr="00042924">
              <w:rPr>
                <w:sz w:val="24"/>
                <w:szCs w:val="24"/>
                <w:lang w:val="uk-UA"/>
              </w:rPr>
              <w:t>23</w:t>
            </w:r>
            <w:r w:rsidRPr="00042924">
              <w:rPr>
                <w:sz w:val="24"/>
                <w:szCs w:val="24"/>
                <w:lang w:val="uk-UA"/>
              </w:rPr>
              <w:t xml:space="preserve"> р.</w:t>
            </w:r>
          </w:p>
          <w:p w14:paraId="17A21C10" w14:textId="77777777" w:rsidR="00D64D7E" w:rsidRPr="00042924" w:rsidRDefault="004C4459" w:rsidP="00825B5D">
            <w:pPr>
              <w:pStyle w:val="TableParagraph"/>
              <w:spacing w:before="14" w:line="202" w:lineRule="exact"/>
              <w:ind w:left="56"/>
              <w:rPr>
                <w:sz w:val="24"/>
                <w:szCs w:val="24"/>
                <w:lang w:val="uk-UA"/>
              </w:rPr>
            </w:pPr>
            <w:r w:rsidRPr="00042924">
              <w:rPr>
                <w:sz w:val="24"/>
                <w:szCs w:val="24"/>
                <w:lang w:val="uk-UA"/>
              </w:rPr>
              <w:t>№ 2597-VIII</w:t>
            </w:r>
          </w:p>
        </w:tc>
        <w:tc>
          <w:tcPr>
            <w:tcW w:w="7222" w:type="dxa"/>
            <w:vAlign w:val="center"/>
          </w:tcPr>
          <w:p w14:paraId="411B5A7E" w14:textId="77777777" w:rsidR="00D64D7E" w:rsidRPr="00042924" w:rsidRDefault="00E4506F" w:rsidP="00825B5D">
            <w:pPr>
              <w:pStyle w:val="a4"/>
              <w:tabs>
                <w:tab w:val="left" w:pos="9658"/>
              </w:tabs>
              <w:jc w:val="both"/>
              <w:rPr>
                <w:sz w:val="24"/>
                <w:szCs w:val="24"/>
                <w:lang w:val="uk-UA"/>
              </w:rPr>
            </w:pPr>
            <w:r w:rsidRPr="00042924">
              <w:rPr>
                <w:sz w:val="24"/>
                <w:szCs w:val="24"/>
                <w:lang w:val="uk-UA"/>
              </w:rPr>
              <w:t>«</w:t>
            </w:r>
            <w:r w:rsidR="002E5E57" w:rsidRPr="00042924">
              <w:rPr>
                <w:sz w:val="24"/>
                <w:szCs w:val="24"/>
                <w:lang w:val="uk-UA"/>
              </w:rPr>
              <w:t xml:space="preserve">Банкрутство – </w:t>
            </w:r>
            <w:r w:rsidR="00D83695" w:rsidRPr="00042924">
              <w:rPr>
                <w:sz w:val="24"/>
                <w:szCs w:val="24"/>
                <w:lang w:val="uk-UA"/>
              </w:rPr>
              <w:t>визнана господарським судом нездатність боржника відновити свою платоспроможність за допомогою процедури санації та реструктуризації і погасити встановлені у порядку, визначеному цим Кодексом, грошові вимоги кредиторів інакше, ніж через застосування ліквідаційної процедури або процедури погашення боргів боржника</w:t>
            </w:r>
            <w:r w:rsidR="002E5E57" w:rsidRPr="00042924">
              <w:rPr>
                <w:sz w:val="24"/>
                <w:szCs w:val="24"/>
                <w:lang w:val="uk-UA"/>
              </w:rPr>
              <w:t>.</w:t>
            </w:r>
            <w:r w:rsidRPr="00042924">
              <w:rPr>
                <w:sz w:val="24"/>
                <w:szCs w:val="24"/>
                <w:lang w:val="uk-UA"/>
              </w:rPr>
              <w:t xml:space="preserve">» </w:t>
            </w:r>
            <w:r w:rsidR="00A01EA3" w:rsidRPr="00042924">
              <w:rPr>
                <w:sz w:val="24"/>
                <w:szCs w:val="24"/>
                <w:lang w:val="uk-UA"/>
              </w:rPr>
              <w:t>[</w:t>
            </w:r>
            <w:r w:rsidR="001E7855" w:rsidRPr="00042924">
              <w:rPr>
                <w:sz w:val="24"/>
                <w:szCs w:val="24"/>
                <w:lang w:val="uk-UA"/>
              </w:rPr>
              <w:t>12</w:t>
            </w:r>
            <w:r w:rsidR="00A01EA3" w:rsidRPr="00042924">
              <w:rPr>
                <w:sz w:val="24"/>
                <w:szCs w:val="24"/>
                <w:lang w:val="uk-UA"/>
              </w:rPr>
              <w:t>]</w:t>
            </w:r>
            <w:r w:rsidR="003D765D">
              <w:rPr>
                <w:sz w:val="24"/>
                <w:szCs w:val="24"/>
                <w:lang w:val="uk-UA"/>
              </w:rPr>
              <w:t>.</w:t>
            </w:r>
          </w:p>
        </w:tc>
      </w:tr>
      <w:tr w:rsidR="00D64D7E" w:rsidRPr="00BE6C60" w14:paraId="5286BB89" w14:textId="77777777" w:rsidTr="00FB2818">
        <w:trPr>
          <w:trHeight w:val="850"/>
        </w:trPr>
        <w:tc>
          <w:tcPr>
            <w:tcW w:w="2689" w:type="dxa"/>
          </w:tcPr>
          <w:p w14:paraId="2272A509" w14:textId="77777777" w:rsidR="00D64D7E" w:rsidRPr="00042924" w:rsidRDefault="00D64D7E" w:rsidP="00825B5D">
            <w:pPr>
              <w:pStyle w:val="a4"/>
              <w:tabs>
                <w:tab w:val="left" w:pos="9658"/>
              </w:tabs>
              <w:rPr>
                <w:sz w:val="24"/>
                <w:szCs w:val="24"/>
                <w:lang w:val="uk-UA"/>
              </w:rPr>
            </w:pPr>
            <w:r w:rsidRPr="00042924">
              <w:rPr>
                <w:color w:val="231F20"/>
                <w:sz w:val="24"/>
                <w:szCs w:val="24"/>
                <w:lang w:val="uk-UA"/>
              </w:rPr>
              <w:t>О.О.</w:t>
            </w:r>
            <w:r w:rsidRPr="00042924">
              <w:rPr>
                <w:color w:val="231F20"/>
                <w:spacing w:val="-11"/>
                <w:sz w:val="24"/>
                <w:szCs w:val="24"/>
                <w:lang w:val="uk-UA"/>
              </w:rPr>
              <w:t xml:space="preserve"> </w:t>
            </w:r>
            <w:r w:rsidRPr="00042924">
              <w:rPr>
                <w:color w:val="231F20"/>
                <w:sz w:val="24"/>
                <w:szCs w:val="24"/>
                <w:lang w:val="uk-UA"/>
              </w:rPr>
              <w:t>Терещенко</w:t>
            </w:r>
          </w:p>
        </w:tc>
        <w:tc>
          <w:tcPr>
            <w:tcW w:w="7222" w:type="dxa"/>
            <w:vAlign w:val="center"/>
          </w:tcPr>
          <w:p w14:paraId="23320F6E" w14:textId="77777777" w:rsidR="00D64D7E" w:rsidRPr="00042924" w:rsidRDefault="00E4506F" w:rsidP="00825B5D">
            <w:pPr>
              <w:pStyle w:val="a4"/>
              <w:tabs>
                <w:tab w:val="left" w:pos="9658"/>
              </w:tabs>
              <w:jc w:val="both"/>
              <w:rPr>
                <w:sz w:val="24"/>
                <w:szCs w:val="24"/>
                <w:lang w:val="uk-UA"/>
              </w:rPr>
            </w:pPr>
            <w:r w:rsidRPr="00042924">
              <w:rPr>
                <w:color w:val="231F20"/>
                <w:sz w:val="24"/>
                <w:szCs w:val="24"/>
                <w:lang w:val="uk-UA"/>
              </w:rPr>
              <w:t>«</w:t>
            </w:r>
            <w:r w:rsidR="00D64D7E" w:rsidRPr="00042924">
              <w:rPr>
                <w:color w:val="231F20"/>
                <w:sz w:val="24"/>
                <w:szCs w:val="24"/>
                <w:lang w:val="uk-UA"/>
              </w:rPr>
              <w:t>Банкрутство</w:t>
            </w:r>
            <w:r w:rsidR="00D64D7E" w:rsidRPr="00042924">
              <w:rPr>
                <w:color w:val="231F20"/>
                <w:spacing w:val="-12"/>
                <w:sz w:val="24"/>
                <w:szCs w:val="24"/>
                <w:lang w:val="uk-UA"/>
              </w:rPr>
              <w:t xml:space="preserve"> </w:t>
            </w:r>
            <w:r w:rsidR="00D64D7E" w:rsidRPr="00042924">
              <w:rPr>
                <w:color w:val="231F20"/>
                <w:sz w:val="24"/>
                <w:szCs w:val="24"/>
                <w:lang w:val="uk-UA"/>
              </w:rPr>
              <w:t>–</w:t>
            </w:r>
            <w:r w:rsidR="00D64D7E" w:rsidRPr="00042924">
              <w:rPr>
                <w:color w:val="231F20"/>
                <w:spacing w:val="-11"/>
                <w:sz w:val="24"/>
                <w:szCs w:val="24"/>
                <w:lang w:val="uk-UA"/>
              </w:rPr>
              <w:t xml:space="preserve"> </w:t>
            </w:r>
            <w:r w:rsidR="00D64D7E" w:rsidRPr="00042924">
              <w:rPr>
                <w:color w:val="231F20"/>
                <w:sz w:val="24"/>
                <w:szCs w:val="24"/>
                <w:lang w:val="uk-UA"/>
              </w:rPr>
              <w:t>це</w:t>
            </w:r>
            <w:r w:rsidR="00D64D7E" w:rsidRPr="00042924">
              <w:rPr>
                <w:color w:val="231F20"/>
                <w:spacing w:val="-11"/>
                <w:sz w:val="24"/>
                <w:szCs w:val="24"/>
                <w:lang w:val="uk-UA"/>
              </w:rPr>
              <w:t xml:space="preserve"> </w:t>
            </w:r>
            <w:r w:rsidR="00D64D7E" w:rsidRPr="00042924">
              <w:rPr>
                <w:color w:val="231F20"/>
                <w:sz w:val="24"/>
                <w:szCs w:val="24"/>
                <w:lang w:val="uk-UA"/>
              </w:rPr>
              <w:t>пов’язана</w:t>
            </w:r>
            <w:r w:rsidR="00D64D7E" w:rsidRPr="00042924">
              <w:rPr>
                <w:color w:val="231F20"/>
                <w:spacing w:val="-12"/>
                <w:sz w:val="24"/>
                <w:szCs w:val="24"/>
                <w:lang w:val="uk-UA"/>
              </w:rPr>
              <w:t xml:space="preserve"> </w:t>
            </w:r>
            <w:r w:rsidR="00D64D7E" w:rsidRPr="00042924">
              <w:rPr>
                <w:color w:val="231F20"/>
                <w:sz w:val="24"/>
                <w:szCs w:val="24"/>
                <w:lang w:val="uk-UA"/>
              </w:rPr>
              <w:t>з</w:t>
            </w:r>
            <w:r w:rsidR="00D64D7E" w:rsidRPr="00042924">
              <w:rPr>
                <w:color w:val="231F20"/>
                <w:spacing w:val="-11"/>
                <w:sz w:val="24"/>
                <w:szCs w:val="24"/>
                <w:lang w:val="uk-UA"/>
              </w:rPr>
              <w:t xml:space="preserve"> </w:t>
            </w:r>
            <w:r w:rsidR="00D64D7E" w:rsidRPr="00042924">
              <w:rPr>
                <w:color w:val="231F20"/>
                <w:sz w:val="24"/>
                <w:szCs w:val="24"/>
                <w:lang w:val="uk-UA"/>
              </w:rPr>
              <w:t>недостатністю</w:t>
            </w:r>
            <w:r w:rsidR="00D64D7E" w:rsidRPr="00042924">
              <w:rPr>
                <w:color w:val="231F20"/>
                <w:spacing w:val="-11"/>
                <w:sz w:val="24"/>
                <w:szCs w:val="24"/>
                <w:lang w:val="uk-UA"/>
              </w:rPr>
              <w:t xml:space="preserve"> </w:t>
            </w:r>
            <w:r w:rsidR="00D64D7E" w:rsidRPr="00042924">
              <w:rPr>
                <w:color w:val="231F20"/>
                <w:sz w:val="24"/>
                <w:szCs w:val="24"/>
                <w:lang w:val="uk-UA"/>
              </w:rPr>
              <w:t>активів</w:t>
            </w:r>
            <w:r w:rsidR="00D64D7E" w:rsidRPr="00042924">
              <w:rPr>
                <w:color w:val="231F20"/>
                <w:spacing w:val="-11"/>
                <w:sz w:val="24"/>
                <w:szCs w:val="24"/>
                <w:lang w:val="uk-UA"/>
              </w:rPr>
              <w:t xml:space="preserve"> </w:t>
            </w:r>
            <w:r w:rsidR="00D64D7E" w:rsidRPr="00042924">
              <w:rPr>
                <w:color w:val="231F20"/>
                <w:sz w:val="24"/>
                <w:szCs w:val="24"/>
                <w:lang w:val="uk-UA"/>
              </w:rPr>
              <w:t>у</w:t>
            </w:r>
            <w:r w:rsidR="00D64D7E" w:rsidRPr="00042924">
              <w:rPr>
                <w:color w:val="231F20"/>
                <w:spacing w:val="-12"/>
                <w:sz w:val="24"/>
                <w:szCs w:val="24"/>
                <w:lang w:val="uk-UA"/>
              </w:rPr>
              <w:t xml:space="preserve"> </w:t>
            </w:r>
            <w:r w:rsidR="00D64D7E" w:rsidRPr="00042924">
              <w:rPr>
                <w:color w:val="231F20"/>
                <w:sz w:val="24"/>
                <w:szCs w:val="24"/>
                <w:lang w:val="uk-UA"/>
              </w:rPr>
              <w:t>ліквідній</w:t>
            </w:r>
            <w:r w:rsidR="00D64D7E" w:rsidRPr="00042924">
              <w:rPr>
                <w:color w:val="231F20"/>
                <w:spacing w:val="-11"/>
                <w:sz w:val="24"/>
                <w:szCs w:val="24"/>
                <w:lang w:val="uk-UA"/>
              </w:rPr>
              <w:t xml:space="preserve"> </w:t>
            </w:r>
            <w:r w:rsidR="00D64D7E" w:rsidRPr="00042924">
              <w:rPr>
                <w:color w:val="231F20"/>
                <w:sz w:val="24"/>
                <w:szCs w:val="24"/>
                <w:lang w:val="uk-UA"/>
              </w:rPr>
              <w:t>формі</w:t>
            </w:r>
            <w:r w:rsidR="00D64D7E" w:rsidRPr="00042924">
              <w:rPr>
                <w:color w:val="231F20"/>
                <w:spacing w:val="-45"/>
                <w:sz w:val="24"/>
                <w:szCs w:val="24"/>
                <w:lang w:val="uk-UA"/>
              </w:rPr>
              <w:t xml:space="preserve"> </w:t>
            </w:r>
            <w:r w:rsidR="00D64D7E" w:rsidRPr="00042924">
              <w:rPr>
                <w:color w:val="231F20"/>
                <w:sz w:val="24"/>
                <w:szCs w:val="24"/>
                <w:lang w:val="uk-UA"/>
              </w:rPr>
              <w:t>неспроможність</w:t>
            </w:r>
            <w:r w:rsidR="00D64D7E" w:rsidRPr="00042924">
              <w:rPr>
                <w:color w:val="231F20"/>
                <w:spacing w:val="-12"/>
                <w:sz w:val="24"/>
                <w:szCs w:val="24"/>
                <w:lang w:val="uk-UA"/>
              </w:rPr>
              <w:t xml:space="preserve"> </w:t>
            </w:r>
            <w:r w:rsidR="00D64D7E" w:rsidRPr="00042924">
              <w:rPr>
                <w:color w:val="231F20"/>
                <w:sz w:val="24"/>
                <w:szCs w:val="24"/>
                <w:lang w:val="uk-UA"/>
              </w:rPr>
              <w:t>юридичної</w:t>
            </w:r>
            <w:r w:rsidR="00D64D7E" w:rsidRPr="00042924">
              <w:rPr>
                <w:color w:val="231F20"/>
                <w:spacing w:val="-11"/>
                <w:sz w:val="24"/>
                <w:szCs w:val="24"/>
                <w:lang w:val="uk-UA"/>
              </w:rPr>
              <w:t xml:space="preserve"> </w:t>
            </w:r>
            <w:r w:rsidR="00D64D7E" w:rsidRPr="00042924">
              <w:rPr>
                <w:color w:val="231F20"/>
                <w:sz w:val="24"/>
                <w:szCs w:val="24"/>
                <w:lang w:val="uk-UA"/>
              </w:rPr>
              <w:t>особи</w:t>
            </w:r>
            <w:r w:rsidR="00D64D7E" w:rsidRPr="00042924">
              <w:rPr>
                <w:color w:val="231F20"/>
                <w:spacing w:val="-12"/>
                <w:sz w:val="24"/>
                <w:szCs w:val="24"/>
                <w:lang w:val="uk-UA"/>
              </w:rPr>
              <w:t xml:space="preserve"> </w:t>
            </w:r>
            <w:r w:rsidR="00D64D7E" w:rsidRPr="00042924">
              <w:rPr>
                <w:color w:val="231F20"/>
                <w:sz w:val="24"/>
                <w:szCs w:val="24"/>
                <w:lang w:val="uk-UA"/>
              </w:rPr>
              <w:t>задовольнити</w:t>
            </w:r>
            <w:r w:rsidR="00D64D7E" w:rsidRPr="00042924">
              <w:rPr>
                <w:color w:val="231F20"/>
                <w:spacing w:val="-11"/>
                <w:sz w:val="24"/>
                <w:szCs w:val="24"/>
                <w:lang w:val="uk-UA"/>
              </w:rPr>
              <w:t xml:space="preserve"> </w:t>
            </w:r>
            <w:r w:rsidR="00D64D7E" w:rsidRPr="00042924">
              <w:rPr>
                <w:color w:val="231F20"/>
                <w:sz w:val="24"/>
                <w:szCs w:val="24"/>
                <w:lang w:val="uk-UA"/>
              </w:rPr>
              <w:t>в</w:t>
            </w:r>
            <w:r w:rsidR="00D64D7E" w:rsidRPr="00042924">
              <w:rPr>
                <w:color w:val="231F20"/>
                <w:spacing w:val="-12"/>
                <w:sz w:val="24"/>
                <w:szCs w:val="24"/>
                <w:lang w:val="uk-UA"/>
              </w:rPr>
              <w:t xml:space="preserve"> </w:t>
            </w:r>
            <w:r w:rsidR="00D64D7E" w:rsidRPr="00042924">
              <w:rPr>
                <w:color w:val="231F20"/>
                <w:sz w:val="24"/>
                <w:szCs w:val="24"/>
                <w:lang w:val="uk-UA"/>
              </w:rPr>
              <w:t>установлений</w:t>
            </w:r>
            <w:r w:rsidR="00D64D7E" w:rsidRPr="00042924">
              <w:rPr>
                <w:color w:val="231F20"/>
                <w:spacing w:val="-11"/>
                <w:sz w:val="24"/>
                <w:szCs w:val="24"/>
                <w:lang w:val="uk-UA"/>
              </w:rPr>
              <w:t xml:space="preserve"> </w:t>
            </w:r>
            <w:r w:rsidR="00D64D7E" w:rsidRPr="00042924">
              <w:rPr>
                <w:color w:val="231F20"/>
                <w:sz w:val="24"/>
                <w:szCs w:val="24"/>
                <w:lang w:val="uk-UA"/>
              </w:rPr>
              <w:t>для</w:t>
            </w:r>
            <w:r w:rsidR="00D64D7E" w:rsidRPr="00042924">
              <w:rPr>
                <w:color w:val="231F20"/>
                <w:spacing w:val="-46"/>
                <w:sz w:val="24"/>
                <w:szCs w:val="24"/>
                <w:lang w:val="uk-UA"/>
              </w:rPr>
              <w:t xml:space="preserve"> </w:t>
            </w:r>
            <w:r w:rsidR="00D64D7E" w:rsidRPr="00042924">
              <w:rPr>
                <w:color w:val="231F20"/>
                <w:spacing w:val="-1"/>
                <w:w w:val="105"/>
                <w:sz w:val="24"/>
                <w:szCs w:val="24"/>
                <w:lang w:val="uk-UA"/>
              </w:rPr>
              <w:t xml:space="preserve">цього строк заявлені до неї з боку кредиторів </w:t>
            </w:r>
            <w:r w:rsidR="00D64D7E" w:rsidRPr="00042924">
              <w:rPr>
                <w:color w:val="231F20"/>
                <w:w w:val="105"/>
                <w:sz w:val="24"/>
                <w:szCs w:val="24"/>
                <w:lang w:val="uk-UA"/>
              </w:rPr>
              <w:t>вимоги і виконати</w:t>
            </w:r>
            <w:r w:rsidR="00D64D7E" w:rsidRPr="00042924">
              <w:rPr>
                <w:color w:val="231F20"/>
                <w:spacing w:val="1"/>
                <w:w w:val="105"/>
                <w:sz w:val="24"/>
                <w:szCs w:val="24"/>
                <w:lang w:val="uk-UA"/>
              </w:rPr>
              <w:t xml:space="preserve"> </w:t>
            </w:r>
            <w:r w:rsidR="00D64D7E" w:rsidRPr="00042924">
              <w:rPr>
                <w:color w:val="231F20"/>
                <w:w w:val="105"/>
                <w:sz w:val="24"/>
                <w:szCs w:val="24"/>
                <w:lang w:val="uk-UA"/>
              </w:rPr>
              <w:t>зобов’язання</w:t>
            </w:r>
            <w:r w:rsidR="00D64D7E" w:rsidRPr="00042924">
              <w:rPr>
                <w:color w:val="231F20"/>
                <w:spacing w:val="-4"/>
                <w:w w:val="105"/>
                <w:sz w:val="24"/>
                <w:szCs w:val="24"/>
                <w:lang w:val="uk-UA"/>
              </w:rPr>
              <w:t xml:space="preserve"> </w:t>
            </w:r>
            <w:r w:rsidR="00D64D7E" w:rsidRPr="00042924">
              <w:rPr>
                <w:color w:val="231F20"/>
                <w:w w:val="105"/>
                <w:sz w:val="24"/>
                <w:szCs w:val="24"/>
                <w:lang w:val="uk-UA"/>
              </w:rPr>
              <w:t>перед</w:t>
            </w:r>
            <w:r w:rsidR="00D64D7E" w:rsidRPr="00042924">
              <w:rPr>
                <w:color w:val="231F20"/>
                <w:spacing w:val="-4"/>
                <w:w w:val="105"/>
                <w:sz w:val="24"/>
                <w:szCs w:val="24"/>
                <w:lang w:val="uk-UA"/>
              </w:rPr>
              <w:t xml:space="preserve"> </w:t>
            </w:r>
            <w:r w:rsidR="00D64D7E" w:rsidRPr="00042924">
              <w:rPr>
                <w:color w:val="231F20"/>
                <w:w w:val="105"/>
                <w:sz w:val="24"/>
                <w:szCs w:val="24"/>
                <w:lang w:val="uk-UA"/>
              </w:rPr>
              <w:t>бюджетом</w:t>
            </w:r>
            <w:r w:rsidRPr="00042924">
              <w:rPr>
                <w:color w:val="231F20"/>
                <w:w w:val="105"/>
                <w:sz w:val="24"/>
                <w:szCs w:val="24"/>
                <w:lang w:val="uk-UA"/>
              </w:rPr>
              <w:t>»</w:t>
            </w:r>
            <w:r w:rsidR="00D64D7E" w:rsidRPr="00042924">
              <w:rPr>
                <w:color w:val="231F20"/>
                <w:spacing w:val="-4"/>
                <w:w w:val="105"/>
                <w:sz w:val="24"/>
                <w:szCs w:val="24"/>
                <w:lang w:val="uk-UA"/>
              </w:rPr>
              <w:t xml:space="preserve"> </w:t>
            </w:r>
            <w:r w:rsidR="00D64D7E" w:rsidRPr="00042924">
              <w:rPr>
                <w:color w:val="231F20"/>
                <w:w w:val="105"/>
                <w:sz w:val="24"/>
                <w:szCs w:val="24"/>
                <w:lang w:val="uk-UA"/>
              </w:rPr>
              <w:t>[1].</w:t>
            </w:r>
          </w:p>
        </w:tc>
      </w:tr>
      <w:tr w:rsidR="00D64D7E" w:rsidRPr="00042924" w14:paraId="14E2DBB8" w14:textId="77777777" w:rsidTr="00FB2818">
        <w:trPr>
          <w:trHeight w:val="850"/>
        </w:trPr>
        <w:tc>
          <w:tcPr>
            <w:tcW w:w="2689" w:type="dxa"/>
          </w:tcPr>
          <w:p w14:paraId="15D5690A" w14:textId="77777777" w:rsidR="00D64D7E" w:rsidRPr="00042924" w:rsidRDefault="000F7F56" w:rsidP="00825B5D">
            <w:pPr>
              <w:pStyle w:val="a4"/>
              <w:tabs>
                <w:tab w:val="left" w:pos="9658"/>
              </w:tabs>
              <w:rPr>
                <w:sz w:val="24"/>
                <w:szCs w:val="24"/>
                <w:lang w:val="uk-UA"/>
              </w:rPr>
            </w:pPr>
            <w:r w:rsidRPr="00042924">
              <w:rPr>
                <w:color w:val="231F20"/>
                <w:sz w:val="24"/>
                <w:szCs w:val="24"/>
                <w:lang w:val="uk-UA"/>
              </w:rPr>
              <w:t xml:space="preserve">І.О. </w:t>
            </w:r>
            <w:r w:rsidR="00D64D7E" w:rsidRPr="00042924">
              <w:rPr>
                <w:color w:val="231F20"/>
                <w:sz w:val="24"/>
                <w:szCs w:val="24"/>
                <w:lang w:val="uk-UA"/>
              </w:rPr>
              <w:t>Бланк</w:t>
            </w:r>
          </w:p>
        </w:tc>
        <w:tc>
          <w:tcPr>
            <w:tcW w:w="7222" w:type="dxa"/>
            <w:vAlign w:val="center"/>
          </w:tcPr>
          <w:p w14:paraId="372B582F" w14:textId="77777777" w:rsidR="00D64D7E" w:rsidRPr="00042924" w:rsidRDefault="00E4506F" w:rsidP="00825B5D">
            <w:pPr>
              <w:pStyle w:val="a4"/>
              <w:tabs>
                <w:tab w:val="left" w:pos="9658"/>
              </w:tabs>
              <w:jc w:val="both"/>
              <w:rPr>
                <w:sz w:val="24"/>
                <w:szCs w:val="24"/>
                <w:lang w:val="uk-UA"/>
              </w:rPr>
            </w:pPr>
            <w:r w:rsidRPr="00042924">
              <w:rPr>
                <w:color w:val="231F20"/>
                <w:spacing w:val="-1"/>
                <w:sz w:val="24"/>
                <w:szCs w:val="24"/>
                <w:lang w:val="uk-UA"/>
              </w:rPr>
              <w:t>«</w:t>
            </w:r>
            <w:r w:rsidR="00D64D7E" w:rsidRPr="00042924">
              <w:rPr>
                <w:color w:val="231F20"/>
                <w:spacing w:val="-1"/>
                <w:sz w:val="24"/>
                <w:szCs w:val="24"/>
                <w:lang w:val="uk-UA"/>
              </w:rPr>
              <w:t>Банкрутством</w:t>
            </w:r>
            <w:r w:rsidR="00D64D7E" w:rsidRPr="00042924">
              <w:rPr>
                <w:color w:val="231F20"/>
                <w:spacing w:val="-10"/>
                <w:sz w:val="24"/>
                <w:szCs w:val="24"/>
                <w:lang w:val="uk-UA"/>
              </w:rPr>
              <w:t xml:space="preserve"> </w:t>
            </w:r>
            <w:r w:rsidR="00D64D7E" w:rsidRPr="00042924">
              <w:rPr>
                <w:color w:val="231F20"/>
                <w:spacing w:val="-1"/>
                <w:sz w:val="24"/>
                <w:szCs w:val="24"/>
                <w:lang w:val="uk-UA"/>
              </w:rPr>
              <w:t>є</w:t>
            </w:r>
            <w:r w:rsidR="00D64D7E" w:rsidRPr="00042924">
              <w:rPr>
                <w:color w:val="231F20"/>
                <w:spacing w:val="-10"/>
                <w:sz w:val="24"/>
                <w:szCs w:val="24"/>
                <w:lang w:val="uk-UA"/>
              </w:rPr>
              <w:t xml:space="preserve"> </w:t>
            </w:r>
            <w:r w:rsidR="00D64D7E" w:rsidRPr="00042924">
              <w:rPr>
                <w:color w:val="231F20"/>
                <w:spacing w:val="-1"/>
                <w:sz w:val="24"/>
                <w:szCs w:val="24"/>
                <w:lang w:val="uk-UA"/>
              </w:rPr>
              <w:t>встановлена</w:t>
            </w:r>
            <w:r w:rsidR="00D64D7E" w:rsidRPr="00042924">
              <w:rPr>
                <w:color w:val="231F20"/>
                <w:spacing w:val="-9"/>
                <w:sz w:val="24"/>
                <w:szCs w:val="24"/>
                <w:lang w:val="uk-UA"/>
              </w:rPr>
              <w:t xml:space="preserve"> </w:t>
            </w:r>
            <w:r w:rsidR="00D64D7E" w:rsidRPr="00042924">
              <w:rPr>
                <w:color w:val="231F20"/>
                <w:sz w:val="24"/>
                <w:szCs w:val="24"/>
                <w:lang w:val="uk-UA"/>
              </w:rPr>
              <w:t>в</w:t>
            </w:r>
            <w:r w:rsidR="00D64D7E" w:rsidRPr="00042924">
              <w:rPr>
                <w:color w:val="231F20"/>
                <w:spacing w:val="-10"/>
                <w:sz w:val="24"/>
                <w:szCs w:val="24"/>
                <w:lang w:val="uk-UA"/>
              </w:rPr>
              <w:t xml:space="preserve"> </w:t>
            </w:r>
            <w:r w:rsidR="00D64D7E" w:rsidRPr="00042924">
              <w:rPr>
                <w:color w:val="231F20"/>
                <w:sz w:val="24"/>
                <w:szCs w:val="24"/>
                <w:lang w:val="uk-UA"/>
              </w:rPr>
              <w:t>судовому</w:t>
            </w:r>
            <w:r w:rsidR="00D64D7E" w:rsidRPr="00042924">
              <w:rPr>
                <w:color w:val="231F20"/>
                <w:spacing w:val="-10"/>
                <w:sz w:val="24"/>
                <w:szCs w:val="24"/>
                <w:lang w:val="uk-UA"/>
              </w:rPr>
              <w:t xml:space="preserve"> </w:t>
            </w:r>
            <w:r w:rsidR="00D64D7E" w:rsidRPr="00042924">
              <w:rPr>
                <w:color w:val="231F20"/>
                <w:sz w:val="24"/>
                <w:szCs w:val="24"/>
                <w:lang w:val="uk-UA"/>
              </w:rPr>
              <w:t>порядку</w:t>
            </w:r>
            <w:r w:rsidR="00D64D7E" w:rsidRPr="00042924">
              <w:rPr>
                <w:color w:val="231F20"/>
                <w:spacing w:val="-10"/>
                <w:sz w:val="24"/>
                <w:szCs w:val="24"/>
                <w:lang w:val="uk-UA"/>
              </w:rPr>
              <w:t xml:space="preserve"> </w:t>
            </w:r>
            <w:r w:rsidR="00D64D7E" w:rsidRPr="00042924">
              <w:rPr>
                <w:color w:val="231F20"/>
                <w:sz w:val="24"/>
                <w:szCs w:val="24"/>
                <w:lang w:val="uk-UA"/>
              </w:rPr>
              <w:t>фінансова</w:t>
            </w:r>
            <w:r w:rsidR="00D64D7E" w:rsidRPr="00042924">
              <w:rPr>
                <w:color w:val="231F20"/>
                <w:spacing w:val="-9"/>
                <w:sz w:val="24"/>
                <w:szCs w:val="24"/>
                <w:lang w:val="uk-UA"/>
              </w:rPr>
              <w:t xml:space="preserve"> </w:t>
            </w:r>
            <w:r w:rsidR="00D64D7E" w:rsidRPr="00042924">
              <w:rPr>
                <w:color w:val="231F20"/>
                <w:sz w:val="24"/>
                <w:szCs w:val="24"/>
                <w:lang w:val="uk-UA"/>
              </w:rPr>
              <w:t>неспроможність підприємства, тобто нездатність підприємства задовольнити в установлені строки пред’явлені до нього з боку кредиторів</w:t>
            </w:r>
            <w:r w:rsidR="00D64D7E" w:rsidRPr="00042924">
              <w:rPr>
                <w:color w:val="231F20"/>
                <w:spacing w:val="1"/>
                <w:sz w:val="24"/>
                <w:szCs w:val="24"/>
                <w:lang w:val="uk-UA"/>
              </w:rPr>
              <w:t xml:space="preserve"> </w:t>
            </w:r>
            <w:r w:rsidR="00D64D7E" w:rsidRPr="00042924">
              <w:rPr>
                <w:color w:val="231F20"/>
                <w:sz w:val="24"/>
                <w:szCs w:val="24"/>
                <w:lang w:val="uk-UA"/>
              </w:rPr>
              <w:t>вимоги</w:t>
            </w:r>
            <w:r w:rsidR="00D64D7E" w:rsidRPr="00042924">
              <w:rPr>
                <w:color w:val="231F20"/>
                <w:spacing w:val="-2"/>
                <w:sz w:val="24"/>
                <w:szCs w:val="24"/>
                <w:lang w:val="uk-UA"/>
              </w:rPr>
              <w:t xml:space="preserve"> </w:t>
            </w:r>
            <w:r w:rsidR="00D64D7E" w:rsidRPr="00042924">
              <w:rPr>
                <w:color w:val="231F20"/>
                <w:sz w:val="24"/>
                <w:szCs w:val="24"/>
                <w:lang w:val="uk-UA"/>
              </w:rPr>
              <w:t>та</w:t>
            </w:r>
            <w:r w:rsidR="00D64D7E" w:rsidRPr="00042924">
              <w:rPr>
                <w:color w:val="231F20"/>
                <w:spacing w:val="-1"/>
                <w:sz w:val="24"/>
                <w:szCs w:val="24"/>
                <w:lang w:val="uk-UA"/>
              </w:rPr>
              <w:t xml:space="preserve"> </w:t>
            </w:r>
            <w:r w:rsidR="00D64D7E" w:rsidRPr="00042924">
              <w:rPr>
                <w:color w:val="231F20"/>
                <w:sz w:val="24"/>
                <w:szCs w:val="24"/>
                <w:lang w:val="uk-UA"/>
              </w:rPr>
              <w:t>виконати</w:t>
            </w:r>
            <w:r w:rsidR="00D64D7E" w:rsidRPr="00042924">
              <w:rPr>
                <w:color w:val="231F20"/>
                <w:spacing w:val="-1"/>
                <w:sz w:val="24"/>
                <w:szCs w:val="24"/>
                <w:lang w:val="uk-UA"/>
              </w:rPr>
              <w:t xml:space="preserve"> </w:t>
            </w:r>
            <w:r w:rsidR="00D64D7E" w:rsidRPr="00042924">
              <w:rPr>
                <w:color w:val="231F20"/>
                <w:sz w:val="24"/>
                <w:szCs w:val="24"/>
                <w:lang w:val="uk-UA"/>
              </w:rPr>
              <w:t>зобов’язання</w:t>
            </w:r>
            <w:r w:rsidR="00D64D7E" w:rsidRPr="00042924">
              <w:rPr>
                <w:color w:val="231F20"/>
                <w:spacing w:val="-1"/>
                <w:sz w:val="24"/>
                <w:szCs w:val="24"/>
                <w:lang w:val="uk-UA"/>
              </w:rPr>
              <w:t xml:space="preserve"> </w:t>
            </w:r>
            <w:r w:rsidR="00D64D7E" w:rsidRPr="00042924">
              <w:rPr>
                <w:color w:val="231F20"/>
                <w:sz w:val="24"/>
                <w:szCs w:val="24"/>
                <w:lang w:val="uk-UA"/>
              </w:rPr>
              <w:t>перед</w:t>
            </w:r>
            <w:r w:rsidR="00D64D7E" w:rsidRPr="00042924">
              <w:rPr>
                <w:color w:val="231F20"/>
                <w:spacing w:val="-2"/>
                <w:sz w:val="24"/>
                <w:szCs w:val="24"/>
                <w:lang w:val="uk-UA"/>
              </w:rPr>
              <w:t xml:space="preserve"> </w:t>
            </w:r>
            <w:r w:rsidR="00D64D7E" w:rsidRPr="00042924">
              <w:rPr>
                <w:color w:val="231F20"/>
                <w:sz w:val="24"/>
                <w:szCs w:val="24"/>
                <w:lang w:val="uk-UA"/>
              </w:rPr>
              <w:t>бюджетом</w:t>
            </w:r>
            <w:r w:rsidRPr="00042924">
              <w:rPr>
                <w:color w:val="231F20"/>
                <w:sz w:val="24"/>
                <w:szCs w:val="24"/>
                <w:lang w:val="uk-UA"/>
              </w:rPr>
              <w:t>»</w:t>
            </w:r>
            <w:r w:rsidR="00D64D7E" w:rsidRPr="00042924">
              <w:rPr>
                <w:color w:val="231F20"/>
                <w:spacing w:val="-1"/>
                <w:sz w:val="24"/>
                <w:szCs w:val="24"/>
                <w:lang w:val="uk-UA"/>
              </w:rPr>
              <w:t xml:space="preserve"> </w:t>
            </w:r>
            <w:r w:rsidR="00D64D7E" w:rsidRPr="00042924">
              <w:rPr>
                <w:color w:val="231F20"/>
                <w:sz w:val="24"/>
                <w:szCs w:val="24"/>
                <w:lang w:val="uk-UA"/>
              </w:rPr>
              <w:t>[</w:t>
            </w:r>
            <w:r w:rsidR="00A5484C" w:rsidRPr="00042924">
              <w:rPr>
                <w:color w:val="231F20"/>
                <w:sz w:val="24"/>
                <w:szCs w:val="24"/>
                <w:lang w:val="uk-UA"/>
              </w:rPr>
              <w:t>2</w:t>
            </w:r>
            <w:r w:rsidR="00D64D7E" w:rsidRPr="00042924">
              <w:rPr>
                <w:color w:val="231F20"/>
                <w:sz w:val="24"/>
                <w:szCs w:val="24"/>
                <w:lang w:val="uk-UA"/>
              </w:rPr>
              <w:t>].</w:t>
            </w:r>
          </w:p>
        </w:tc>
      </w:tr>
      <w:tr w:rsidR="00076A81" w:rsidRPr="00BE6C60" w14:paraId="534B58ED" w14:textId="77777777" w:rsidTr="00FB2818">
        <w:trPr>
          <w:trHeight w:val="850"/>
        </w:trPr>
        <w:tc>
          <w:tcPr>
            <w:tcW w:w="2689" w:type="dxa"/>
          </w:tcPr>
          <w:p w14:paraId="5E13D0BF" w14:textId="77777777" w:rsidR="00076A81" w:rsidRPr="00042924" w:rsidRDefault="00076A81" w:rsidP="00076A81">
            <w:pPr>
              <w:pStyle w:val="a4"/>
              <w:tabs>
                <w:tab w:val="left" w:pos="9658"/>
              </w:tabs>
              <w:rPr>
                <w:sz w:val="24"/>
                <w:szCs w:val="24"/>
                <w:lang w:val="uk-UA"/>
              </w:rPr>
            </w:pPr>
            <w:r w:rsidRPr="00042924">
              <w:rPr>
                <w:color w:val="231F20"/>
                <w:sz w:val="24"/>
                <w:szCs w:val="24"/>
                <w:lang w:val="uk-UA"/>
              </w:rPr>
              <w:t>А.С.</w:t>
            </w:r>
            <w:r w:rsidRPr="00042924">
              <w:rPr>
                <w:color w:val="231F20"/>
                <w:spacing w:val="-7"/>
                <w:sz w:val="24"/>
                <w:szCs w:val="24"/>
                <w:lang w:val="uk-UA"/>
              </w:rPr>
              <w:t xml:space="preserve"> </w:t>
            </w:r>
            <w:r w:rsidRPr="00042924">
              <w:rPr>
                <w:color w:val="231F20"/>
                <w:sz w:val="24"/>
                <w:szCs w:val="24"/>
                <w:lang w:val="uk-UA"/>
              </w:rPr>
              <w:t>Яблонська</w:t>
            </w:r>
          </w:p>
        </w:tc>
        <w:tc>
          <w:tcPr>
            <w:tcW w:w="7222" w:type="dxa"/>
            <w:vAlign w:val="center"/>
          </w:tcPr>
          <w:p w14:paraId="393C245A" w14:textId="77777777" w:rsidR="00076A81" w:rsidRPr="00042924" w:rsidRDefault="00E4506F" w:rsidP="00076A81">
            <w:pPr>
              <w:pStyle w:val="a4"/>
              <w:tabs>
                <w:tab w:val="left" w:pos="9658"/>
              </w:tabs>
              <w:jc w:val="both"/>
              <w:rPr>
                <w:sz w:val="24"/>
                <w:szCs w:val="24"/>
                <w:lang w:val="uk-UA"/>
              </w:rPr>
            </w:pPr>
            <w:r w:rsidRPr="00042924">
              <w:rPr>
                <w:color w:val="231F20"/>
                <w:sz w:val="24"/>
                <w:szCs w:val="24"/>
                <w:lang w:val="uk-UA"/>
              </w:rPr>
              <w:t>«</w:t>
            </w:r>
            <w:r w:rsidR="00076A81" w:rsidRPr="00042924">
              <w:rPr>
                <w:color w:val="231F20"/>
                <w:sz w:val="24"/>
                <w:szCs w:val="24"/>
                <w:lang w:val="uk-UA"/>
              </w:rPr>
              <w:t>Банкрутство – це з юридичних підстав ліквідація підприємства, яка</w:t>
            </w:r>
            <w:r w:rsidR="00076A81" w:rsidRPr="00042924">
              <w:rPr>
                <w:color w:val="231F20"/>
                <w:spacing w:val="1"/>
                <w:sz w:val="24"/>
                <w:szCs w:val="24"/>
                <w:lang w:val="uk-UA"/>
              </w:rPr>
              <w:t xml:space="preserve"> </w:t>
            </w:r>
            <w:r w:rsidR="00076A81" w:rsidRPr="00042924">
              <w:rPr>
                <w:color w:val="231F20"/>
                <w:sz w:val="24"/>
                <w:szCs w:val="24"/>
                <w:lang w:val="uk-UA"/>
              </w:rPr>
              <w:t>виявляється у неспроможності суб’єкта підприємницької діяльності</w:t>
            </w:r>
            <w:r w:rsidR="00076A81" w:rsidRPr="00042924">
              <w:rPr>
                <w:color w:val="231F20"/>
                <w:spacing w:val="-45"/>
                <w:sz w:val="24"/>
                <w:szCs w:val="24"/>
                <w:lang w:val="uk-UA"/>
              </w:rPr>
              <w:t xml:space="preserve"> </w:t>
            </w:r>
            <w:r w:rsidR="00076A81" w:rsidRPr="00042924">
              <w:rPr>
                <w:color w:val="231F20"/>
                <w:sz w:val="24"/>
                <w:szCs w:val="24"/>
                <w:lang w:val="uk-UA"/>
              </w:rPr>
              <w:t>задовольнити у встановлений для цього термін пред’явлені йому</w:t>
            </w:r>
            <w:r w:rsidR="00076A81" w:rsidRPr="00042924">
              <w:rPr>
                <w:color w:val="231F20"/>
                <w:spacing w:val="1"/>
                <w:sz w:val="24"/>
                <w:szCs w:val="24"/>
                <w:lang w:val="uk-UA"/>
              </w:rPr>
              <w:t xml:space="preserve"> </w:t>
            </w:r>
            <w:r w:rsidR="00076A81" w:rsidRPr="00042924">
              <w:rPr>
                <w:color w:val="231F20"/>
                <w:sz w:val="24"/>
                <w:szCs w:val="24"/>
                <w:lang w:val="uk-UA"/>
              </w:rPr>
              <w:t>кредиторами</w:t>
            </w:r>
            <w:r w:rsidR="00076A81" w:rsidRPr="00042924">
              <w:rPr>
                <w:color w:val="231F20"/>
                <w:spacing w:val="-12"/>
                <w:sz w:val="24"/>
                <w:szCs w:val="24"/>
                <w:lang w:val="uk-UA"/>
              </w:rPr>
              <w:t xml:space="preserve"> </w:t>
            </w:r>
            <w:r w:rsidR="00076A81" w:rsidRPr="00042924">
              <w:rPr>
                <w:color w:val="231F20"/>
                <w:sz w:val="24"/>
                <w:szCs w:val="24"/>
                <w:lang w:val="uk-UA"/>
              </w:rPr>
              <w:t>вимоги</w:t>
            </w:r>
            <w:r w:rsidR="00076A81" w:rsidRPr="00042924">
              <w:rPr>
                <w:color w:val="231F20"/>
                <w:spacing w:val="-11"/>
                <w:sz w:val="24"/>
                <w:szCs w:val="24"/>
                <w:lang w:val="uk-UA"/>
              </w:rPr>
              <w:t xml:space="preserve"> </w:t>
            </w:r>
            <w:r w:rsidR="00076A81" w:rsidRPr="00042924">
              <w:rPr>
                <w:color w:val="231F20"/>
                <w:sz w:val="24"/>
                <w:szCs w:val="24"/>
                <w:lang w:val="uk-UA"/>
              </w:rPr>
              <w:t>і</w:t>
            </w:r>
            <w:r w:rsidR="00076A81" w:rsidRPr="00042924">
              <w:rPr>
                <w:color w:val="231F20"/>
                <w:spacing w:val="-11"/>
                <w:sz w:val="24"/>
                <w:szCs w:val="24"/>
                <w:lang w:val="uk-UA"/>
              </w:rPr>
              <w:t xml:space="preserve"> </w:t>
            </w:r>
            <w:r w:rsidR="00076A81" w:rsidRPr="00042924">
              <w:rPr>
                <w:color w:val="231F20"/>
                <w:sz w:val="24"/>
                <w:szCs w:val="24"/>
                <w:lang w:val="uk-UA"/>
              </w:rPr>
              <w:t>виконати</w:t>
            </w:r>
            <w:r w:rsidR="00076A81" w:rsidRPr="00042924">
              <w:rPr>
                <w:color w:val="231F20"/>
                <w:spacing w:val="-11"/>
                <w:sz w:val="24"/>
                <w:szCs w:val="24"/>
                <w:lang w:val="uk-UA"/>
              </w:rPr>
              <w:t xml:space="preserve"> </w:t>
            </w:r>
            <w:r w:rsidR="00076A81" w:rsidRPr="00042924">
              <w:rPr>
                <w:color w:val="231F20"/>
                <w:sz w:val="24"/>
                <w:szCs w:val="24"/>
                <w:lang w:val="uk-UA"/>
              </w:rPr>
              <w:t>зобов’язання</w:t>
            </w:r>
            <w:r w:rsidR="00076A81" w:rsidRPr="00042924">
              <w:rPr>
                <w:color w:val="231F20"/>
                <w:spacing w:val="-12"/>
                <w:sz w:val="24"/>
                <w:szCs w:val="24"/>
                <w:lang w:val="uk-UA"/>
              </w:rPr>
              <w:t xml:space="preserve"> </w:t>
            </w:r>
            <w:r w:rsidR="00076A81" w:rsidRPr="00042924">
              <w:rPr>
                <w:color w:val="231F20"/>
                <w:sz w:val="24"/>
                <w:szCs w:val="24"/>
                <w:lang w:val="uk-UA"/>
              </w:rPr>
              <w:t>перед</w:t>
            </w:r>
            <w:r w:rsidR="00076A81" w:rsidRPr="00042924">
              <w:rPr>
                <w:color w:val="231F20"/>
                <w:spacing w:val="-11"/>
                <w:sz w:val="24"/>
                <w:szCs w:val="24"/>
                <w:lang w:val="uk-UA"/>
              </w:rPr>
              <w:t xml:space="preserve"> </w:t>
            </w:r>
            <w:r w:rsidR="00076A81" w:rsidRPr="00042924">
              <w:rPr>
                <w:color w:val="231F20"/>
                <w:sz w:val="24"/>
                <w:szCs w:val="24"/>
                <w:lang w:val="uk-UA"/>
              </w:rPr>
              <w:t>бюджетом</w:t>
            </w:r>
            <w:r w:rsidRPr="00042924">
              <w:rPr>
                <w:color w:val="231F20"/>
                <w:sz w:val="24"/>
                <w:szCs w:val="24"/>
                <w:lang w:val="uk-UA"/>
              </w:rPr>
              <w:t>»</w:t>
            </w:r>
            <w:r w:rsidR="00076A81" w:rsidRPr="00042924">
              <w:rPr>
                <w:color w:val="231F20"/>
                <w:spacing w:val="-11"/>
                <w:sz w:val="24"/>
                <w:szCs w:val="24"/>
                <w:lang w:val="uk-UA"/>
              </w:rPr>
              <w:t xml:space="preserve"> </w:t>
            </w:r>
            <w:r w:rsidR="00076A81" w:rsidRPr="00042924">
              <w:rPr>
                <w:color w:val="231F20"/>
                <w:sz w:val="24"/>
                <w:szCs w:val="24"/>
                <w:lang w:val="uk-UA"/>
              </w:rPr>
              <w:t>[</w:t>
            </w:r>
            <w:r w:rsidR="000125BA" w:rsidRPr="00042924">
              <w:rPr>
                <w:color w:val="231F20"/>
                <w:sz w:val="24"/>
                <w:szCs w:val="24"/>
                <w:lang w:val="uk-UA"/>
              </w:rPr>
              <w:t>3</w:t>
            </w:r>
            <w:r w:rsidR="00076A81" w:rsidRPr="00042924">
              <w:rPr>
                <w:color w:val="231F20"/>
                <w:sz w:val="24"/>
                <w:szCs w:val="24"/>
                <w:lang w:val="uk-UA"/>
              </w:rPr>
              <w:t>].</w:t>
            </w:r>
          </w:p>
        </w:tc>
      </w:tr>
      <w:tr w:rsidR="00076A81" w:rsidRPr="00042924" w14:paraId="58462322" w14:textId="77777777" w:rsidTr="00076A81">
        <w:trPr>
          <w:trHeight w:val="283"/>
        </w:trPr>
        <w:tc>
          <w:tcPr>
            <w:tcW w:w="9911" w:type="dxa"/>
            <w:gridSpan w:val="2"/>
          </w:tcPr>
          <w:p w14:paraId="0C9F59D6" w14:textId="77777777" w:rsidR="00076A81" w:rsidRPr="00042924" w:rsidRDefault="00F6676F" w:rsidP="00F6676F">
            <w:pPr>
              <w:pStyle w:val="a4"/>
              <w:tabs>
                <w:tab w:val="left" w:pos="9658"/>
              </w:tabs>
              <w:jc w:val="center"/>
              <w:rPr>
                <w:color w:val="231F20"/>
                <w:sz w:val="24"/>
                <w:szCs w:val="24"/>
                <w:lang w:val="uk-UA"/>
              </w:rPr>
            </w:pPr>
            <w:r w:rsidRPr="00042924">
              <w:rPr>
                <w:color w:val="231F20"/>
                <w:sz w:val="24"/>
                <w:szCs w:val="24"/>
                <w:lang w:val="uk-UA"/>
              </w:rPr>
              <w:t>Фінансовий п</w:t>
            </w:r>
            <w:r w:rsidR="00F04AD1" w:rsidRPr="00042924">
              <w:rPr>
                <w:color w:val="231F20"/>
                <w:sz w:val="24"/>
                <w:szCs w:val="24"/>
                <w:lang w:val="uk-UA"/>
              </w:rPr>
              <w:t>ідхід</w:t>
            </w:r>
          </w:p>
        </w:tc>
      </w:tr>
      <w:tr w:rsidR="00076A81" w:rsidRPr="00BE6C60" w14:paraId="18A8C6D3" w14:textId="77777777" w:rsidTr="00386853">
        <w:trPr>
          <w:trHeight w:val="850"/>
        </w:trPr>
        <w:tc>
          <w:tcPr>
            <w:tcW w:w="2689" w:type="dxa"/>
          </w:tcPr>
          <w:p w14:paraId="15BEB8A1" w14:textId="77777777" w:rsidR="00076A81" w:rsidRPr="00042924" w:rsidRDefault="00076A81" w:rsidP="00076A81">
            <w:pPr>
              <w:pStyle w:val="a4"/>
              <w:tabs>
                <w:tab w:val="left" w:pos="9658"/>
              </w:tabs>
              <w:rPr>
                <w:sz w:val="24"/>
                <w:szCs w:val="24"/>
                <w:lang w:val="uk-UA"/>
              </w:rPr>
            </w:pPr>
            <w:r w:rsidRPr="00042924">
              <w:rPr>
                <w:color w:val="231F20"/>
                <w:sz w:val="24"/>
                <w:szCs w:val="24"/>
                <w:lang w:val="uk-UA"/>
              </w:rPr>
              <w:t>О.Л.</w:t>
            </w:r>
            <w:r w:rsidRPr="00042924">
              <w:rPr>
                <w:color w:val="231F20"/>
                <w:spacing w:val="-1"/>
                <w:sz w:val="24"/>
                <w:szCs w:val="24"/>
                <w:lang w:val="uk-UA"/>
              </w:rPr>
              <w:t xml:space="preserve"> </w:t>
            </w:r>
            <w:r w:rsidRPr="00042924">
              <w:rPr>
                <w:color w:val="231F20"/>
                <w:sz w:val="24"/>
                <w:szCs w:val="24"/>
                <w:lang w:val="uk-UA"/>
              </w:rPr>
              <w:t>Пластун</w:t>
            </w:r>
          </w:p>
        </w:tc>
        <w:tc>
          <w:tcPr>
            <w:tcW w:w="7222" w:type="dxa"/>
            <w:vAlign w:val="center"/>
          </w:tcPr>
          <w:p w14:paraId="50BDB3D5" w14:textId="77777777" w:rsidR="00076A81" w:rsidRPr="00042924" w:rsidRDefault="00E4506F" w:rsidP="00076A81">
            <w:pPr>
              <w:pStyle w:val="TableParagraph"/>
              <w:spacing w:before="17" w:line="235" w:lineRule="auto"/>
              <w:jc w:val="both"/>
              <w:rPr>
                <w:sz w:val="24"/>
                <w:szCs w:val="24"/>
                <w:lang w:val="uk-UA"/>
              </w:rPr>
            </w:pPr>
            <w:r w:rsidRPr="00042924">
              <w:rPr>
                <w:color w:val="231F20"/>
                <w:sz w:val="24"/>
                <w:szCs w:val="24"/>
                <w:lang w:val="uk-UA"/>
              </w:rPr>
              <w:t>«</w:t>
            </w:r>
            <w:r w:rsidR="00076A81" w:rsidRPr="00042924">
              <w:rPr>
                <w:color w:val="231F20"/>
                <w:sz w:val="24"/>
                <w:szCs w:val="24"/>
                <w:lang w:val="uk-UA"/>
              </w:rPr>
              <w:t>Банкрутство –</w:t>
            </w:r>
            <w:r w:rsidR="00076A81" w:rsidRPr="00042924">
              <w:rPr>
                <w:color w:val="231F20"/>
                <w:spacing w:val="1"/>
                <w:sz w:val="24"/>
                <w:szCs w:val="24"/>
                <w:lang w:val="uk-UA"/>
              </w:rPr>
              <w:t xml:space="preserve"> </w:t>
            </w:r>
            <w:r w:rsidR="00076A81" w:rsidRPr="00042924">
              <w:rPr>
                <w:color w:val="231F20"/>
                <w:sz w:val="24"/>
                <w:szCs w:val="24"/>
                <w:lang w:val="uk-UA"/>
              </w:rPr>
              <w:t>це</w:t>
            </w:r>
            <w:r w:rsidR="00076A81" w:rsidRPr="00042924">
              <w:rPr>
                <w:color w:val="231F20"/>
                <w:spacing w:val="1"/>
                <w:sz w:val="24"/>
                <w:szCs w:val="24"/>
                <w:lang w:val="uk-UA"/>
              </w:rPr>
              <w:t xml:space="preserve"> </w:t>
            </w:r>
            <w:r w:rsidR="00076A81" w:rsidRPr="00042924">
              <w:rPr>
                <w:color w:val="231F20"/>
                <w:sz w:val="24"/>
                <w:szCs w:val="24"/>
                <w:lang w:val="uk-UA"/>
              </w:rPr>
              <w:t>підсумковий</w:t>
            </w:r>
            <w:r w:rsidR="00076A81" w:rsidRPr="00042924">
              <w:rPr>
                <w:color w:val="231F20"/>
                <w:spacing w:val="1"/>
                <w:sz w:val="24"/>
                <w:szCs w:val="24"/>
                <w:lang w:val="uk-UA"/>
              </w:rPr>
              <w:t xml:space="preserve"> </w:t>
            </w:r>
            <w:r w:rsidR="00076A81" w:rsidRPr="00042924">
              <w:rPr>
                <w:color w:val="231F20"/>
                <w:sz w:val="24"/>
                <w:szCs w:val="24"/>
                <w:lang w:val="uk-UA"/>
              </w:rPr>
              <w:t>результат</w:t>
            </w:r>
            <w:r w:rsidR="00076A81" w:rsidRPr="00042924">
              <w:rPr>
                <w:color w:val="231F20"/>
                <w:spacing w:val="1"/>
                <w:sz w:val="24"/>
                <w:szCs w:val="24"/>
                <w:lang w:val="uk-UA"/>
              </w:rPr>
              <w:t xml:space="preserve"> </w:t>
            </w:r>
            <w:r w:rsidR="00076A81" w:rsidRPr="00042924">
              <w:rPr>
                <w:color w:val="231F20"/>
                <w:sz w:val="24"/>
                <w:szCs w:val="24"/>
                <w:lang w:val="uk-UA"/>
              </w:rPr>
              <w:t>глибокої</w:t>
            </w:r>
            <w:r w:rsidR="00076A81" w:rsidRPr="00042924">
              <w:rPr>
                <w:color w:val="231F20"/>
                <w:spacing w:val="1"/>
                <w:sz w:val="24"/>
                <w:szCs w:val="24"/>
                <w:lang w:val="uk-UA"/>
              </w:rPr>
              <w:t xml:space="preserve"> </w:t>
            </w:r>
            <w:r w:rsidR="00076A81" w:rsidRPr="00042924">
              <w:rPr>
                <w:color w:val="231F20"/>
                <w:sz w:val="24"/>
                <w:szCs w:val="24"/>
                <w:lang w:val="uk-UA"/>
              </w:rPr>
              <w:t>фінансової</w:t>
            </w:r>
            <w:r w:rsidR="00076A81" w:rsidRPr="00042924">
              <w:rPr>
                <w:color w:val="231F20"/>
                <w:spacing w:val="1"/>
                <w:sz w:val="24"/>
                <w:szCs w:val="24"/>
                <w:lang w:val="uk-UA"/>
              </w:rPr>
              <w:t xml:space="preserve"> </w:t>
            </w:r>
            <w:r w:rsidR="00076A81" w:rsidRPr="00042924">
              <w:rPr>
                <w:color w:val="231F20"/>
                <w:sz w:val="24"/>
                <w:szCs w:val="24"/>
                <w:lang w:val="uk-UA"/>
              </w:rPr>
              <w:t>кризи,</w:t>
            </w:r>
            <w:r w:rsidR="00076A81" w:rsidRPr="00042924">
              <w:rPr>
                <w:color w:val="231F20"/>
                <w:spacing w:val="-45"/>
                <w:sz w:val="24"/>
                <w:szCs w:val="24"/>
                <w:lang w:val="uk-UA"/>
              </w:rPr>
              <w:t xml:space="preserve"> </w:t>
            </w:r>
            <w:r w:rsidR="00076A81" w:rsidRPr="00042924">
              <w:rPr>
                <w:color w:val="231F20"/>
                <w:w w:val="105"/>
                <w:sz w:val="24"/>
                <w:szCs w:val="24"/>
                <w:lang w:val="uk-UA"/>
              </w:rPr>
              <w:t>що</w:t>
            </w:r>
            <w:r w:rsidR="00076A81" w:rsidRPr="00042924">
              <w:rPr>
                <w:color w:val="231F20"/>
                <w:spacing w:val="-3"/>
                <w:w w:val="105"/>
                <w:sz w:val="24"/>
                <w:szCs w:val="24"/>
                <w:lang w:val="uk-UA"/>
              </w:rPr>
              <w:t xml:space="preserve"> </w:t>
            </w:r>
            <w:r w:rsidR="00076A81" w:rsidRPr="00042924">
              <w:rPr>
                <w:color w:val="231F20"/>
                <w:w w:val="105"/>
                <w:sz w:val="24"/>
                <w:szCs w:val="24"/>
                <w:lang w:val="uk-UA"/>
              </w:rPr>
              <w:t>унеможливлює</w:t>
            </w:r>
            <w:r w:rsidR="00076A81" w:rsidRPr="00042924">
              <w:rPr>
                <w:color w:val="231F20"/>
                <w:spacing w:val="-3"/>
                <w:w w:val="105"/>
                <w:sz w:val="24"/>
                <w:szCs w:val="24"/>
                <w:lang w:val="uk-UA"/>
              </w:rPr>
              <w:t xml:space="preserve"> </w:t>
            </w:r>
            <w:r w:rsidR="00076A81" w:rsidRPr="00042924">
              <w:rPr>
                <w:color w:val="231F20"/>
                <w:w w:val="105"/>
                <w:sz w:val="24"/>
                <w:szCs w:val="24"/>
                <w:lang w:val="uk-UA"/>
              </w:rPr>
              <w:t xml:space="preserve">нормальну </w:t>
            </w:r>
            <w:r w:rsidR="00076A81" w:rsidRPr="00042924">
              <w:rPr>
                <w:color w:val="231F20"/>
                <w:sz w:val="24"/>
                <w:szCs w:val="24"/>
                <w:lang w:val="uk-UA"/>
              </w:rPr>
              <w:t>діяльність</w:t>
            </w:r>
            <w:r w:rsidR="00076A81" w:rsidRPr="00042924">
              <w:rPr>
                <w:color w:val="231F20"/>
                <w:spacing w:val="-12"/>
                <w:sz w:val="24"/>
                <w:szCs w:val="24"/>
                <w:lang w:val="uk-UA"/>
              </w:rPr>
              <w:t xml:space="preserve"> </w:t>
            </w:r>
            <w:r w:rsidR="00076A81" w:rsidRPr="00042924">
              <w:rPr>
                <w:color w:val="231F20"/>
                <w:sz w:val="24"/>
                <w:szCs w:val="24"/>
                <w:lang w:val="uk-UA"/>
              </w:rPr>
              <w:t>підприємства</w:t>
            </w:r>
            <w:r w:rsidR="00076A81" w:rsidRPr="00042924">
              <w:rPr>
                <w:color w:val="231F20"/>
                <w:spacing w:val="-11"/>
                <w:sz w:val="24"/>
                <w:szCs w:val="24"/>
                <w:lang w:val="uk-UA"/>
              </w:rPr>
              <w:t xml:space="preserve"> </w:t>
            </w:r>
            <w:r w:rsidR="00076A81" w:rsidRPr="00042924">
              <w:rPr>
                <w:color w:val="231F20"/>
                <w:sz w:val="24"/>
                <w:szCs w:val="24"/>
                <w:lang w:val="uk-UA"/>
              </w:rPr>
              <w:t>та</w:t>
            </w:r>
            <w:r w:rsidR="00076A81" w:rsidRPr="00042924">
              <w:rPr>
                <w:color w:val="231F20"/>
                <w:spacing w:val="-12"/>
                <w:sz w:val="24"/>
                <w:szCs w:val="24"/>
                <w:lang w:val="uk-UA"/>
              </w:rPr>
              <w:t xml:space="preserve"> </w:t>
            </w:r>
            <w:r w:rsidR="00076A81" w:rsidRPr="00042924">
              <w:rPr>
                <w:color w:val="231F20"/>
                <w:sz w:val="24"/>
                <w:szCs w:val="24"/>
                <w:lang w:val="uk-UA"/>
              </w:rPr>
              <w:t>робить</w:t>
            </w:r>
            <w:r w:rsidR="00076A81" w:rsidRPr="00042924">
              <w:rPr>
                <w:color w:val="231F20"/>
                <w:spacing w:val="-11"/>
                <w:sz w:val="24"/>
                <w:szCs w:val="24"/>
                <w:lang w:val="uk-UA"/>
              </w:rPr>
              <w:t xml:space="preserve"> </w:t>
            </w:r>
            <w:r w:rsidR="00076A81" w:rsidRPr="00042924">
              <w:rPr>
                <w:color w:val="231F20"/>
                <w:sz w:val="24"/>
                <w:szCs w:val="24"/>
                <w:lang w:val="uk-UA"/>
              </w:rPr>
              <w:t>його</w:t>
            </w:r>
            <w:r w:rsidR="00076A81" w:rsidRPr="00042924">
              <w:rPr>
                <w:color w:val="231F20"/>
                <w:spacing w:val="-11"/>
                <w:sz w:val="24"/>
                <w:szCs w:val="24"/>
                <w:lang w:val="uk-UA"/>
              </w:rPr>
              <w:t xml:space="preserve"> </w:t>
            </w:r>
            <w:r w:rsidR="00076A81" w:rsidRPr="00042924">
              <w:rPr>
                <w:color w:val="231F20"/>
                <w:sz w:val="24"/>
                <w:szCs w:val="24"/>
                <w:lang w:val="uk-UA"/>
              </w:rPr>
              <w:t>неплатоспроможним</w:t>
            </w:r>
            <w:r w:rsidRPr="00042924">
              <w:rPr>
                <w:color w:val="231F20"/>
                <w:sz w:val="24"/>
                <w:szCs w:val="24"/>
                <w:lang w:val="uk-UA"/>
              </w:rPr>
              <w:t>»</w:t>
            </w:r>
            <w:r w:rsidR="00076A81" w:rsidRPr="00042924">
              <w:rPr>
                <w:color w:val="231F20"/>
                <w:spacing w:val="-12"/>
                <w:sz w:val="24"/>
                <w:szCs w:val="24"/>
                <w:lang w:val="uk-UA"/>
              </w:rPr>
              <w:t xml:space="preserve"> </w:t>
            </w:r>
            <w:r w:rsidR="00076A81" w:rsidRPr="00042924">
              <w:rPr>
                <w:color w:val="231F20"/>
                <w:sz w:val="24"/>
                <w:szCs w:val="24"/>
                <w:lang w:val="uk-UA"/>
              </w:rPr>
              <w:t>[</w:t>
            </w:r>
            <w:r w:rsidR="000125BA" w:rsidRPr="00042924">
              <w:rPr>
                <w:color w:val="231F20"/>
                <w:sz w:val="24"/>
                <w:szCs w:val="24"/>
                <w:lang w:val="uk-UA"/>
              </w:rPr>
              <w:t>4</w:t>
            </w:r>
            <w:r w:rsidR="00076A81" w:rsidRPr="00042924">
              <w:rPr>
                <w:color w:val="231F20"/>
                <w:sz w:val="24"/>
                <w:szCs w:val="24"/>
                <w:lang w:val="uk-UA"/>
              </w:rPr>
              <w:t>].</w:t>
            </w:r>
          </w:p>
        </w:tc>
      </w:tr>
      <w:tr w:rsidR="00076A81" w:rsidRPr="00042924" w14:paraId="35B66A18" w14:textId="77777777" w:rsidTr="00386853">
        <w:trPr>
          <w:trHeight w:val="850"/>
        </w:trPr>
        <w:tc>
          <w:tcPr>
            <w:tcW w:w="2689" w:type="dxa"/>
          </w:tcPr>
          <w:p w14:paraId="1DE05B54" w14:textId="77777777" w:rsidR="00076A81" w:rsidRPr="00042924" w:rsidRDefault="00076A81" w:rsidP="00076A81">
            <w:pPr>
              <w:pStyle w:val="a4"/>
              <w:tabs>
                <w:tab w:val="left" w:pos="9658"/>
              </w:tabs>
              <w:rPr>
                <w:sz w:val="24"/>
                <w:szCs w:val="24"/>
                <w:lang w:val="uk-UA"/>
              </w:rPr>
            </w:pPr>
            <w:r w:rsidRPr="00042924">
              <w:rPr>
                <w:color w:val="231F20"/>
                <w:sz w:val="24"/>
                <w:szCs w:val="24"/>
                <w:lang w:val="uk-UA"/>
              </w:rPr>
              <w:t>Н.А.</w:t>
            </w:r>
            <w:r w:rsidRPr="00042924">
              <w:rPr>
                <w:color w:val="231F20"/>
                <w:spacing w:val="-11"/>
                <w:sz w:val="24"/>
                <w:szCs w:val="24"/>
                <w:lang w:val="uk-UA"/>
              </w:rPr>
              <w:t xml:space="preserve"> </w:t>
            </w:r>
            <w:r w:rsidRPr="00042924">
              <w:rPr>
                <w:color w:val="231F20"/>
                <w:sz w:val="24"/>
                <w:szCs w:val="24"/>
                <w:lang w:val="uk-UA"/>
              </w:rPr>
              <w:t>Голощапов</w:t>
            </w:r>
          </w:p>
        </w:tc>
        <w:tc>
          <w:tcPr>
            <w:tcW w:w="7222" w:type="dxa"/>
            <w:vAlign w:val="center"/>
          </w:tcPr>
          <w:p w14:paraId="431C74B7" w14:textId="77777777" w:rsidR="00076A81" w:rsidRPr="00042924" w:rsidRDefault="00E4506F" w:rsidP="00076A81">
            <w:pPr>
              <w:pStyle w:val="a4"/>
              <w:tabs>
                <w:tab w:val="left" w:pos="9658"/>
              </w:tabs>
              <w:jc w:val="both"/>
              <w:rPr>
                <w:sz w:val="24"/>
                <w:szCs w:val="24"/>
                <w:lang w:val="uk-UA"/>
              </w:rPr>
            </w:pPr>
            <w:r w:rsidRPr="00042924">
              <w:rPr>
                <w:color w:val="231F20"/>
                <w:sz w:val="24"/>
                <w:szCs w:val="24"/>
                <w:lang w:val="uk-UA"/>
              </w:rPr>
              <w:t>«</w:t>
            </w:r>
            <w:r w:rsidR="00076A81" w:rsidRPr="00042924">
              <w:rPr>
                <w:color w:val="231F20"/>
                <w:sz w:val="24"/>
                <w:szCs w:val="24"/>
                <w:lang w:val="uk-UA"/>
              </w:rPr>
              <w:t>Банкрутство підприємства – неспроможність боржника платити за</w:t>
            </w:r>
            <w:r w:rsidR="00076A81" w:rsidRPr="00042924">
              <w:rPr>
                <w:color w:val="231F20"/>
                <w:spacing w:val="1"/>
                <w:sz w:val="24"/>
                <w:szCs w:val="24"/>
                <w:lang w:val="uk-UA"/>
              </w:rPr>
              <w:t xml:space="preserve"> </w:t>
            </w:r>
            <w:r w:rsidR="00076A81" w:rsidRPr="00042924">
              <w:rPr>
                <w:color w:val="231F20"/>
                <w:sz w:val="24"/>
                <w:szCs w:val="24"/>
                <w:lang w:val="uk-UA"/>
              </w:rPr>
              <w:t>своїми зобов’язаннями, повернути борги у зв’язку з відсутністю у</w:t>
            </w:r>
            <w:r w:rsidR="00076A81" w:rsidRPr="00042924">
              <w:rPr>
                <w:color w:val="231F20"/>
                <w:spacing w:val="1"/>
                <w:sz w:val="24"/>
                <w:szCs w:val="24"/>
                <w:lang w:val="uk-UA"/>
              </w:rPr>
              <w:t xml:space="preserve"> </w:t>
            </w:r>
            <w:r w:rsidR="00076A81" w:rsidRPr="00042924">
              <w:rPr>
                <w:color w:val="231F20"/>
                <w:w w:val="105"/>
                <w:sz w:val="24"/>
                <w:szCs w:val="24"/>
                <w:lang w:val="uk-UA"/>
              </w:rPr>
              <w:t>нього</w:t>
            </w:r>
            <w:r w:rsidR="00076A81" w:rsidRPr="00042924">
              <w:rPr>
                <w:color w:val="231F20"/>
                <w:spacing w:val="-4"/>
                <w:w w:val="105"/>
                <w:sz w:val="24"/>
                <w:szCs w:val="24"/>
                <w:lang w:val="uk-UA"/>
              </w:rPr>
              <w:t xml:space="preserve"> </w:t>
            </w:r>
            <w:r w:rsidR="00076A81" w:rsidRPr="00042924">
              <w:rPr>
                <w:color w:val="231F20"/>
                <w:w w:val="105"/>
                <w:sz w:val="24"/>
                <w:szCs w:val="24"/>
                <w:lang w:val="uk-UA"/>
              </w:rPr>
              <w:t>грошових</w:t>
            </w:r>
            <w:r w:rsidR="00076A81" w:rsidRPr="00042924">
              <w:rPr>
                <w:color w:val="231F20"/>
                <w:spacing w:val="-4"/>
                <w:w w:val="105"/>
                <w:sz w:val="24"/>
                <w:szCs w:val="24"/>
                <w:lang w:val="uk-UA"/>
              </w:rPr>
              <w:t xml:space="preserve"> </w:t>
            </w:r>
            <w:r w:rsidR="00076A81" w:rsidRPr="00042924">
              <w:rPr>
                <w:color w:val="231F20"/>
                <w:w w:val="105"/>
                <w:sz w:val="24"/>
                <w:szCs w:val="24"/>
                <w:lang w:val="uk-UA"/>
              </w:rPr>
              <w:t>коштів</w:t>
            </w:r>
            <w:r w:rsidR="00076A81" w:rsidRPr="00042924">
              <w:rPr>
                <w:color w:val="231F20"/>
                <w:spacing w:val="-3"/>
                <w:w w:val="105"/>
                <w:sz w:val="24"/>
                <w:szCs w:val="24"/>
                <w:lang w:val="uk-UA"/>
              </w:rPr>
              <w:t xml:space="preserve"> </w:t>
            </w:r>
            <w:r w:rsidR="00076A81" w:rsidRPr="00042924">
              <w:rPr>
                <w:color w:val="231F20"/>
                <w:w w:val="105"/>
                <w:sz w:val="24"/>
                <w:szCs w:val="24"/>
                <w:lang w:val="uk-UA"/>
              </w:rPr>
              <w:t>для</w:t>
            </w:r>
            <w:r w:rsidR="00076A81" w:rsidRPr="00042924">
              <w:rPr>
                <w:color w:val="231F20"/>
                <w:spacing w:val="-4"/>
                <w:w w:val="105"/>
                <w:sz w:val="24"/>
                <w:szCs w:val="24"/>
                <w:lang w:val="uk-UA"/>
              </w:rPr>
              <w:t xml:space="preserve"> </w:t>
            </w:r>
            <w:r w:rsidR="00076A81" w:rsidRPr="00042924">
              <w:rPr>
                <w:color w:val="231F20"/>
                <w:w w:val="105"/>
                <w:sz w:val="24"/>
                <w:szCs w:val="24"/>
                <w:lang w:val="uk-UA"/>
              </w:rPr>
              <w:t>сплати</w:t>
            </w:r>
            <w:r w:rsidRPr="00042924">
              <w:rPr>
                <w:color w:val="231F20"/>
                <w:w w:val="105"/>
                <w:sz w:val="24"/>
                <w:szCs w:val="24"/>
                <w:lang w:val="uk-UA"/>
              </w:rPr>
              <w:t>»</w:t>
            </w:r>
            <w:r w:rsidR="00076A81" w:rsidRPr="00042924">
              <w:rPr>
                <w:color w:val="231F20"/>
                <w:spacing w:val="-3"/>
                <w:w w:val="105"/>
                <w:sz w:val="24"/>
                <w:szCs w:val="24"/>
                <w:lang w:val="uk-UA"/>
              </w:rPr>
              <w:t xml:space="preserve"> </w:t>
            </w:r>
            <w:r w:rsidR="00076A81" w:rsidRPr="00042924">
              <w:rPr>
                <w:color w:val="231F20"/>
                <w:w w:val="105"/>
                <w:sz w:val="24"/>
                <w:szCs w:val="24"/>
                <w:lang w:val="uk-UA"/>
              </w:rPr>
              <w:t>[</w:t>
            </w:r>
            <w:r w:rsidR="000125BA" w:rsidRPr="00042924">
              <w:rPr>
                <w:color w:val="231F20"/>
                <w:w w:val="105"/>
                <w:sz w:val="24"/>
                <w:szCs w:val="24"/>
                <w:lang w:val="uk-UA"/>
              </w:rPr>
              <w:t>5</w:t>
            </w:r>
            <w:r w:rsidR="00076A81" w:rsidRPr="00042924">
              <w:rPr>
                <w:color w:val="231F20"/>
                <w:w w:val="105"/>
                <w:sz w:val="24"/>
                <w:szCs w:val="24"/>
                <w:lang w:val="uk-UA"/>
              </w:rPr>
              <w:t>].</w:t>
            </w:r>
          </w:p>
        </w:tc>
      </w:tr>
      <w:tr w:rsidR="00076A81" w:rsidRPr="00042924" w14:paraId="557E6E98" w14:textId="77777777" w:rsidTr="00386853">
        <w:trPr>
          <w:trHeight w:val="850"/>
        </w:trPr>
        <w:tc>
          <w:tcPr>
            <w:tcW w:w="2689" w:type="dxa"/>
          </w:tcPr>
          <w:p w14:paraId="3210FDDA" w14:textId="77777777" w:rsidR="00076A81" w:rsidRPr="00042924" w:rsidRDefault="00076A81" w:rsidP="00076A81">
            <w:pPr>
              <w:pStyle w:val="a4"/>
              <w:tabs>
                <w:tab w:val="left" w:pos="9658"/>
              </w:tabs>
              <w:rPr>
                <w:sz w:val="24"/>
                <w:szCs w:val="24"/>
                <w:lang w:val="uk-UA"/>
              </w:rPr>
            </w:pPr>
            <w:r w:rsidRPr="00042924">
              <w:rPr>
                <w:color w:val="231F20"/>
                <w:sz w:val="24"/>
                <w:szCs w:val="24"/>
                <w:lang w:val="uk-UA"/>
              </w:rPr>
              <w:t>О.Я.</w:t>
            </w:r>
            <w:r w:rsidRPr="00042924">
              <w:rPr>
                <w:color w:val="231F20"/>
                <w:spacing w:val="-10"/>
                <w:sz w:val="24"/>
                <w:szCs w:val="24"/>
                <w:lang w:val="uk-UA"/>
              </w:rPr>
              <w:t xml:space="preserve"> </w:t>
            </w:r>
            <w:r w:rsidRPr="00042924">
              <w:rPr>
                <w:color w:val="231F20"/>
                <w:sz w:val="24"/>
                <w:szCs w:val="24"/>
                <w:lang w:val="uk-UA"/>
              </w:rPr>
              <w:t>Базілінська</w:t>
            </w:r>
          </w:p>
        </w:tc>
        <w:tc>
          <w:tcPr>
            <w:tcW w:w="7222" w:type="dxa"/>
            <w:vAlign w:val="center"/>
          </w:tcPr>
          <w:p w14:paraId="50E75395" w14:textId="77777777" w:rsidR="00076A81" w:rsidRPr="00042924" w:rsidRDefault="00E4506F" w:rsidP="00076A81">
            <w:pPr>
              <w:pStyle w:val="a4"/>
              <w:tabs>
                <w:tab w:val="left" w:pos="9658"/>
              </w:tabs>
              <w:jc w:val="both"/>
              <w:rPr>
                <w:sz w:val="24"/>
                <w:szCs w:val="24"/>
                <w:lang w:val="uk-UA"/>
              </w:rPr>
            </w:pPr>
            <w:r w:rsidRPr="00042924">
              <w:rPr>
                <w:color w:val="231F20"/>
                <w:spacing w:val="-1"/>
                <w:w w:val="105"/>
                <w:sz w:val="24"/>
                <w:szCs w:val="24"/>
                <w:lang w:val="uk-UA"/>
              </w:rPr>
              <w:t>«</w:t>
            </w:r>
            <w:r w:rsidR="00076A81" w:rsidRPr="00042924">
              <w:rPr>
                <w:color w:val="231F20"/>
                <w:spacing w:val="-1"/>
                <w:w w:val="105"/>
                <w:sz w:val="24"/>
                <w:szCs w:val="24"/>
                <w:lang w:val="uk-UA"/>
              </w:rPr>
              <w:t xml:space="preserve">Банкрутство </w:t>
            </w:r>
            <w:r w:rsidR="00076A81" w:rsidRPr="00042924">
              <w:rPr>
                <w:color w:val="231F20"/>
                <w:spacing w:val="-1"/>
                <w:w w:val="160"/>
                <w:sz w:val="24"/>
                <w:szCs w:val="24"/>
                <w:lang w:val="uk-UA"/>
              </w:rPr>
              <w:t xml:space="preserve">– </w:t>
            </w:r>
            <w:r w:rsidR="00076A81" w:rsidRPr="00042924">
              <w:rPr>
                <w:color w:val="231F20"/>
                <w:spacing w:val="-1"/>
                <w:w w:val="105"/>
                <w:sz w:val="24"/>
                <w:szCs w:val="24"/>
                <w:lang w:val="uk-UA"/>
              </w:rPr>
              <w:t>це неспроможність підприємства платити за сво</w:t>
            </w:r>
            <w:r w:rsidR="00076A81" w:rsidRPr="00042924">
              <w:rPr>
                <w:color w:val="231F20"/>
                <w:sz w:val="24"/>
                <w:szCs w:val="24"/>
                <w:lang w:val="uk-UA"/>
              </w:rPr>
              <w:t>їми борговими зобов’язаннями та виконувати зобов’язання перед</w:t>
            </w:r>
            <w:r w:rsidR="00076A81" w:rsidRPr="00042924">
              <w:rPr>
                <w:color w:val="231F20"/>
                <w:spacing w:val="1"/>
                <w:sz w:val="24"/>
                <w:szCs w:val="24"/>
                <w:lang w:val="uk-UA"/>
              </w:rPr>
              <w:t xml:space="preserve"> </w:t>
            </w:r>
            <w:r w:rsidR="00076A81" w:rsidRPr="00042924">
              <w:rPr>
                <w:color w:val="231F20"/>
                <w:w w:val="105"/>
                <w:sz w:val="24"/>
                <w:szCs w:val="24"/>
                <w:lang w:val="uk-UA"/>
              </w:rPr>
              <w:t>бюджетом</w:t>
            </w:r>
            <w:r w:rsidRPr="00042924">
              <w:rPr>
                <w:color w:val="231F20"/>
                <w:w w:val="105"/>
                <w:sz w:val="24"/>
                <w:szCs w:val="24"/>
                <w:lang w:val="uk-UA"/>
              </w:rPr>
              <w:t>»</w:t>
            </w:r>
            <w:r w:rsidR="00076A81" w:rsidRPr="00042924">
              <w:rPr>
                <w:color w:val="231F20"/>
                <w:spacing w:val="-2"/>
                <w:w w:val="105"/>
                <w:sz w:val="24"/>
                <w:szCs w:val="24"/>
                <w:lang w:val="uk-UA"/>
              </w:rPr>
              <w:t xml:space="preserve"> </w:t>
            </w:r>
            <w:r w:rsidR="00076A81" w:rsidRPr="00042924">
              <w:rPr>
                <w:color w:val="231F20"/>
                <w:w w:val="105"/>
                <w:sz w:val="24"/>
                <w:szCs w:val="24"/>
                <w:lang w:val="uk-UA"/>
              </w:rPr>
              <w:t>[</w:t>
            </w:r>
            <w:r w:rsidR="000125BA" w:rsidRPr="00042924">
              <w:rPr>
                <w:color w:val="231F20"/>
                <w:w w:val="105"/>
                <w:sz w:val="24"/>
                <w:szCs w:val="24"/>
                <w:lang w:val="uk-UA"/>
              </w:rPr>
              <w:t>6</w:t>
            </w:r>
            <w:r w:rsidR="00076A81" w:rsidRPr="00042924">
              <w:rPr>
                <w:color w:val="231F20"/>
                <w:w w:val="105"/>
                <w:sz w:val="24"/>
                <w:szCs w:val="24"/>
                <w:lang w:val="uk-UA"/>
              </w:rPr>
              <w:t>].</w:t>
            </w:r>
          </w:p>
        </w:tc>
      </w:tr>
      <w:tr w:rsidR="00076A81" w:rsidRPr="00BE6C60" w14:paraId="4461C9DD" w14:textId="77777777" w:rsidTr="00386853">
        <w:trPr>
          <w:trHeight w:val="1134"/>
        </w:trPr>
        <w:tc>
          <w:tcPr>
            <w:tcW w:w="2689" w:type="dxa"/>
          </w:tcPr>
          <w:p w14:paraId="6E659389" w14:textId="77777777" w:rsidR="00076A81" w:rsidRPr="00042924" w:rsidRDefault="00076A81" w:rsidP="00076A81">
            <w:pPr>
              <w:pStyle w:val="a4"/>
              <w:tabs>
                <w:tab w:val="left" w:pos="9658"/>
              </w:tabs>
              <w:rPr>
                <w:sz w:val="24"/>
                <w:szCs w:val="24"/>
                <w:lang w:val="uk-UA"/>
              </w:rPr>
            </w:pPr>
            <w:r w:rsidRPr="00042924">
              <w:rPr>
                <w:color w:val="231F20"/>
                <w:sz w:val="24"/>
                <w:szCs w:val="24"/>
                <w:lang w:val="uk-UA"/>
              </w:rPr>
              <w:t>Є.М.</w:t>
            </w:r>
            <w:r w:rsidRPr="00042924">
              <w:rPr>
                <w:color w:val="231F20"/>
                <w:spacing w:val="-5"/>
                <w:sz w:val="24"/>
                <w:szCs w:val="24"/>
                <w:lang w:val="uk-UA"/>
              </w:rPr>
              <w:t xml:space="preserve"> </w:t>
            </w:r>
            <w:r w:rsidRPr="00042924">
              <w:rPr>
                <w:color w:val="231F20"/>
                <w:sz w:val="24"/>
                <w:szCs w:val="24"/>
                <w:lang w:val="uk-UA"/>
              </w:rPr>
              <w:t>Адрущак</w:t>
            </w:r>
          </w:p>
        </w:tc>
        <w:tc>
          <w:tcPr>
            <w:tcW w:w="7222" w:type="dxa"/>
            <w:vAlign w:val="center"/>
          </w:tcPr>
          <w:p w14:paraId="49D9D233" w14:textId="77777777" w:rsidR="00076A81" w:rsidRPr="00042924" w:rsidRDefault="00E4506F" w:rsidP="00076A81">
            <w:pPr>
              <w:pStyle w:val="a4"/>
              <w:tabs>
                <w:tab w:val="left" w:pos="9658"/>
              </w:tabs>
              <w:jc w:val="both"/>
              <w:rPr>
                <w:sz w:val="24"/>
                <w:szCs w:val="24"/>
                <w:lang w:val="uk-UA"/>
              </w:rPr>
            </w:pPr>
            <w:r w:rsidRPr="00042924">
              <w:rPr>
                <w:color w:val="231F20"/>
                <w:sz w:val="24"/>
                <w:szCs w:val="24"/>
                <w:lang w:val="uk-UA"/>
              </w:rPr>
              <w:t>«</w:t>
            </w:r>
            <w:r w:rsidR="00076A81" w:rsidRPr="00042924">
              <w:rPr>
                <w:color w:val="231F20"/>
                <w:sz w:val="24"/>
                <w:szCs w:val="24"/>
                <w:lang w:val="uk-UA"/>
              </w:rPr>
              <w:t>Банкрутство – це визнане судовими органами незадовільне господарське становище фізичної чи юридичної особи, ознакою якого є</w:t>
            </w:r>
            <w:r w:rsidR="00076A81" w:rsidRPr="00042924">
              <w:rPr>
                <w:color w:val="231F20"/>
                <w:spacing w:val="1"/>
                <w:sz w:val="24"/>
                <w:szCs w:val="24"/>
                <w:lang w:val="uk-UA"/>
              </w:rPr>
              <w:t xml:space="preserve"> </w:t>
            </w:r>
            <w:r w:rsidR="00076A81" w:rsidRPr="00042924">
              <w:rPr>
                <w:color w:val="231F20"/>
                <w:sz w:val="24"/>
                <w:szCs w:val="24"/>
                <w:lang w:val="uk-UA"/>
              </w:rPr>
              <w:t>припинення розрахунків за зобов’язаннями через нестачу активів у</w:t>
            </w:r>
            <w:r w:rsidR="00076A81" w:rsidRPr="00042924">
              <w:rPr>
                <w:color w:val="231F20"/>
                <w:spacing w:val="-45"/>
                <w:sz w:val="24"/>
                <w:szCs w:val="24"/>
                <w:lang w:val="uk-UA"/>
              </w:rPr>
              <w:t xml:space="preserve"> </w:t>
            </w:r>
            <w:r w:rsidR="00076A81" w:rsidRPr="00042924">
              <w:rPr>
                <w:color w:val="231F20"/>
                <w:w w:val="105"/>
                <w:sz w:val="24"/>
                <w:szCs w:val="24"/>
                <w:lang w:val="uk-UA"/>
              </w:rPr>
              <w:t>ліквідній</w:t>
            </w:r>
            <w:r w:rsidR="00076A81" w:rsidRPr="00042924">
              <w:rPr>
                <w:color w:val="231F20"/>
                <w:spacing w:val="-2"/>
                <w:w w:val="105"/>
                <w:sz w:val="24"/>
                <w:szCs w:val="24"/>
                <w:lang w:val="uk-UA"/>
              </w:rPr>
              <w:t xml:space="preserve"> </w:t>
            </w:r>
            <w:r w:rsidR="00076A81" w:rsidRPr="00042924">
              <w:rPr>
                <w:color w:val="231F20"/>
                <w:w w:val="105"/>
                <w:sz w:val="24"/>
                <w:szCs w:val="24"/>
                <w:lang w:val="uk-UA"/>
              </w:rPr>
              <w:t>формі</w:t>
            </w:r>
            <w:r w:rsidRPr="00042924">
              <w:rPr>
                <w:color w:val="231F20"/>
                <w:w w:val="105"/>
                <w:sz w:val="24"/>
                <w:szCs w:val="24"/>
                <w:lang w:val="uk-UA"/>
              </w:rPr>
              <w:t>»</w:t>
            </w:r>
            <w:r w:rsidR="00076A81" w:rsidRPr="00042924">
              <w:rPr>
                <w:color w:val="231F20"/>
                <w:spacing w:val="-2"/>
                <w:w w:val="105"/>
                <w:sz w:val="24"/>
                <w:szCs w:val="24"/>
                <w:lang w:val="uk-UA"/>
              </w:rPr>
              <w:t xml:space="preserve"> </w:t>
            </w:r>
            <w:r w:rsidR="00076A81" w:rsidRPr="00042924">
              <w:rPr>
                <w:color w:val="231F20"/>
                <w:w w:val="105"/>
                <w:sz w:val="24"/>
                <w:szCs w:val="24"/>
                <w:lang w:val="uk-UA"/>
              </w:rPr>
              <w:t>[</w:t>
            </w:r>
            <w:r w:rsidR="000125BA" w:rsidRPr="00042924">
              <w:rPr>
                <w:color w:val="231F20"/>
                <w:w w:val="105"/>
                <w:sz w:val="24"/>
                <w:szCs w:val="24"/>
                <w:lang w:val="uk-UA"/>
              </w:rPr>
              <w:t>7</w:t>
            </w:r>
            <w:r w:rsidR="00076A81" w:rsidRPr="00042924">
              <w:rPr>
                <w:color w:val="231F20"/>
                <w:w w:val="105"/>
                <w:sz w:val="24"/>
                <w:szCs w:val="24"/>
                <w:lang w:val="uk-UA"/>
              </w:rPr>
              <w:t>].</w:t>
            </w:r>
          </w:p>
        </w:tc>
      </w:tr>
      <w:tr w:rsidR="00FB2818" w:rsidRPr="00042924" w14:paraId="292A8A7E" w14:textId="77777777" w:rsidTr="00FB2818">
        <w:tc>
          <w:tcPr>
            <w:tcW w:w="9911" w:type="dxa"/>
            <w:gridSpan w:val="2"/>
            <w:tcBorders>
              <w:top w:val="nil"/>
              <w:left w:val="nil"/>
              <w:right w:val="nil"/>
            </w:tcBorders>
          </w:tcPr>
          <w:p w14:paraId="768A0D3B" w14:textId="77777777" w:rsidR="00FB2818" w:rsidRPr="00D00274" w:rsidRDefault="00FB2818" w:rsidP="00016ACF">
            <w:pPr>
              <w:pStyle w:val="a4"/>
              <w:tabs>
                <w:tab w:val="left" w:pos="9658"/>
              </w:tabs>
              <w:ind w:firstLine="284"/>
              <w:jc w:val="right"/>
              <w:rPr>
                <w:color w:val="231F20"/>
                <w:lang w:val="uk-UA"/>
              </w:rPr>
            </w:pPr>
            <w:r w:rsidRPr="00D00274">
              <w:rPr>
                <w:color w:val="231F20"/>
                <w:lang w:val="uk-UA"/>
              </w:rPr>
              <w:lastRenderedPageBreak/>
              <w:t>Продовження таблиці 1.1</w:t>
            </w:r>
          </w:p>
        </w:tc>
      </w:tr>
      <w:tr w:rsidR="00FB2818" w:rsidRPr="00042924" w14:paraId="1F2F200D" w14:textId="77777777" w:rsidTr="00FB2818">
        <w:tc>
          <w:tcPr>
            <w:tcW w:w="2689" w:type="dxa"/>
          </w:tcPr>
          <w:p w14:paraId="600FD991" w14:textId="77777777" w:rsidR="00FB2818" w:rsidRPr="00042924" w:rsidRDefault="00FB2818" w:rsidP="00D50B64">
            <w:pPr>
              <w:pStyle w:val="a4"/>
              <w:tabs>
                <w:tab w:val="left" w:pos="9658"/>
              </w:tabs>
              <w:jc w:val="center"/>
              <w:rPr>
                <w:color w:val="231F20"/>
                <w:sz w:val="24"/>
                <w:szCs w:val="24"/>
                <w:lang w:val="uk-UA"/>
              </w:rPr>
            </w:pPr>
            <w:r w:rsidRPr="00042924">
              <w:rPr>
                <w:color w:val="231F20"/>
                <w:sz w:val="24"/>
                <w:szCs w:val="24"/>
                <w:lang w:val="uk-UA"/>
              </w:rPr>
              <w:t>1</w:t>
            </w:r>
          </w:p>
        </w:tc>
        <w:tc>
          <w:tcPr>
            <w:tcW w:w="7222" w:type="dxa"/>
          </w:tcPr>
          <w:p w14:paraId="5B1A68B0" w14:textId="77777777" w:rsidR="00FB2818" w:rsidRPr="00042924" w:rsidRDefault="00FB2818" w:rsidP="00D50B64">
            <w:pPr>
              <w:pStyle w:val="a4"/>
              <w:tabs>
                <w:tab w:val="left" w:pos="9658"/>
              </w:tabs>
              <w:jc w:val="center"/>
              <w:rPr>
                <w:color w:val="231F20"/>
                <w:sz w:val="24"/>
                <w:szCs w:val="24"/>
                <w:lang w:val="uk-UA"/>
              </w:rPr>
            </w:pPr>
            <w:r w:rsidRPr="00042924">
              <w:rPr>
                <w:color w:val="231F20"/>
                <w:sz w:val="24"/>
                <w:szCs w:val="24"/>
                <w:lang w:val="uk-UA"/>
              </w:rPr>
              <w:t>2</w:t>
            </w:r>
          </w:p>
        </w:tc>
      </w:tr>
      <w:tr w:rsidR="00FB2818" w:rsidRPr="00042924" w14:paraId="43A4F8F3" w14:textId="77777777" w:rsidTr="0029174C">
        <w:tc>
          <w:tcPr>
            <w:tcW w:w="9911" w:type="dxa"/>
            <w:gridSpan w:val="2"/>
          </w:tcPr>
          <w:p w14:paraId="6DED4CB7" w14:textId="77777777" w:rsidR="00FB2818" w:rsidRPr="00042924" w:rsidRDefault="00FB2818" w:rsidP="00D50B64">
            <w:pPr>
              <w:pStyle w:val="a4"/>
              <w:tabs>
                <w:tab w:val="left" w:pos="9658"/>
              </w:tabs>
              <w:jc w:val="center"/>
              <w:rPr>
                <w:color w:val="231F20"/>
                <w:sz w:val="24"/>
                <w:szCs w:val="24"/>
                <w:lang w:val="uk-UA"/>
              </w:rPr>
            </w:pPr>
            <w:r w:rsidRPr="00042924">
              <w:rPr>
                <w:color w:val="231F20"/>
                <w:sz w:val="24"/>
                <w:szCs w:val="24"/>
                <w:lang w:val="uk-UA"/>
              </w:rPr>
              <w:t>Підхід ринкової економіки</w:t>
            </w:r>
          </w:p>
        </w:tc>
      </w:tr>
      <w:tr w:rsidR="00076A81" w:rsidRPr="00042924" w14:paraId="2D18BE54" w14:textId="77777777" w:rsidTr="00FB2818">
        <w:tc>
          <w:tcPr>
            <w:tcW w:w="2689" w:type="dxa"/>
          </w:tcPr>
          <w:p w14:paraId="2AEF4E7B" w14:textId="77777777" w:rsidR="00076A81" w:rsidRPr="00042924" w:rsidRDefault="00076A81" w:rsidP="00076A81">
            <w:pPr>
              <w:pStyle w:val="a4"/>
              <w:tabs>
                <w:tab w:val="left" w:pos="9658"/>
              </w:tabs>
              <w:rPr>
                <w:sz w:val="24"/>
                <w:szCs w:val="24"/>
                <w:lang w:val="uk-UA"/>
              </w:rPr>
            </w:pPr>
            <w:r w:rsidRPr="00042924">
              <w:rPr>
                <w:color w:val="231F20"/>
                <w:spacing w:val="-4"/>
                <w:sz w:val="24"/>
                <w:szCs w:val="24"/>
                <w:lang w:val="uk-UA"/>
              </w:rPr>
              <w:t xml:space="preserve">Р. Брелі </w:t>
            </w:r>
            <w:r w:rsidRPr="00042924">
              <w:rPr>
                <w:color w:val="231F20"/>
                <w:spacing w:val="-3"/>
                <w:sz w:val="24"/>
                <w:szCs w:val="24"/>
                <w:lang w:val="uk-UA"/>
              </w:rPr>
              <w:t xml:space="preserve">та </w:t>
            </w:r>
            <w:r w:rsidRPr="00042924">
              <w:rPr>
                <w:color w:val="231F20"/>
                <w:sz w:val="24"/>
                <w:szCs w:val="24"/>
                <w:lang w:val="uk-UA"/>
              </w:rPr>
              <w:t>С.</w:t>
            </w:r>
            <w:r w:rsidRPr="00042924">
              <w:rPr>
                <w:color w:val="231F20"/>
                <w:spacing w:val="-2"/>
                <w:sz w:val="24"/>
                <w:szCs w:val="24"/>
                <w:lang w:val="uk-UA"/>
              </w:rPr>
              <w:t xml:space="preserve"> </w:t>
            </w:r>
            <w:r w:rsidRPr="00042924">
              <w:rPr>
                <w:color w:val="231F20"/>
                <w:sz w:val="24"/>
                <w:szCs w:val="24"/>
                <w:lang w:val="uk-UA"/>
              </w:rPr>
              <w:t>Майерс</w:t>
            </w:r>
          </w:p>
        </w:tc>
        <w:tc>
          <w:tcPr>
            <w:tcW w:w="7222" w:type="dxa"/>
            <w:vAlign w:val="center"/>
          </w:tcPr>
          <w:p w14:paraId="39A2941C" w14:textId="77777777" w:rsidR="00076A81" w:rsidRPr="00042924" w:rsidRDefault="00E4506F" w:rsidP="00076A81">
            <w:pPr>
              <w:pStyle w:val="TableParagraph"/>
              <w:spacing w:before="16" w:line="235" w:lineRule="auto"/>
              <w:jc w:val="both"/>
              <w:rPr>
                <w:sz w:val="24"/>
                <w:szCs w:val="24"/>
                <w:lang w:val="uk-UA"/>
              </w:rPr>
            </w:pPr>
            <w:r w:rsidRPr="00042924">
              <w:rPr>
                <w:color w:val="231F20"/>
                <w:sz w:val="24"/>
                <w:szCs w:val="24"/>
                <w:lang w:val="uk-UA"/>
              </w:rPr>
              <w:t>«</w:t>
            </w:r>
            <w:r w:rsidR="00076A81" w:rsidRPr="00042924">
              <w:rPr>
                <w:color w:val="231F20"/>
                <w:sz w:val="24"/>
                <w:szCs w:val="24"/>
                <w:lang w:val="uk-UA"/>
              </w:rPr>
              <w:t>Банкрутство –</w:t>
            </w:r>
            <w:r w:rsidR="00076A81" w:rsidRPr="00042924">
              <w:rPr>
                <w:color w:val="231F20"/>
                <w:spacing w:val="1"/>
                <w:sz w:val="24"/>
                <w:szCs w:val="24"/>
                <w:lang w:val="uk-UA"/>
              </w:rPr>
              <w:t xml:space="preserve"> </w:t>
            </w:r>
            <w:r w:rsidR="00076A81" w:rsidRPr="00042924">
              <w:rPr>
                <w:color w:val="231F20"/>
                <w:sz w:val="24"/>
                <w:szCs w:val="24"/>
                <w:lang w:val="uk-UA"/>
              </w:rPr>
              <w:t>це</w:t>
            </w:r>
            <w:r w:rsidR="00076A81" w:rsidRPr="00042924">
              <w:rPr>
                <w:color w:val="231F20"/>
                <w:spacing w:val="1"/>
                <w:sz w:val="24"/>
                <w:szCs w:val="24"/>
                <w:lang w:val="uk-UA"/>
              </w:rPr>
              <w:t xml:space="preserve"> </w:t>
            </w:r>
            <w:r w:rsidR="00076A81" w:rsidRPr="00042924">
              <w:rPr>
                <w:color w:val="231F20"/>
                <w:sz w:val="24"/>
                <w:szCs w:val="24"/>
                <w:lang w:val="uk-UA"/>
              </w:rPr>
              <w:t>ринковий</w:t>
            </w:r>
            <w:r w:rsidR="00076A81" w:rsidRPr="00042924">
              <w:rPr>
                <w:color w:val="231F20"/>
                <w:spacing w:val="1"/>
                <w:sz w:val="24"/>
                <w:szCs w:val="24"/>
                <w:lang w:val="uk-UA"/>
              </w:rPr>
              <w:t xml:space="preserve"> </w:t>
            </w:r>
            <w:r w:rsidR="00076A81" w:rsidRPr="00042924">
              <w:rPr>
                <w:color w:val="231F20"/>
                <w:sz w:val="24"/>
                <w:szCs w:val="24"/>
                <w:lang w:val="uk-UA"/>
              </w:rPr>
              <w:t>спосіб</w:t>
            </w:r>
            <w:r w:rsidR="00076A81" w:rsidRPr="00042924">
              <w:rPr>
                <w:color w:val="231F20"/>
                <w:spacing w:val="1"/>
                <w:sz w:val="24"/>
                <w:szCs w:val="24"/>
                <w:lang w:val="uk-UA"/>
              </w:rPr>
              <w:t xml:space="preserve"> </w:t>
            </w:r>
            <w:r w:rsidR="00076A81" w:rsidRPr="00042924">
              <w:rPr>
                <w:color w:val="231F20"/>
                <w:sz w:val="24"/>
                <w:szCs w:val="24"/>
                <w:lang w:val="uk-UA"/>
              </w:rPr>
              <w:t>покарання</w:t>
            </w:r>
            <w:r w:rsidR="00076A81" w:rsidRPr="00042924">
              <w:rPr>
                <w:color w:val="231F20"/>
                <w:spacing w:val="1"/>
                <w:sz w:val="24"/>
                <w:szCs w:val="24"/>
                <w:lang w:val="uk-UA"/>
              </w:rPr>
              <w:t xml:space="preserve"> </w:t>
            </w:r>
            <w:r w:rsidR="00076A81" w:rsidRPr="00042924">
              <w:rPr>
                <w:color w:val="231F20"/>
                <w:sz w:val="24"/>
                <w:szCs w:val="24"/>
                <w:lang w:val="uk-UA"/>
              </w:rPr>
              <w:t>компанії</w:t>
            </w:r>
            <w:r w:rsidR="00076A81" w:rsidRPr="00042924">
              <w:rPr>
                <w:color w:val="231F20"/>
                <w:spacing w:val="1"/>
                <w:sz w:val="24"/>
                <w:szCs w:val="24"/>
                <w:lang w:val="uk-UA"/>
              </w:rPr>
              <w:t xml:space="preserve"> </w:t>
            </w:r>
            <w:r w:rsidR="00076A81" w:rsidRPr="00042924">
              <w:rPr>
                <w:color w:val="231F20"/>
                <w:sz w:val="24"/>
                <w:szCs w:val="24"/>
                <w:lang w:val="uk-UA"/>
              </w:rPr>
              <w:t>за масштабні</w:t>
            </w:r>
            <w:r w:rsidR="00076A81" w:rsidRPr="00042924">
              <w:rPr>
                <w:color w:val="231F20"/>
                <w:spacing w:val="-44"/>
                <w:sz w:val="24"/>
                <w:szCs w:val="24"/>
                <w:lang w:val="uk-UA"/>
              </w:rPr>
              <w:t xml:space="preserve"> </w:t>
            </w:r>
            <w:r w:rsidR="00076A81" w:rsidRPr="00042924">
              <w:rPr>
                <w:color w:val="231F20"/>
                <w:w w:val="105"/>
                <w:sz w:val="24"/>
                <w:szCs w:val="24"/>
                <w:lang w:val="uk-UA"/>
              </w:rPr>
              <w:t>помилки</w:t>
            </w:r>
            <w:r w:rsidR="00076A81" w:rsidRPr="00042924">
              <w:rPr>
                <w:color w:val="231F20"/>
                <w:spacing w:val="-3"/>
                <w:w w:val="105"/>
                <w:sz w:val="24"/>
                <w:szCs w:val="24"/>
                <w:lang w:val="uk-UA"/>
              </w:rPr>
              <w:t xml:space="preserve"> </w:t>
            </w:r>
            <w:r w:rsidR="00076A81" w:rsidRPr="00042924">
              <w:rPr>
                <w:color w:val="231F20"/>
                <w:w w:val="105"/>
                <w:sz w:val="24"/>
                <w:szCs w:val="24"/>
                <w:lang w:val="uk-UA"/>
              </w:rPr>
              <w:t>в</w:t>
            </w:r>
            <w:r w:rsidR="00076A81" w:rsidRPr="00042924">
              <w:rPr>
                <w:color w:val="231F20"/>
                <w:spacing w:val="-2"/>
                <w:w w:val="105"/>
                <w:sz w:val="24"/>
                <w:szCs w:val="24"/>
                <w:lang w:val="uk-UA"/>
              </w:rPr>
              <w:t xml:space="preserve"> </w:t>
            </w:r>
            <w:r w:rsidR="00076A81" w:rsidRPr="00042924">
              <w:rPr>
                <w:color w:val="231F20"/>
                <w:w w:val="105"/>
                <w:sz w:val="24"/>
                <w:szCs w:val="24"/>
                <w:lang w:val="uk-UA"/>
              </w:rPr>
              <w:t xml:space="preserve">менеджменті. </w:t>
            </w:r>
            <w:r w:rsidR="00076A81" w:rsidRPr="00042924">
              <w:rPr>
                <w:color w:val="231F20"/>
                <w:sz w:val="24"/>
                <w:szCs w:val="24"/>
                <w:lang w:val="uk-UA"/>
              </w:rPr>
              <w:t>Банкрутство</w:t>
            </w:r>
            <w:r w:rsidR="00076A81" w:rsidRPr="00042924">
              <w:rPr>
                <w:color w:val="231F20"/>
                <w:spacing w:val="34"/>
                <w:sz w:val="24"/>
                <w:szCs w:val="24"/>
                <w:lang w:val="uk-UA"/>
              </w:rPr>
              <w:t xml:space="preserve"> </w:t>
            </w:r>
            <w:r w:rsidR="00076A81" w:rsidRPr="00042924">
              <w:rPr>
                <w:color w:val="231F20"/>
                <w:sz w:val="24"/>
                <w:szCs w:val="24"/>
                <w:lang w:val="uk-UA"/>
              </w:rPr>
              <w:t>пов’язано</w:t>
            </w:r>
            <w:r w:rsidR="00076A81" w:rsidRPr="00042924">
              <w:rPr>
                <w:color w:val="231F20"/>
                <w:spacing w:val="35"/>
                <w:sz w:val="24"/>
                <w:szCs w:val="24"/>
                <w:lang w:val="uk-UA"/>
              </w:rPr>
              <w:t xml:space="preserve"> </w:t>
            </w:r>
            <w:r w:rsidR="00076A81" w:rsidRPr="00042924">
              <w:rPr>
                <w:color w:val="231F20"/>
                <w:sz w:val="24"/>
                <w:szCs w:val="24"/>
                <w:lang w:val="uk-UA"/>
              </w:rPr>
              <w:t>з</w:t>
            </w:r>
            <w:r w:rsidR="00076A81" w:rsidRPr="00042924">
              <w:rPr>
                <w:color w:val="231F20"/>
                <w:spacing w:val="35"/>
                <w:sz w:val="24"/>
                <w:szCs w:val="24"/>
                <w:lang w:val="uk-UA"/>
              </w:rPr>
              <w:t xml:space="preserve"> </w:t>
            </w:r>
            <w:r w:rsidR="00076A81" w:rsidRPr="00042924">
              <w:rPr>
                <w:color w:val="231F20"/>
                <w:sz w:val="24"/>
                <w:szCs w:val="24"/>
                <w:lang w:val="uk-UA"/>
              </w:rPr>
              <w:t>реалізацією</w:t>
            </w:r>
            <w:r w:rsidR="00076A81" w:rsidRPr="00042924">
              <w:rPr>
                <w:color w:val="231F20"/>
                <w:spacing w:val="35"/>
                <w:sz w:val="24"/>
                <w:szCs w:val="24"/>
                <w:lang w:val="uk-UA"/>
              </w:rPr>
              <w:t xml:space="preserve"> </w:t>
            </w:r>
            <w:r w:rsidR="00076A81" w:rsidRPr="00042924">
              <w:rPr>
                <w:color w:val="231F20"/>
                <w:sz w:val="24"/>
                <w:szCs w:val="24"/>
                <w:lang w:val="uk-UA"/>
              </w:rPr>
              <w:t>катастрофічних</w:t>
            </w:r>
            <w:r w:rsidR="00076A81" w:rsidRPr="00042924">
              <w:rPr>
                <w:color w:val="231F20"/>
                <w:spacing w:val="34"/>
                <w:sz w:val="24"/>
                <w:szCs w:val="24"/>
                <w:lang w:val="uk-UA"/>
              </w:rPr>
              <w:t xml:space="preserve"> </w:t>
            </w:r>
            <w:r w:rsidR="00076A81" w:rsidRPr="00042924">
              <w:rPr>
                <w:color w:val="231F20"/>
                <w:sz w:val="24"/>
                <w:szCs w:val="24"/>
                <w:lang w:val="uk-UA"/>
              </w:rPr>
              <w:t>ризиків,</w:t>
            </w:r>
            <w:r w:rsidR="00076A81" w:rsidRPr="00042924">
              <w:rPr>
                <w:color w:val="231F20"/>
                <w:spacing w:val="35"/>
                <w:sz w:val="24"/>
                <w:szCs w:val="24"/>
                <w:lang w:val="uk-UA"/>
              </w:rPr>
              <w:t xml:space="preserve"> </w:t>
            </w:r>
            <w:r w:rsidR="00076A81" w:rsidRPr="00042924">
              <w:rPr>
                <w:color w:val="231F20"/>
                <w:sz w:val="24"/>
                <w:szCs w:val="24"/>
                <w:lang w:val="uk-UA"/>
              </w:rPr>
              <w:t>що</w:t>
            </w:r>
            <w:r w:rsidR="00076A81" w:rsidRPr="00042924">
              <w:rPr>
                <w:color w:val="231F20"/>
                <w:spacing w:val="-45"/>
                <w:sz w:val="24"/>
                <w:szCs w:val="24"/>
                <w:lang w:val="uk-UA"/>
              </w:rPr>
              <w:t xml:space="preserve"> </w:t>
            </w:r>
            <w:r w:rsidR="00076A81" w:rsidRPr="00042924">
              <w:rPr>
                <w:color w:val="231F20"/>
                <w:spacing w:val="-1"/>
                <w:sz w:val="24"/>
                <w:szCs w:val="24"/>
                <w:lang w:val="uk-UA"/>
              </w:rPr>
              <w:t>виникли</w:t>
            </w:r>
            <w:r w:rsidR="00076A81" w:rsidRPr="00042924">
              <w:rPr>
                <w:color w:val="231F20"/>
                <w:spacing w:val="-11"/>
                <w:sz w:val="24"/>
                <w:szCs w:val="24"/>
                <w:lang w:val="uk-UA"/>
              </w:rPr>
              <w:t xml:space="preserve"> </w:t>
            </w:r>
            <w:r w:rsidR="00076A81" w:rsidRPr="00042924">
              <w:rPr>
                <w:color w:val="231F20"/>
                <w:spacing w:val="-1"/>
                <w:sz w:val="24"/>
                <w:szCs w:val="24"/>
                <w:lang w:val="uk-UA"/>
              </w:rPr>
              <w:t>в</w:t>
            </w:r>
            <w:r w:rsidR="00076A81" w:rsidRPr="00042924">
              <w:rPr>
                <w:color w:val="231F20"/>
                <w:spacing w:val="-10"/>
                <w:sz w:val="24"/>
                <w:szCs w:val="24"/>
                <w:lang w:val="uk-UA"/>
              </w:rPr>
              <w:t xml:space="preserve"> </w:t>
            </w:r>
            <w:r w:rsidR="00076A81" w:rsidRPr="00042924">
              <w:rPr>
                <w:color w:val="231F20"/>
                <w:spacing w:val="-1"/>
                <w:sz w:val="24"/>
                <w:szCs w:val="24"/>
                <w:lang w:val="uk-UA"/>
              </w:rPr>
              <w:t>процесі</w:t>
            </w:r>
            <w:r w:rsidR="00076A81" w:rsidRPr="00042924">
              <w:rPr>
                <w:color w:val="231F20"/>
                <w:spacing w:val="-11"/>
                <w:sz w:val="24"/>
                <w:szCs w:val="24"/>
                <w:lang w:val="uk-UA"/>
              </w:rPr>
              <w:t xml:space="preserve"> </w:t>
            </w:r>
            <w:r w:rsidR="00076A81" w:rsidRPr="00042924">
              <w:rPr>
                <w:color w:val="231F20"/>
                <w:spacing w:val="-1"/>
                <w:sz w:val="24"/>
                <w:szCs w:val="24"/>
                <w:lang w:val="uk-UA"/>
              </w:rPr>
              <w:t>її</w:t>
            </w:r>
            <w:r w:rsidR="00076A81" w:rsidRPr="00042924">
              <w:rPr>
                <w:color w:val="231F20"/>
                <w:spacing w:val="-10"/>
                <w:sz w:val="24"/>
                <w:szCs w:val="24"/>
                <w:lang w:val="uk-UA"/>
              </w:rPr>
              <w:t xml:space="preserve"> </w:t>
            </w:r>
            <w:r w:rsidR="00076A81" w:rsidRPr="00042924">
              <w:rPr>
                <w:color w:val="231F20"/>
                <w:spacing w:val="-1"/>
                <w:sz w:val="24"/>
                <w:szCs w:val="24"/>
                <w:lang w:val="uk-UA"/>
              </w:rPr>
              <w:t>невдалої</w:t>
            </w:r>
            <w:r w:rsidR="00076A81" w:rsidRPr="00042924">
              <w:rPr>
                <w:color w:val="231F20"/>
                <w:spacing w:val="-11"/>
                <w:sz w:val="24"/>
                <w:szCs w:val="24"/>
                <w:lang w:val="uk-UA"/>
              </w:rPr>
              <w:t xml:space="preserve"> </w:t>
            </w:r>
            <w:r w:rsidR="00076A81" w:rsidRPr="00042924">
              <w:rPr>
                <w:color w:val="231F20"/>
                <w:spacing w:val="-1"/>
                <w:sz w:val="24"/>
                <w:szCs w:val="24"/>
                <w:lang w:val="uk-UA"/>
              </w:rPr>
              <w:t>фінансово-господарської</w:t>
            </w:r>
            <w:r w:rsidR="00076A81" w:rsidRPr="00042924">
              <w:rPr>
                <w:color w:val="231F20"/>
                <w:spacing w:val="-10"/>
                <w:sz w:val="24"/>
                <w:szCs w:val="24"/>
                <w:lang w:val="uk-UA"/>
              </w:rPr>
              <w:t xml:space="preserve"> </w:t>
            </w:r>
            <w:r w:rsidR="00076A81" w:rsidRPr="00042924">
              <w:rPr>
                <w:color w:val="231F20"/>
                <w:sz w:val="24"/>
                <w:szCs w:val="24"/>
                <w:lang w:val="uk-UA"/>
              </w:rPr>
              <w:t>діяльності</w:t>
            </w:r>
            <w:r w:rsidRPr="00042924">
              <w:rPr>
                <w:color w:val="231F20"/>
                <w:sz w:val="24"/>
                <w:szCs w:val="24"/>
                <w:lang w:val="uk-UA"/>
              </w:rPr>
              <w:t>»</w:t>
            </w:r>
            <w:r w:rsidR="00076A81" w:rsidRPr="00042924">
              <w:rPr>
                <w:color w:val="231F20"/>
                <w:spacing w:val="-11"/>
                <w:sz w:val="24"/>
                <w:szCs w:val="24"/>
                <w:lang w:val="uk-UA"/>
              </w:rPr>
              <w:t xml:space="preserve"> </w:t>
            </w:r>
            <w:r w:rsidR="00076A81" w:rsidRPr="00042924">
              <w:rPr>
                <w:color w:val="231F20"/>
                <w:sz w:val="24"/>
                <w:szCs w:val="24"/>
                <w:lang w:val="uk-UA"/>
              </w:rPr>
              <w:t>[</w:t>
            </w:r>
            <w:r w:rsidR="000125BA" w:rsidRPr="00042924">
              <w:rPr>
                <w:color w:val="231F20"/>
                <w:sz w:val="24"/>
                <w:szCs w:val="24"/>
                <w:lang w:val="uk-UA"/>
              </w:rPr>
              <w:t>8</w:t>
            </w:r>
            <w:r w:rsidR="00076A81" w:rsidRPr="00042924">
              <w:rPr>
                <w:color w:val="231F20"/>
                <w:sz w:val="24"/>
                <w:szCs w:val="24"/>
                <w:lang w:val="uk-UA"/>
              </w:rPr>
              <w:t>].</w:t>
            </w:r>
          </w:p>
        </w:tc>
      </w:tr>
      <w:tr w:rsidR="00076A81" w:rsidRPr="00BE6C60" w14:paraId="264AB3CF" w14:textId="77777777" w:rsidTr="00FB2818">
        <w:tc>
          <w:tcPr>
            <w:tcW w:w="2689" w:type="dxa"/>
          </w:tcPr>
          <w:p w14:paraId="294A7349" w14:textId="77777777" w:rsidR="00076A81" w:rsidRPr="00042924" w:rsidRDefault="00076A81" w:rsidP="00076A81">
            <w:pPr>
              <w:pStyle w:val="a4"/>
              <w:tabs>
                <w:tab w:val="left" w:pos="9658"/>
              </w:tabs>
              <w:rPr>
                <w:sz w:val="24"/>
                <w:szCs w:val="24"/>
                <w:lang w:val="uk-UA"/>
              </w:rPr>
            </w:pPr>
            <w:r w:rsidRPr="00042924">
              <w:rPr>
                <w:color w:val="231F20"/>
                <w:w w:val="95"/>
                <w:sz w:val="24"/>
                <w:szCs w:val="24"/>
                <w:lang w:val="uk-UA"/>
              </w:rPr>
              <w:t>Г.</w:t>
            </w:r>
            <w:r w:rsidRPr="00042924">
              <w:rPr>
                <w:color w:val="231F20"/>
                <w:spacing w:val="1"/>
                <w:w w:val="95"/>
                <w:sz w:val="24"/>
                <w:szCs w:val="24"/>
                <w:lang w:val="uk-UA"/>
              </w:rPr>
              <w:t xml:space="preserve"> </w:t>
            </w:r>
            <w:r w:rsidRPr="00042924">
              <w:rPr>
                <w:color w:val="231F20"/>
                <w:w w:val="95"/>
                <w:sz w:val="24"/>
                <w:szCs w:val="24"/>
                <w:lang w:val="uk-UA"/>
              </w:rPr>
              <w:t>Ляшенко</w:t>
            </w:r>
          </w:p>
        </w:tc>
        <w:tc>
          <w:tcPr>
            <w:tcW w:w="7222" w:type="dxa"/>
            <w:vAlign w:val="center"/>
          </w:tcPr>
          <w:p w14:paraId="28357809" w14:textId="77777777" w:rsidR="00076A81" w:rsidRPr="00042924" w:rsidRDefault="00E4506F" w:rsidP="00076A81">
            <w:pPr>
              <w:pStyle w:val="a4"/>
              <w:tabs>
                <w:tab w:val="left" w:pos="9658"/>
              </w:tabs>
              <w:jc w:val="both"/>
              <w:rPr>
                <w:sz w:val="24"/>
                <w:szCs w:val="24"/>
                <w:lang w:val="uk-UA"/>
              </w:rPr>
            </w:pPr>
            <w:r w:rsidRPr="00042924">
              <w:rPr>
                <w:color w:val="231F20"/>
                <w:sz w:val="24"/>
                <w:szCs w:val="24"/>
                <w:lang w:val="uk-UA"/>
              </w:rPr>
              <w:t>«</w:t>
            </w:r>
            <w:r w:rsidR="00076A81" w:rsidRPr="00042924">
              <w:rPr>
                <w:color w:val="231F20"/>
                <w:sz w:val="24"/>
                <w:szCs w:val="24"/>
                <w:lang w:val="uk-UA"/>
              </w:rPr>
              <w:t>Банкрутство</w:t>
            </w:r>
            <w:r w:rsidR="00076A81" w:rsidRPr="00042924">
              <w:rPr>
                <w:color w:val="231F20"/>
                <w:spacing w:val="11"/>
                <w:sz w:val="24"/>
                <w:szCs w:val="24"/>
                <w:lang w:val="uk-UA"/>
              </w:rPr>
              <w:t xml:space="preserve"> </w:t>
            </w:r>
            <w:r w:rsidR="00076A81" w:rsidRPr="00042924">
              <w:rPr>
                <w:color w:val="231F20"/>
                <w:sz w:val="24"/>
                <w:szCs w:val="24"/>
                <w:lang w:val="uk-UA"/>
              </w:rPr>
              <w:t>в</w:t>
            </w:r>
            <w:r w:rsidR="00076A81" w:rsidRPr="00042924">
              <w:rPr>
                <w:color w:val="231F20"/>
                <w:spacing w:val="12"/>
                <w:sz w:val="24"/>
                <w:szCs w:val="24"/>
                <w:lang w:val="uk-UA"/>
              </w:rPr>
              <w:t xml:space="preserve"> </w:t>
            </w:r>
            <w:r w:rsidR="00076A81" w:rsidRPr="00042924">
              <w:rPr>
                <w:color w:val="231F20"/>
                <w:sz w:val="24"/>
                <w:szCs w:val="24"/>
                <w:lang w:val="uk-UA"/>
              </w:rPr>
              <w:t>умовах</w:t>
            </w:r>
            <w:r w:rsidR="00076A81" w:rsidRPr="00042924">
              <w:rPr>
                <w:color w:val="231F20"/>
                <w:spacing w:val="12"/>
                <w:sz w:val="24"/>
                <w:szCs w:val="24"/>
                <w:lang w:val="uk-UA"/>
              </w:rPr>
              <w:t xml:space="preserve"> </w:t>
            </w:r>
            <w:r w:rsidR="00076A81" w:rsidRPr="00042924">
              <w:rPr>
                <w:color w:val="231F20"/>
                <w:sz w:val="24"/>
                <w:szCs w:val="24"/>
                <w:lang w:val="uk-UA"/>
              </w:rPr>
              <w:t>ринкової</w:t>
            </w:r>
            <w:r w:rsidR="00076A81" w:rsidRPr="00042924">
              <w:rPr>
                <w:color w:val="231F20"/>
                <w:spacing w:val="12"/>
                <w:sz w:val="24"/>
                <w:szCs w:val="24"/>
                <w:lang w:val="uk-UA"/>
              </w:rPr>
              <w:t xml:space="preserve"> </w:t>
            </w:r>
            <w:r w:rsidR="00076A81" w:rsidRPr="00042924">
              <w:rPr>
                <w:color w:val="231F20"/>
                <w:sz w:val="24"/>
                <w:szCs w:val="24"/>
                <w:lang w:val="uk-UA"/>
              </w:rPr>
              <w:t>економіки</w:t>
            </w:r>
            <w:r w:rsidR="00076A81" w:rsidRPr="00042924">
              <w:rPr>
                <w:color w:val="231F20"/>
                <w:spacing w:val="11"/>
                <w:sz w:val="24"/>
                <w:szCs w:val="24"/>
                <w:lang w:val="uk-UA"/>
              </w:rPr>
              <w:t xml:space="preserve"> </w:t>
            </w:r>
            <w:r w:rsidR="00076A81" w:rsidRPr="00042924">
              <w:rPr>
                <w:color w:val="231F20"/>
                <w:sz w:val="24"/>
                <w:szCs w:val="24"/>
                <w:lang w:val="uk-UA"/>
              </w:rPr>
              <w:t>є</w:t>
            </w:r>
            <w:r w:rsidR="00076A81" w:rsidRPr="00042924">
              <w:rPr>
                <w:color w:val="231F20"/>
                <w:spacing w:val="11"/>
                <w:sz w:val="24"/>
                <w:szCs w:val="24"/>
                <w:lang w:val="uk-UA"/>
              </w:rPr>
              <w:t xml:space="preserve"> </w:t>
            </w:r>
            <w:r w:rsidR="00076A81" w:rsidRPr="00042924">
              <w:rPr>
                <w:color w:val="231F20"/>
                <w:sz w:val="24"/>
                <w:szCs w:val="24"/>
                <w:lang w:val="uk-UA"/>
              </w:rPr>
              <w:t>наслідком</w:t>
            </w:r>
            <w:r w:rsidR="00076A81" w:rsidRPr="00042924">
              <w:rPr>
                <w:color w:val="231F20"/>
                <w:spacing w:val="11"/>
                <w:sz w:val="24"/>
                <w:szCs w:val="24"/>
                <w:lang w:val="uk-UA"/>
              </w:rPr>
              <w:t xml:space="preserve"> </w:t>
            </w:r>
            <w:r w:rsidR="00076A81" w:rsidRPr="00042924">
              <w:rPr>
                <w:color w:val="231F20"/>
                <w:sz w:val="24"/>
                <w:szCs w:val="24"/>
                <w:lang w:val="uk-UA"/>
              </w:rPr>
              <w:t>незадовільного управління підприємством, нехтування впливу різноманітних</w:t>
            </w:r>
            <w:r w:rsidR="00076A81" w:rsidRPr="00042924">
              <w:rPr>
                <w:color w:val="231F20"/>
                <w:spacing w:val="1"/>
                <w:sz w:val="24"/>
                <w:szCs w:val="24"/>
                <w:lang w:val="uk-UA"/>
              </w:rPr>
              <w:t xml:space="preserve"> </w:t>
            </w:r>
            <w:r w:rsidR="00076A81" w:rsidRPr="00042924">
              <w:rPr>
                <w:color w:val="231F20"/>
                <w:sz w:val="24"/>
                <w:szCs w:val="24"/>
                <w:lang w:val="uk-UA"/>
              </w:rPr>
              <w:t>факторів</w:t>
            </w:r>
            <w:r w:rsidR="00076A81" w:rsidRPr="00042924">
              <w:rPr>
                <w:color w:val="231F20"/>
                <w:spacing w:val="-10"/>
                <w:sz w:val="24"/>
                <w:szCs w:val="24"/>
                <w:lang w:val="uk-UA"/>
              </w:rPr>
              <w:t xml:space="preserve"> </w:t>
            </w:r>
            <w:r w:rsidR="00076A81" w:rsidRPr="00042924">
              <w:rPr>
                <w:color w:val="231F20"/>
                <w:sz w:val="24"/>
                <w:szCs w:val="24"/>
                <w:lang w:val="uk-UA"/>
              </w:rPr>
              <w:t>мікро-</w:t>
            </w:r>
            <w:r w:rsidR="00076A81" w:rsidRPr="00042924">
              <w:rPr>
                <w:color w:val="231F20"/>
                <w:spacing w:val="-10"/>
                <w:sz w:val="24"/>
                <w:szCs w:val="24"/>
                <w:lang w:val="uk-UA"/>
              </w:rPr>
              <w:t xml:space="preserve"> </w:t>
            </w:r>
            <w:r w:rsidR="00076A81" w:rsidRPr="00042924">
              <w:rPr>
                <w:color w:val="231F20"/>
                <w:sz w:val="24"/>
                <w:szCs w:val="24"/>
                <w:lang w:val="uk-UA"/>
              </w:rPr>
              <w:t>і</w:t>
            </w:r>
            <w:r w:rsidR="00076A81" w:rsidRPr="00042924">
              <w:rPr>
                <w:color w:val="231F20"/>
                <w:spacing w:val="-10"/>
                <w:sz w:val="24"/>
                <w:szCs w:val="24"/>
                <w:lang w:val="uk-UA"/>
              </w:rPr>
              <w:t xml:space="preserve"> </w:t>
            </w:r>
            <w:r w:rsidR="00076A81" w:rsidRPr="00042924">
              <w:rPr>
                <w:color w:val="231F20"/>
                <w:sz w:val="24"/>
                <w:szCs w:val="24"/>
                <w:lang w:val="uk-UA"/>
              </w:rPr>
              <w:t>макросередовища,</w:t>
            </w:r>
            <w:r w:rsidR="00076A81" w:rsidRPr="00042924">
              <w:rPr>
                <w:color w:val="231F20"/>
                <w:spacing w:val="-10"/>
                <w:sz w:val="24"/>
                <w:szCs w:val="24"/>
                <w:lang w:val="uk-UA"/>
              </w:rPr>
              <w:t xml:space="preserve"> </w:t>
            </w:r>
            <w:r w:rsidR="00076A81" w:rsidRPr="00042924">
              <w:rPr>
                <w:color w:val="231F20"/>
                <w:sz w:val="24"/>
                <w:szCs w:val="24"/>
                <w:lang w:val="uk-UA"/>
              </w:rPr>
              <w:t>а</w:t>
            </w:r>
            <w:r w:rsidR="00076A81" w:rsidRPr="00042924">
              <w:rPr>
                <w:color w:val="231F20"/>
                <w:spacing w:val="-10"/>
                <w:sz w:val="24"/>
                <w:szCs w:val="24"/>
                <w:lang w:val="uk-UA"/>
              </w:rPr>
              <w:t xml:space="preserve"> </w:t>
            </w:r>
            <w:r w:rsidR="00076A81" w:rsidRPr="00042924">
              <w:rPr>
                <w:color w:val="231F20"/>
                <w:sz w:val="24"/>
                <w:szCs w:val="24"/>
                <w:lang w:val="uk-UA"/>
              </w:rPr>
              <w:t>тому</w:t>
            </w:r>
            <w:r w:rsidR="00076A81" w:rsidRPr="00042924">
              <w:rPr>
                <w:color w:val="231F20"/>
                <w:spacing w:val="-10"/>
                <w:sz w:val="24"/>
                <w:szCs w:val="24"/>
                <w:lang w:val="uk-UA"/>
              </w:rPr>
              <w:t xml:space="preserve"> </w:t>
            </w:r>
            <w:r w:rsidR="00076A81" w:rsidRPr="00042924">
              <w:rPr>
                <w:color w:val="231F20"/>
                <w:sz w:val="24"/>
                <w:szCs w:val="24"/>
                <w:lang w:val="uk-UA"/>
              </w:rPr>
              <w:t>його</w:t>
            </w:r>
            <w:r w:rsidR="00076A81" w:rsidRPr="00042924">
              <w:rPr>
                <w:color w:val="231F20"/>
                <w:spacing w:val="-10"/>
                <w:sz w:val="24"/>
                <w:szCs w:val="24"/>
                <w:lang w:val="uk-UA"/>
              </w:rPr>
              <w:t xml:space="preserve"> </w:t>
            </w:r>
            <w:r w:rsidR="00076A81" w:rsidRPr="00042924">
              <w:rPr>
                <w:color w:val="231F20"/>
                <w:sz w:val="24"/>
                <w:szCs w:val="24"/>
                <w:lang w:val="uk-UA"/>
              </w:rPr>
              <w:t>правомірно</w:t>
            </w:r>
            <w:r w:rsidR="00076A81" w:rsidRPr="00042924">
              <w:rPr>
                <w:color w:val="231F20"/>
                <w:spacing w:val="-10"/>
                <w:sz w:val="24"/>
                <w:szCs w:val="24"/>
                <w:lang w:val="uk-UA"/>
              </w:rPr>
              <w:t xml:space="preserve"> </w:t>
            </w:r>
            <w:r w:rsidR="00076A81" w:rsidRPr="00042924">
              <w:rPr>
                <w:color w:val="231F20"/>
                <w:sz w:val="24"/>
                <w:szCs w:val="24"/>
                <w:lang w:val="uk-UA"/>
              </w:rPr>
              <w:t>розгля</w:t>
            </w:r>
            <w:r w:rsidR="00076A81" w:rsidRPr="00042924">
              <w:rPr>
                <w:color w:val="231F20"/>
                <w:spacing w:val="-2"/>
                <w:sz w:val="24"/>
                <w:szCs w:val="24"/>
                <w:lang w:val="uk-UA"/>
              </w:rPr>
              <w:t>дати</w:t>
            </w:r>
            <w:r w:rsidR="00076A81" w:rsidRPr="00042924">
              <w:rPr>
                <w:color w:val="231F20"/>
                <w:spacing w:val="-10"/>
                <w:sz w:val="24"/>
                <w:szCs w:val="24"/>
                <w:lang w:val="uk-UA"/>
              </w:rPr>
              <w:t xml:space="preserve"> </w:t>
            </w:r>
            <w:r w:rsidR="00076A81" w:rsidRPr="00042924">
              <w:rPr>
                <w:color w:val="231F20"/>
                <w:spacing w:val="-2"/>
                <w:sz w:val="24"/>
                <w:szCs w:val="24"/>
                <w:lang w:val="uk-UA"/>
              </w:rPr>
              <w:t>як</w:t>
            </w:r>
            <w:r w:rsidR="00076A81" w:rsidRPr="00042924">
              <w:rPr>
                <w:color w:val="231F20"/>
                <w:spacing w:val="-10"/>
                <w:sz w:val="24"/>
                <w:szCs w:val="24"/>
                <w:lang w:val="uk-UA"/>
              </w:rPr>
              <w:t xml:space="preserve"> </w:t>
            </w:r>
            <w:r w:rsidR="00076A81" w:rsidRPr="00042924">
              <w:rPr>
                <w:color w:val="231F20"/>
                <w:spacing w:val="-2"/>
                <w:sz w:val="24"/>
                <w:szCs w:val="24"/>
                <w:lang w:val="uk-UA"/>
              </w:rPr>
              <w:t>плату</w:t>
            </w:r>
            <w:r w:rsidR="00076A81" w:rsidRPr="00042924">
              <w:rPr>
                <w:color w:val="231F20"/>
                <w:spacing w:val="-10"/>
                <w:sz w:val="24"/>
                <w:szCs w:val="24"/>
                <w:lang w:val="uk-UA"/>
              </w:rPr>
              <w:t xml:space="preserve"> </w:t>
            </w:r>
            <w:r w:rsidR="00076A81" w:rsidRPr="00042924">
              <w:rPr>
                <w:color w:val="231F20"/>
                <w:spacing w:val="-2"/>
                <w:sz w:val="24"/>
                <w:szCs w:val="24"/>
                <w:lang w:val="uk-UA"/>
              </w:rPr>
              <w:t>за</w:t>
            </w:r>
            <w:r w:rsidR="00076A81" w:rsidRPr="00042924">
              <w:rPr>
                <w:color w:val="231F20"/>
                <w:spacing w:val="-10"/>
                <w:sz w:val="24"/>
                <w:szCs w:val="24"/>
                <w:lang w:val="uk-UA"/>
              </w:rPr>
              <w:t xml:space="preserve"> </w:t>
            </w:r>
            <w:r w:rsidR="00076A81" w:rsidRPr="00042924">
              <w:rPr>
                <w:color w:val="231F20"/>
                <w:spacing w:val="-1"/>
                <w:sz w:val="24"/>
                <w:szCs w:val="24"/>
                <w:lang w:val="uk-UA"/>
              </w:rPr>
              <w:t>економічну</w:t>
            </w:r>
            <w:r w:rsidR="00076A81" w:rsidRPr="00042924">
              <w:rPr>
                <w:color w:val="231F20"/>
                <w:spacing w:val="-10"/>
                <w:sz w:val="24"/>
                <w:szCs w:val="24"/>
                <w:lang w:val="uk-UA"/>
              </w:rPr>
              <w:t xml:space="preserve"> </w:t>
            </w:r>
            <w:r w:rsidR="00076A81" w:rsidRPr="00042924">
              <w:rPr>
                <w:color w:val="231F20"/>
                <w:spacing w:val="-1"/>
                <w:sz w:val="24"/>
                <w:szCs w:val="24"/>
                <w:lang w:val="uk-UA"/>
              </w:rPr>
              <w:t>свободу</w:t>
            </w:r>
            <w:r w:rsidR="00076A81" w:rsidRPr="00042924">
              <w:rPr>
                <w:color w:val="231F20"/>
                <w:spacing w:val="-9"/>
                <w:sz w:val="24"/>
                <w:szCs w:val="24"/>
                <w:lang w:val="uk-UA"/>
              </w:rPr>
              <w:t xml:space="preserve"> </w:t>
            </w:r>
            <w:r w:rsidR="00076A81" w:rsidRPr="00042924">
              <w:rPr>
                <w:color w:val="231F20"/>
                <w:spacing w:val="-1"/>
                <w:sz w:val="24"/>
                <w:szCs w:val="24"/>
                <w:lang w:val="uk-UA"/>
              </w:rPr>
              <w:t>у</w:t>
            </w:r>
            <w:r w:rsidR="00076A81" w:rsidRPr="00042924">
              <w:rPr>
                <w:color w:val="231F20"/>
                <w:spacing w:val="-10"/>
                <w:sz w:val="24"/>
                <w:szCs w:val="24"/>
                <w:lang w:val="uk-UA"/>
              </w:rPr>
              <w:t xml:space="preserve"> </w:t>
            </w:r>
            <w:r w:rsidR="00076A81" w:rsidRPr="00042924">
              <w:rPr>
                <w:color w:val="231F20"/>
                <w:spacing w:val="-1"/>
                <w:sz w:val="24"/>
                <w:szCs w:val="24"/>
                <w:lang w:val="uk-UA"/>
              </w:rPr>
              <w:t>виборі</w:t>
            </w:r>
            <w:r w:rsidR="00076A81" w:rsidRPr="00042924">
              <w:rPr>
                <w:color w:val="231F20"/>
                <w:spacing w:val="-10"/>
                <w:sz w:val="24"/>
                <w:szCs w:val="24"/>
                <w:lang w:val="uk-UA"/>
              </w:rPr>
              <w:t xml:space="preserve"> </w:t>
            </w:r>
            <w:r w:rsidR="00076A81" w:rsidRPr="00042924">
              <w:rPr>
                <w:color w:val="231F20"/>
                <w:spacing w:val="-1"/>
                <w:sz w:val="24"/>
                <w:szCs w:val="24"/>
                <w:lang w:val="uk-UA"/>
              </w:rPr>
              <w:t>напряму</w:t>
            </w:r>
            <w:r w:rsidR="00076A81" w:rsidRPr="00042924">
              <w:rPr>
                <w:color w:val="231F20"/>
                <w:spacing w:val="-10"/>
                <w:sz w:val="24"/>
                <w:szCs w:val="24"/>
                <w:lang w:val="uk-UA"/>
              </w:rPr>
              <w:t xml:space="preserve"> </w:t>
            </w:r>
            <w:r w:rsidR="00076A81" w:rsidRPr="00042924">
              <w:rPr>
                <w:color w:val="231F20"/>
                <w:spacing w:val="-1"/>
                <w:sz w:val="24"/>
                <w:szCs w:val="24"/>
                <w:lang w:val="uk-UA"/>
              </w:rPr>
              <w:t>господарської</w:t>
            </w:r>
            <w:r w:rsidR="00076A81" w:rsidRPr="00042924">
              <w:rPr>
                <w:color w:val="231F20"/>
                <w:spacing w:val="-45"/>
                <w:sz w:val="24"/>
                <w:szCs w:val="24"/>
                <w:lang w:val="uk-UA"/>
              </w:rPr>
              <w:t xml:space="preserve"> </w:t>
            </w:r>
            <w:r w:rsidR="00076A81" w:rsidRPr="00042924">
              <w:rPr>
                <w:color w:val="231F20"/>
                <w:sz w:val="24"/>
                <w:szCs w:val="24"/>
                <w:lang w:val="uk-UA"/>
              </w:rPr>
              <w:t>діяльності,</w:t>
            </w:r>
            <w:r w:rsidR="00076A81" w:rsidRPr="00042924">
              <w:rPr>
                <w:color w:val="231F20"/>
                <w:spacing w:val="-12"/>
                <w:sz w:val="24"/>
                <w:szCs w:val="24"/>
                <w:lang w:val="uk-UA"/>
              </w:rPr>
              <w:t xml:space="preserve"> </w:t>
            </w:r>
            <w:r w:rsidR="00076A81" w:rsidRPr="00042924">
              <w:rPr>
                <w:color w:val="231F20"/>
                <w:sz w:val="24"/>
                <w:szCs w:val="24"/>
                <w:lang w:val="uk-UA"/>
              </w:rPr>
              <w:t>ринків</w:t>
            </w:r>
            <w:r w:rsidR="00076A81" w:rsidRPr="00042924">
              <w:rPr>
                <w:color w:val="231F20"/>
                <w:spacing w:val="-11"/>
                <w:sz w:val="24"/>
                <w:szCs w:val="24"/>
                <w:lang w:val="uk-UA"/>
              </w:rPr>
              <w:t xml:space="preserve"> </w:t>
            </w:r>
            <w:r w:rsidR="00076A81" w:rsidRPr="00042924">
              <w:rPr>
                <w:color w:val="231F20"/>
                <w:sz w:val="24"/>
                <w:szCs w:val="24"/>
                <w:lang w:val="uk-UA"/>
              </w:rPr>
              <w:t>збуту,</w:t>
            </w:r>
            <w:r w:rsidR="00076A81" w:rsidRPr="00042924">
              <w:rPr>
                <w:color w:val="231F20"/>
                <w:spacing w:val="-11"/>
                <w:sz w:val="24"/>
                <w:szCs w:val="24"/>
                <w:lang w:val="uk-UA"/>
              </w:rPr>
              <w:t xml:space="preserve"> </w:t>
            </w:r>
            <w:r w:rsidR="00076A81" w:rsidRPr="00042924">
              <w:rPr>
                <w:color w:val="231F20"/>
                <w:sz w:val="24"/>
                <w:szCs w:val="24"/>
                <w:lang w:val="uk-UA"/>
              </w:rPr>
              <w:t>у</w:t>
            </w:r>
            <w:r w:rsidR="00076A81" w:rsidRPr="00042924">
              <w:rPr>
                <w:color w:val="231F20"/>
                <w:spacing w:val="-11"/>
                <w:sz w:val="24"/>
                <w:szCs w:val="24"/>
                <w:lang w:val="uk-UA"/>
              </w:rPr>
              <w:t xml:space="preserve"> </w:t>
            </w:r>
            <w:r w:rsidR="00076A81" w:rsidRPr="00042924">
              <w:rPr>
                <w:color w:val="231F20"/>
                <w:sz w:val="24"/>
                <w:szCs w:val="24"/>
                <w:lang w:val="uk-UA"/>
              </w:rPr>
              <w:t>ціноутворенні,</w:t>
            </w:r>
            <w:r w:rsidR="00076A81" w:rsidRPr="00042924">
              <w:rPr>
                <w:color w:val="231F20"/>
                <w:spacing w:val="-11"/>
                <w:sz w:val="24"/>
                <w:szCs w:val="24"/>
                <w:lang w:val="uk-UA"/>
              </w:rPr>
              <w:t xml:space="preserve"> </w:t>
            </w:r>
            <w:r w:rsidR="00076A81" w:rsidRPr="00042924">
              <w:rPr>
                <w:color w:val="231F20"/>
                <w:sz w:val="24"/>
                <w:szCs w:val="24"/>
                <w:lang w:val="uk-UA"/>
              </w:rPr>
              <w:t>найманні</w:t>
            </w:r>
            <w:r w:rsidR="00076A81" w:rsidRPr="00042924">
              <w:rPr>
                <w:color w:val="231F20"/>
                <w:spacing w:val="-11"/>
                <w:sz w:val="24"/>
                <w:szCs w:val="24"/>
                <w:lang w:val="uk-UA"/>
              </w:rPr>
              <w:t xml:space="preserve"> </w:t>
            </w:r>
            <w:r w:rsidR="00076A81" w:rsidRPr="00042924">
              <w:rPr>
                <w:color w:val="231F20"/>
                <w:sz w:val="24"/>
                <w:szCs w:val="24"/>
                <w:lang w:val="uk-UA"/>
              </w:rPr>
              <w:t>робочої</w:t>
            </w:r>
            <w:r w:rsidR="00076A81" w:rsidRPr="00042924">
              <w:rPr>
                <w:color w:val="231F20"/>
                <w:spacing w:val="-11"/>
                <w:sz w:val="24"/>
                <w:szCs w:val="24"/>
                <w:lang w:val="uk-UA"/>
              </w:rPr>
              <w:t xml:space="preserve"> </w:t>
            </w:r>
            <w:r w:rsidR="00076A81" w:rsidRPr="00042924">
              <w:rPr>
                <w:color w:val="231F20"/>
                <w:sz w:val="24"/>
                <w:szCs w:val="24"/>
                <w:lang w:val="uk-UA"/>
              </w:rPr>
              <w:t>сили</w:t>
            </w:r>
            <w:r w:rsidRPr="00042924">
              <w:rPr>
                <w:color w:val="231F20"/>
                <w:sz w:val="24"/>
                <w:szCs w:val="24"/>
                <w:lang w:val="uk-UA"/>
              </w:rPr>
              <w:t>»</w:t>
            </w:r>
            <w:r w:rsidR="00076A81" w:rsidRPr="00042924">
              <w:rPr>
                <w:color w:val="231F20"/>
                <w:spacing w:val="-11"/>
                <w:sz w:val="24"/>
                <w:szCs w:val="24"/>
                <w:lang w:val="uk-UA"/>
              </w:rPr>
              <w:t xml:space="preserve"> </w:t>
            </w:r>
            <w:r w:rsidR="00076A81" w:rsidRPr="00042924">
              <w:rPr>
                <w:color w:val="231F20"/>
                <w:sz w:val="24"/>
                <w:szCs w:val="24"/>
                <w:lang w:val="uk-UA"/>
              </w:rPr>
              <w:t>[9].</w:t>
            </w:r>
          </w:p>
        </w:tc>
      </w:tr>
      <w:tr w:rsidR="00282FD0" w:rsidRPr="00042924" w14:paraId="3CDB0DDD" w14:textId="77777777" w:rsidTr="0029174C">
        <w:tc>
          <w:tcPr>
            <w:tcW w:w="9911" w:type="dxa"/>
            <w:gridSpan w:val="2"/>
          </w:tcPr>
          <w:p w14:paraId="1AE0CB11" w14:textId="77777777" w:rsidR="00282FD0" w:rsidRPr="00042924" w:rsidRDefault="00282FD0" w:rsidP="00282FD0">
            <w:pPr>
              <w:pStyle w:val="a4"/>
              <w:tabs>
                <w:tab w:val="left" w:pos="9658"/>
              </w:tabs>
              <w:jc w:val="center"/>
              <w:rPr>
                <w:color w:val="231F20"/>
                <w:sz w:val="24"/>
                <w:szCs w:val="24"/>
                <w:lang w:val="uk-UA"/>
              </w:rPr>
            </w:pPr>
            <w:r w:rsidRPr="00042924">
              <w:rPr>
                <w:color w:val="231F20"/>
                <w:sz w:val="24"/>
                <w:szCs w:val="24"/>
                <w:lang w:val="uk-UA"/>
              </w:rPr>
              <w:t>Авторське тлумачення терміну</w:t>
            </w:r>
          </w:p>
        </w:tc>
      </w:tr>
      <w:tr w:rsidR="00282FD0" w:rsidRPr="00042924" w14:paraId="7F36C0CC" w14:textId="77777777" w:rsidTr="0029174C">
        <w:tc>
          <w:tcPr>
            <w:tcW w:w="9911" w:type="dxa"/>
            <w:gridSpan w:val="2"/>
          </w:tcPr>
          <w:p w14:paraId="3AAFA416" w14:textId="77777777" w:rsidR="00282FD0" w:rsidRPr="00042924" w:rsidRDefault="00282FD0" w:rsidP="00076A81">
            <w:pPr>
              <w:pStyle w:val="a4"/>
              <w:tabs>
                <w:tab w:val="left" w:pos="9658"/>
              </w:tabs>
              <w:jc w:val="both"/>
              <w:rPr>
                <w:sz w:val="24"/>
                <w:szCs w:val="24"/>
                <w:lang w:val="uk-UA"/>
              </w:rPr>
            </w:pPr>
            <w:r w:rsidRPr="00042924">
              <w:rPr>
                <w:color w:val="231F20"/>
                <w:sz w:val="24"/>
                <w:szCs w:val="24"/>
                <w:lang w:val="uk-UA"/>
              </w:rPr>
              <w:t>Банкрутство — це судовий процес для фізичних осіб і компаній, які не можуть виконати свої фінансові зобов’язання, що дозволяє списання боргу, реорганізацію або ліквідацію активів під наглядом суду.</w:t>
            </w:r>
          </w:p>
        </w:tc>
      </w:tr>
    </w:tbl>
    <w:p w14:paraId="728F4605" w14:textId="77777777" w:rsidR="005345FE" w:rsidRPr="00042924" w:rsidRDefault="0045304D" w:rsidP="005E2AE1">
      <w:pPr>
        <w:pStyle w:val="a4"/>
        <w:tabs>
          <w:tab w:val="left" w:pos="9658"/>
        </w:tabs>
        <w:ind w:firstLine="284"/>
        <w:jc w:val="both"/>
        <w:rPr>
          <w:lang w:val="uk-UA"/>
        </w:rPr>
      </w:pPr>
      <w:r w:rsidRPr="00042924">
        <w:rPr>
          <w:lang w:val="uk-UA"/>
        </w:rPr>
        <w:t>Джерело: с</w:t>
      </w:r>
      <w:r w:rsidR="007F2BFF" w:rsidRPr="00042924">
        <w:rPr>
          <w:lang w:val="uk-UA"/>
        </w:rPr>
        <w:t xml:space="preserve">кладено </w:t>
      </w:r>
      <w:r w:rsidR="00A5484C" w:rsidRPr="00042924">
        <w:rPr>
          <w:lang w:val="uk-UA"/>
        </w:rPr>
        <w:t xml:space="preserve">автором на основі </w:t>
      </w:r>
      <w:r w:rsidR="007A316B" w:rsidRPr="00042924">
        <w:rPr>
          <w:lang w:val="uk-UA"/>
        </w:rPr>
        <w:t>[1-10]</w:t>
      </w:r>
    </w:p>
    <w:p w14:paraId="7D7E2E04" w14:textId="77777777" w:rsidR="005E2AE1" w:rsidRPr="00042924" w:rsidRDefault="005E2AE1" w:rsidP="005E2AE1">
      <w:pPr>
        <w:pStyle w:val="a4"/>
        <w:tabs>
          <w:tab w:val="left" w:pos="9658"/>
        </w:tabs>
        <w:ind w:firstLine="284"/>
        <w:jc w:val="both"/>
        <w:rPr>
          <w:lang w:val="uk-UA"/>
        </w:rPr>
      </w:pPr>
    </w:p>
    <w:p w14:paraId="6CB84790" w14:textId="77777777" w:rsidR="00D25AE7" w:rsidRPr="00042924" w:rsidRDefault="006C7F6B" w:rsidP="00D60F8E">
      <w:pPr>
        <w:pStyle w:val="a4"/>
        <w:tabs>
          <w:tab w:val="left" w:pos="9658"/>
        </w:tabs>
        <w:ind w:firstLine="709"/>
        <w:jc w:val="both"/>
        <w:rPr>
          <w:lang w:val="uk-UA"/>
        </w:rPr>
      </w:pPr>
      <w:r w:rsidRPr="00042924">
        <w:rPr>
          <w:lang w:val="uk-UA"/>
        </w:rPr>
        <w:t xml:space="preserve"> </w:t>
      </w:r>
      <w:r w:rsidR="00D25AE7" w:rsidRPr="00042924">
        <w:rPr>
          <w:lang w:val="uk-UA"/>
        </w:rPr>
        <w:t>Проведений аналіз</w:t>
      </w:r>
      <w:r w:rsidR="00D74FAB" w:rsidRPr="00042924">
        <w:rPr>
          <w:lang w:val="uk-UA"/>
        </w:rPr>
        <w:t xml:space="preserve"> </w:t>
      </w:r>
      <w:r w:rsidR="00D25AE7" w:rsidRPr="00042924">
        <w:rPr>
          <w:lang w:val="uk-UA"/>
        </w:rPr>
        <w:t>показує, що в сучасній літературі немає універсального визначення</w:t>
      </w:r>
      <w:r w:rsidR="00CC2E31" w:rsidRPr="00042924">
        <w:rPr>
          <w:lang w:val="uk-UA"/>
        </w:rPr>
        <w:t xml:space="preserve"> </w:t>
      </w:r>
      <w:r w:rsidR="00D25AE7" w:rsidRPr="00042924">
        <w:rPr>
          <w:lang w:val="uk-UA"/>
        </w:rPr>
        <w:t>банкрутства</w:t>
      </w:r>
      <w:r w:rsidR="00CC2E31" w:rsidRPr="00042924">
        <w:rPr>
          <w:lang w:val="uk-UA"/>
        </w:rPr>
        <w:t xml:space="preserve"> підприємства</w:t>
      </w:r>
      <w:r w:rsidR="00D25AE7" w:rsidRPr="00042924">
        <w:rPr>
          <w:lang w:val="uk-UA"/>
        </w:rPr>
        <w:t>. Навпаки, кожен автор формує власну інтерпретацію банкрутства відповідно до предмета свого дослідження.</w:t>
      </w:r>
    </w:p>
    <w:p w14:paraId="749E3FBE" w14:textId="77777777" w:rsidR="00D25AE7" w:rsidRPr="00042924" w:rsidRDefault="00D25AE7" w:rsidP="00D60F8E">
      <w:pPr>
        <w:pStyle w:val="a4"/>
        <w:tabs>
          <w:tab w:val="left" w:pos="9658"/>
        </w:tabs>
        <w:ind w:firstLine="709"/>
        <w:jc w:val="both"/>
        <w:rPr>
          <w:lang w:val="uk-UA"/>
        </w:rPr>
      </w:pPr>
      <w:r w:rsidRPr="00042924">
        <w:rPr>
          <w:lang w:val="uk-UA"/>
        </w:rPr>
        <w:t>Про це свідчать різноманітні погляди на визначення банкрутства, надані в т</w:t>
      </w:r>
      <w:r w:rsidR="00D74FAB" w:rsidRPr="00042924">
        <w:rPr>
          <w:lang w:val="uk-UA"/>
        </w:rPr>
        <w:t>абл.1.1</w:t>
      </w:r>
      <w:r w:rsidRPr="00042924">
        <w:rPr>
          <w:lang w:val="uk-UA"/>
        </w:rPr>
        <w:t xml:space="preserve">. </w:t>
      </w:r>
      <w:r w:rsidR="00D60F8E" w:rsidRPr="00042924">
        <w:rPr>
          <w:lang w:val="uk-UA"/>
        </w:rPr>
        <w:t>Юридичн</w:t>
      </w:r>
      <w:r w:rsidR="00661951" w:rsidRPr="00042924">
        <w:rPr>
          <w:lang w:val="uk-UA"/>
        </w:rPr>
        <w:t>ий</w:t>
      </w:r>
      <w:r w:rsidR="00D60F8E" w:rsidRPr="00042924">
        <w:rPr>
          <w:lang w:val="uk-UA"/>
        </w:rPr>
        <w:t xml:space="preserve"> п</w:t>
      </w:r>
      <w:r w:rsidR="00F04AD1" w:rsidRPr="00042924">
        <w:rPr>
          <w:lang w:val="uk-UA"/>
        </w:rPr>
        <w:t>ідх</w:t>
      </w:r>
      <w:r w:rsidR="00661951" w:rsidRPr="00042924">
        <w:rPr>
          <w:lang w:val="uk-UA"/>
        </w:rPr>
        <w:t>ід</w:t>
      </w:r>
      <w:r w:rsidR="000125BA" w:rsidRPr="00042924">
        <w:rPr>
          <w:lang w:val="uk-UA"/>
        </w:rPr>
        <w:t xml:space="preserve"> </w:t>
      </w:r>
      <w:r w:rsidR="00CC2E31" w:rsidRPr="00042924">
        <w:rPr>
          <w:lang w:val="uk-UA"/>
        </w:rPr>
        <w:t xml:space="preserve">(за </w:t>
      </w:r>
      <w:r w:rsidR="00F04AD1" w:rsidRPr="00042924">
        <w:rPr>
          <w:lang w:val="uk-UA"/>
        </w:rPr>
        <w:t>Кодекс</w:t>
      </w:r>
      <w:r w:rsidR="00CC2E31" w:rsidRPr="00042924">
        <w:rPr>
          <w:lang w:val="uk-UA"/>
        </w:rPr>
        <w:t>ом</w:t>
      </w:r>
      <w:r w:rsidR="00F04AD1" w:rsidRPr="00042924">
        <w:rPr>
          <w:lang w:val="uk-UA"/>
        </w:rPr>
        <w:t xml:space="preserve"> України, </w:t>
      </w:r>
      <w:r w:rsidR="00001ADF" w:rsidRPr="00042924">
        <w:rPr>
          <w:lang w:val="uk-UA"/>
        </w:rPr>
        <w:t>О.О. Терещенк</w:t>
      </w:r>
      <w:r w:rsidR="00CC2E31" w:rsidRPr="00042924">
        <w:rPr>
          <w:lang w:val="uk-UA"/>
        </w:rPr>
        <w:t>о</w:t>
      </w:r>
      <w:r w:rsidR="00661951" w:rsidRPr="00042924">
        <w:rPr>
          <w:lang w:val="uk-UA"/>
        </w:rPr>
        <w:t xml:space="preserve"> [1]</w:t>
      </w:r>
      <w:r w:rsidR="003661E9" w:rsidRPr="00042924">
        <w:rPr>
          <w:lang w:val="uk-UA"/>
        </w:rPr>
        <w:t>, І.О. Бланк</w:t>
      </w:r>
      <w:r w:rsidR="00661951" w:rsidRPr="00042924">
        <w:rPr>
          <w:lang w:val="uk-UA"/>
        </w:rPr>
        <w:t xml:space="preserve"> [2]</w:t>
      </w:r>
      <w:r w:rsidR="003661E9" w:rsidRPr="00042924">
        <w:rPr>
          <w:lang w:val="uk-UA"/>
        </w:rPr>
        <w:t>, А.С. Яблонськ</w:t>
      </w:r>
      <w:r w:rsidR="007308BD" w:rsidRPr="00042924">
        <w:rPr>
          <w:lang w:val="uk-UA"/>
        </w:rPr>
        <w:t>а</w:t>
      </w:r>
      <w:r w:rsidR="00661951" w:rsidRPr="00042924">
        <w:rPr>
          <w:lang w:val="uk-UA"/>
        </w:rPr>
        <w:t xml:space="preserve"> [3]</w:t>
      </w:r>
      <w:r w:rsidR="007308BD" w:rsidRPr="00042924">
        <w:rPr>
          <w:lang w:val="uk-UA"/>
        </w:rPr>
        <w:t>)</w:t>
      </w:r>
      <w:r w:rsidRPr="00042924">
        <w:rPr>
          <w:lang w:val="uk-UA"/>
        </w:rPr>
        <w:t xml:space="preserve"> зосереджується на банкрутстві як формальному процесі, який розпочинається, коли боржник не може виконати фінансові зобов’язання, наголошуючи на неплатоспроможності, невиконанні вимог кредиторів/бюджету та встановленні через суд. Однак у цих визначеннях відсутній контекст щодо причин і не визнається роль банкрутства у вирішенні проблеми.</w:t>
      </w:r>
    </w:p>
    <w:p w14:paraId="76005388" w14:textId="77777777" w:rsidR="00D25AE7" w:rsidRPr="00042924" w:rsidRDefault="00540EC9" w:rsidP="00D60F8E">
      <w:pPr>
        <w:pStyle w:val="a4"/>
        <w:tabs>
          <w:tab w:val="left" w:pos="9658"/>
        </w:tabs>
        <w:ind w:firstLine="709"/>
        <w:jc w:val="both"/>
        <w:rPr>
          <w:lang w:val="uk-UA"/>
        </w:rPr>
      </w:pPr>
      <w:r w:rsidRPr="00042924">
        <w:rPr>
          <w:lang w:val="uk-UA"/>
        </w:rPr>
        <w:t>Дослідники, що поділяють фінансовий підхід до тлумачення банкрутства</w:t>
      </w:r>
      <w:r w:rsidR="00675F29" w:rsidRPr="00042924">
        <w:rPr>
          <w:lang w:val="uk-UA"/>
        </w:rPr>
        <w:t xml:space="preserve"> </w:t>
      </w:r>
      <w:r w:rsidRPr="00042924">
        <w:rPr>
          <w:lang w:val="uk-UA"/>
        </w:rPr>
        <w:t>(</w:t>
      </w:r>
      <w:r w:rsidR="00675F29" w:rsidRPr="00042924">
        <w:rPr>
          <w:color w:val="231F20"/>
          <w:lang w:val="uk-UA"/>
        </w:rPr>
        <w:t>О.Л.</w:t>
      </w:r>
      <w:r w:rsidR="00675F29" w:rsidRPr="00042924">
        <w:rPr>
          <w:color w:val="231F20"/>
          <w:spacing w:val="-1"/>
          <w:lang w:val="uk-UA"/>
        </w:rPr>
        <w:t xml:space="preserve"> </w:t>
      </w:r>
      <w:r w:rsidR="00675F29" w:rsidRPr="00042924">
        <w:rPr>
          <w:color w:val="231F20"/>
          <w:lang w:val="uk-UA"/>
        </w:rPr>
        <w:t>Пластун</w:t>
      </w:r>
      <w:r w:rsidR="009A6E50" w:rsidRPr="00042924">
        <w:rPr>
          <w:color w:val="231F20"/>
          <w:lang w:val="uk-UA"/>
        </w:rPr>
        <w:t xml:space="preserve"> [4]</w:t>
      </w:r>
      <w:r w:rsidR="00675F29" w:rsidRPr="00042924">
        <w:rPr>
          <w:color w:val="231F20"/>
          <w:lang w:val="uk-UA"/>
        </w:rPr>
        <w:t>, Н.А.</w:t>
      </w:r>
      <w:r w:rsidR="00675F29" w:rsidRPr="00042924">
        <w:rPr>
          <w:color w:val="231F20"/>
          <w:spacing w:val="-11"/>
          <w:lang w:val="uk-UA"/>
        </w:rPr>
        <w:t xml:space="preserve"> </w:t>
      </w:r>
      <w:r w:rsidR="00675F29" w:rsidRPr="00042924">
        <w:rPr>
          <w:color w:val="231F20"/>
          <w:lang w:val="uk-UA"/>
        </w:rPr>
        <w:t>Голощапов</w:t>
      </w:r>
      <w:r w:rsidR="009A6E50" w:rsidRPr="00042924">
        <w:rPr>
          <w:color w:val="231F20"/>
          <w:lang w:val="uk-UA"/>
        </w:rPr>
        <w:t xml:space="preserve"> [5]</w:t>
      </w:r>
      <w:r w:rsidR="00675F29" w:rsidRPr="00042924">
        <w:rPr>
          <w:color w:val="231F20"/>
          <w:lang w:val="uk-UA"/>
        </w:rPr>
        <w:t>, О.Я.</w:t>
      </w:r>
      <w:r w:rsidR="00675F29" w:rsidRPr="00042924">
        <w:rPr>
          <w:color w:val="231F20"/>
          <w:spacing w:val="-10"/>
          <w:lang w:val="uk-UA"/>
        </w:rPr>
        <w:t xml:space="preserve"> </w:t>
      </w:r>
      <w:r w:rsidR="00675F29" w:rsidRPr="00042924">
        <w:rPr>
          <w:color w:val="231F20"/>
          <w:lang w:val="uk-UA"/>
        </w:rPr>
        <w:t>Базілінськ</w:t>
      </w:r>
      <w:r w:rsidRPr="00042924">
        <w:rPr>
          <w:color w:val="231F20"/>
          <w:lang w:val="uk-UA"/>
        </w:rPr>
        <w:t>ий</w:t>
      </w:r>
      <w:r w:rsidR="009A6E50" w:rsidRPr="00042924">
        <w:rPr>
          <w:color w:val="231F20"/>
          <w:lang w:val="uk-UA"/>
        </w:rPr>
        <w:t xml:space="preserve"> [6] та</w:t>
      </w:r>
      <w:r w:rsidR="00675F29" w:rsidRPr="00042924">
        <w:rPr>
          <w:color w:val="231F20"/>
          <w:lang w:val="uk-UA"/>
        </w:rPr>
        <w:t xml:space="preserve"> </w:t>
      </w:r>
      <w:r w:rsidR="00C1329C" w:rsidRPr="00042924">
        <w:rPr>
          <w:color w:val="231F20"/>
          <w:lang w:val="uk-UA"/>
        </w:rPr>
        <w:t>Є.М.</w:t>
      </w:r>
      <w:r w:rsidR="00C1329C" w:rsidRPr="00042924">
        <w:rPr>
          <w:color w:val="231F20"/>
          <w:spacing w:val="-5"/>
          <w:lang w:val="uk-UA"/>
        </w:rPr>
        <w:t xml:space="preserve"> </w:t>
      </w:r>
      <w:r w:rsidR="00C1329C" w:rsidRPr="00042924">
        <w:rPr>
          <w:color w:val="231F20"/>
          <w:lang w:val="uk-UA"/>
        </w:rPr>
        <w:t>Адрущак</w:t>
      </w:r>
      <w:r w:rsidR="009A6E50" w:rsidRPr="00042924">
        <w:rPr>
          <w:color w:val="231F20"/>
          <w:lang w:val="uk-UA"/>
        </w:rPr>
        <w:t xml:space="preserve"> [7]</w:t>
      </w:r>
      <w:r w:rsidRPr="00042924">
        <w:rPr>
          <w:color w:val="231F20"/>
          <w:lang w:val="uk-UA"/>
        </w:rPr>
        <w:t>)</w:t>
      </w:r>
      <w:r w:rsidR="00E43176" w:rsidRPr="00042924">
        <w:rPr>
          <w:lang w:val="uk-UA"/>
        </w:rPr>
        <w:t xml:space="preserve"> </w:t>
      </w:r>
      <w:r w:rsidR="00D25AE7" w:rsidRPr="00042924">
        <w:rPr>
          <w:lang w:val="uk-UA"/>
        </w:rPr>
        <w:t>бачить банкрутство через погане управління, кризу чи фактори зовнішнього середовища. Але тут не враховуються формально-юридичні аспекти.</w:t>
      </w:r>
    </w:p>
    <w:p w14:paraId="05917DD3" w14:textId="77777777" w:rsidR="00D25AE7" w:rsidRPr="00042924" w:rsidRDefault="00D25AE7" w:rsidP="00D60F8E">
      <w:pPr>
        <w:pStyle w:val="a4"/>
        <w:tabs>
          <w:tab w:val="left" w:pos="9658"/>
        </w:tabs>
        <w:ind w:firstLine="709"/>
        <w:jc w:val="both"/>
        <w:rPr>
          <w:lang w:val="uk-UA"/>
        </w:rPr>
      </w:pPr>
      <w:r w:rsidRPr="00042924">
        <w:rPr>
          <w:lang w:val="uk-UA"/>
        </w:rPr>
        <w:t>Точка зору ринкової економіки</w:t>
      </w:r>
      <w:r w:rsidR="00640CA0" w:rsidRPr="00042924">
        <w:rPr>
          <w:lang w:val="uk-UA"/>
        </w:rPr>
        <w:t xml:space="preserve"> </w:t>
      </w:r>
      <w:r w:rsidR="005E358D" w:rsidRPr="00042924">
        <w:rPr>
          <w:lang w:val="uk-UA"/>
        </w:rPr>
        <w:t>(</w:t>
      </w:r>
      <w:r w:rsidR="00640CA0" w:rsidRPr="00042924">
        <w:rPr>
          <w:lang w:val="uk-UA"/>
        </w:rPr>
        <w:t>Г. Ляшенк</w:t>
      </w:r>
      <w:r w:rsidR="005E358D" w:rsidRPr="00042924">
        <w:rPr>
          <w:lang w:val="uk-UA"/>
        </w:rPr>
        <w:t>о</w:t>
      </w:r>
      <w:r w:rsidR="00640CA0" w:rsidRPr="00042924">
        <w:rPr>
          <w:lang w:val="uk-UA"/>
        </w:rPr>
        <w:t xml:space="preserve"> [8], Р. Брелі та С. Майерс [9]</w:t>
      </w:r>
      <w:r w:rsidR="005E358D" w:rsidRPr="00042924">
        <w:rPr>
          <w:lang w:val="uk-UA"/>
        </w:rPr>
        <w:t>)</w:t>
      </w:r>
      <w:r w:rsidRPr="00042924">
        <w:rPr>
          <w:lang w:val="uk-UA"/>
        </w:rPr>
        <w:t xml:space="preserve"> забезпечує додатковий контекст, пов’язуючи банкрутство з ринковою дисципліною та свободою вибору. Однак він недостатньо розглядає юридичні процедури.</w:t>
      </w:r>
    </w:p>
    <w:p w14:paraId="3994AD0B" w14:textId="77777777" w:rsidR="00D25AE7" w:rsidRPr="00042924" w:rsidRDefault="000D7F8F" w:rsidP="007C0052">
      <w:pPr>
        <w:pStyle w:val="a4"/>
        <w:tabs>
          <w:tab w:val="left" w:pos="9658"/>
        </w:tabs>
        <w:ind w:firstLine="709"/>
        <w:jc w:val="both"/>
        <w:rPr>
          <w:lang w:val="uk-UA"/>
        </w:rPr>
      </w:pPr>
      <w:r w:rsidRPr="00042924">
        <w:rPr>
          <w:lang w:val="uk-UA"/>
        </w:rPr>
        <w:t xml:space="preserve">З нашої точки зору, сутність банкрутства полягає </w:t>
      </w:r>
      <w:r w:rsidR="007C0052" w:rsidRPr="00042924">
        <w:rPr>
          <w:lang w:val="uk-UA"/>
        </w:rPr>
        <w:t>судовому процесі для фізичних осіб і компаній, які не можуть виконати свої фінансові зобов’язання, що дозволяє списання боргу, реорганізацію або ліквідацію активів під наглядом суду</w:t>
      </w:r>
      <w:r w:rsidR="00D25AE7" w:rsidRPr="00042924">
        <w:rPr>
          <w:lang w:val="uk-UA"/>
        </w:rPr>
        <w:t xml:space="preserve">. </w:t>
      </w:r>
    </w:p>
    <w:p w14:paraId="17BF4AFA" w14:textId="77777777" w:rsidR="006C7F6B" w:rsidRPr="00042924" w:rsidRDefault="00D25AE7" w:rsidP="00D25AE7">
      <w:pPr>
        <w:pStyle w:val="a4"/>
        <w:tabs>
          <w:tab w:val="left" w:pos="9658"/>
        </w:tabs>
        <w:ind w:firstLine="709"/>
        <w:jc w:val="both"/>
        <w:rPr>
          <w:lang w:val="uk-UA"/>
        </w:rPr>
      </w:pPr>
      <w:r w:rsidRPr="00042924">
        <w:rPr>
          <w:lang w:val="uk-UA"/>
        </w:rPr>
        <w:t xml:space="preserve">Підводячи підсумок, хоча визначення збігаються у підкресленні неплатоспроможності та невиконаних зобов’язань, кожне має обмеження щодо повного охоплення правових, фінансових, економічних функцій та функцій банкрутства. Ідеальне визначення синтезувало б ці різноманітні точки зору в цілісну характеристику причин банкрутства, процесів і ролі в забезпеченні </w:t>
      </w:r>
      <w:r w:rsidRPr="00042924">
        <w:rPr>
          <w:lang w:val="uk-UA"/>
        </w:rPr>
        <w:lastRenderedPageBreak/>
        <w:t xml:space="preserve">врегулювання. </w:t>
      </w:r>
      <w:r w:rsidR="00CF63AA" w:rsidRPr="00042924">
        <w:rPr>
          <w:lang w:val="uk-UA"/>
        </w:rPr>
        <w:t xml:space="preserve">Наша інтерпретація сутності банкрутства є досить наближеною до ідеальної, проте </w:t>
      </w:r>
      <w:r w:rsidR="001717F7" w:rsidRPr="00042924">
        <w:rPr>
          <w:lang w:val="uk-UA"/>
        </w:rPr>
        <w:t xml:space="preserve">все ж </w:t>
      </w:r>
      <w:r w:rsidR="00841F06" w:rsidRPr="00042924">
        <w:rPr>
          <w:lang w:val="uk-UA"/>
        </w:rPr>
        <w:t xml:space="preserve">таки </w:t>
      </w:r>
      <w:r w:rsidR="00CF63AA" w:rsidRPr="00042924">
        <w:rPr>
          <w:lang w:val="uk-UA"/>
        </w:rPr>
        <w:t>має певні прогалини</w:t>
      </w:r>
      <w:r w:rsidRPr="00042924">
        <w:rPr>
          <w:lang w:val="uk-UA"/>
        </w:rPr>
        <w:t>. Загалом дискурс розкриває складну, багатогранну природу банкрутства.</w:t>
      </w:r>
    </w:p>
    <w:p w14:paraId="20AC1357" w14:textId="77777777" w:rsidR="006C7F6B" w:rsidRPr="00042924" w:rsidRDefault="006C7F6B" w:rsidP="006C7F6B">
      <w:pPr>
        <w:pStyle w:val="a4"/>
        <w:tabs>
          <w:tab w:val="left" w:pos="9658"/>
        </w:tabs>
        <w:ind w:firstLine="709"/>
        <w:jc w:val="both"/>
        <w:rPr>
          <w:lang w:val="uk-UA"/>
        </w:rPr>
      </w:pPr>
      <w:r w:rsidRPr="00042924">
        <w:rPr>
          <w:lang w:val="uk-UA"/>
        </w:rPr>
        <w:t>Що стосується класифікації видів банкрутства, то на сьогоднішній день загальноприйнятої класифікації немає. Тим не менш, деякі вчені, зокрема В. Доній, В. Шило, С. Ільїна, В. Барабанова, І. Криштопа, виділяють такі види банкрутства, як реальне, технічне, навмисне та фіктивне. Заслуговують на увагу відмінності в тлумаченні навмисного банкрутства. Якщо В. Доній вказує на його наявність, то В. Шило, С. Ільїна, В. Барабанова та І. Криштопа поділяють навмисне банкрутство на дві категорії. З одного боку, це розглядається як навмисне приховування стійкої фінансової неспроможності шляхом надання неправдивої інформації. З іншого боку, це охоплює навмисне створення або посилення неплатоспроможності керівниками або власниками компанії, що потенційно може завдати економічної шкоди їхнім інтересам або інтересам інших сторін</w:t>
      </w:r>
      <w:r w:rsidR="00D7438C">
        <w:rPr>
          <w:lang w:val="uk-UA"/>
        </w:rPr>
        <w:t xml:space="preserve"> </w:t>
      </w:r>
      <w:r w:rsidR="00CB0CF2" w:rsidRPr="00042924">
        <w:rPr>
          <w:lang w:val="uk-UA"/>
        </w:rPr>
        <w:t>[</w:t>
      </w:r>
      <w:r w:rsidR="00276DC8" w:rsidRPr="00042924">
        <w:rPr>
          <w:lang w:val="uk-UA"/>
        </w:rPr>
        <w:t>13</w:t>
      </w:r>
      <w:r w:rsidR="00CB0CF2" w:rsidRPr="00042924">
        <w:rPr>
          <w:lang w:val="uk-UA"/>
        </w:rPr>
        <w:t>]</w:t>
      </w:r>
      <w:r w:rsidR="00D7438C">
        <w:rPr>
          <w:lang w:val="uk-UA"/>
        </w:rPr>
        <w:t>.</w:t>
      </w:r>
    </w:p>
    <w:p w14:paraId="046EC521" w14:textId="77777777" w:rsidR="006C7F6B" w:rsidRPr="00042924" w:rsidRDefault="00D826C4" w:rsidP="006C7F6B">
      <w:pPr>
        <w:pStyle w:val="a4"/>
        <w:tabs>
          <w:tab w:val="left" w:pos="9658"/>
        </w:tabs>
        <w:ind w:firstLine="709"/>
        <w:jc w:val="both"/>
        <w:rPr>
          <w:lang w:val="uk-UA"/>
        </w:rPr>
      </w:pPr>
      <w:r>
        <w:rPr>
          <w:lang w:val="uk-UA"/>
        </w:rPr>
        <w:t>«</w:t>
      </w:r>
      <w:r w:rsidR="006C7F6B" w:rsidRPr="00042924">
        <w:rPr>
          <w:lang w:val="uk-UA"/>
        </w:rPr>
        <w:t>У науковій літературі зазвичай розглядаються наступні види банкрутства</w:t>
      </w:r>
      <w:r w:rsidR="00273B88" w:rsidRPr="00042924">
        <w:rPr>
          <w:lang w:val="uk-UA"/>
        </w:rPr>
        <w:t xml:space="preserve"> </w:t>
      </w:r>
      <w:r w:rsidR="006C7F6B" w:rsidRPr="00042924">
        <w:rPr>
          <w:lang w:val="uk-UA"/>
        </w:rPr>
        <w:t>:</w:t>
      </w:r>
    </w:p>
    <w:p w14:paraId="288D3245" w14:textId="77777777" w:rsidR="006C7F6B" w:rsidRPr="00042924" w:rsidRDefault="00F37E5C" w:rsidP="00F37E5C">
      <w:pPr>
        <w:pStyle w:val="a4"/>
        <w:tabs>
          <w:tab w:val="left" w:pos="9658"/>
        </w:tabs>
        <w:ind w:firstLine="709"/>
        <w:jc w:val="both"/>
        <w:rPr>
          <w:lang w:val="uk-UA"/>
        </w:rPr>
      </w:pPr>
      <w:r w:rsidRPr="00042924">
        <w:rPr>
          <w:lang w:val="uk-UA"/>
        </w:rPr>
        <w:t xml:space="preserve">1. </w:t>
      </w:r>
      <w:r w:rsidR="006C7F6B" w:rsidRPr="00042924">
        <w:rPr>
          <w:lang w:val="uk-UA"/>
        </w:rPr>
        <w:t>Справжнє банкрутство: означає повну неспроможність підприємств відновити фінансову стабільність і платоспроможність у доступному для огляду майбутньому, що часто супроводжується справжніми втратами капіталу.</w:t>
      </w:r>
    </w:p>
    <w:p w14:paraId="4BCE4C25" w14:textId="77777777" w:rsidR="006C7F6B" w:rsidRPr="00042924" w:rsidRDefault="00F37E5C" w:rsidP="006C7F6B">
      <w:pPr>
        <w:pStyle w:val="a4"/>
        <w:tabs>
          <w:tab w:val="left" w:pos="9658"/>
        </w:tabs>
        <w:ind w:firstLine="709"/>
        <w:jc w:val="both"/>
        <w:rPr>
          <w:lang w:val="uk-UA"/>
        </w:rPr>
      </w:pPr>
      <w:r w:rsidRPr="00042924">
        <w:rPr>
          <w:lang w:val="uk-UA"/>
        </w:rPr>
        <w:t xml:space="preserve">2. </w:t>
      </w:r>
      <w:r w:rsidR="006C7F6B" w:rsidRPr="00042924">
        <w:rPr>
          <w:lang w:val="uk-UA"/>
        </w:rPr>
        <w:t>Технічне банкрутство: характеризується неплатоспроможністю внаслідок значних затримок дебіторської заборгованості та перевищення цього боргу над кредиторською, навіть якщо сума активів значно перевищує фінансові зобов’язання.</w:t>
      </w:r>
    </w:p>
    <w:p w14:paraId="444C016E" w14:textId="77777777" w:rsidR="006C7F6B" w:rsidRPr="00042924" w:rsidRDefault="00F37E5C" w:rsidP="006C7F6B">
      <w:pPr>
        <w:pStyle w:val="a4"/>
        <w:tabs>
          <w:tab w:val="left" w:pos="9658"/>
        </w:tabs>
        <w:ind w:firstLine="709"/>
        <w:jc w:val="both"/>
        <w:rPr>
          <w:lang w:val="uk-UA"/>
        </w:rPr>
      </w:pPr>
      <w:r w:rsidRPr="00042924">
        <w:rPr>
          <w:lang w:val="uk-UA"/>
        </w:rPr>
        <w:t xml:space="preserve">3. </w:t>
      </w:r>
      <w:r w:rsidR="006C7F6B" w:rsidRPr="00042924">
        <w:rPr>
          <w:lang w:val="uk-UA"/>
        </w:rPr>
        <w:t>Навмисне банкрутство: передбачає неплатоспроможність, спричинену поширенням недостовірної фінансової інформації, діями, що завдають економічної шкоди особистим інтересам або інтересам третіх сторін, і навмисно некомпетентним фінансовим управлінням.</w:t>
      </w:r>
    </w:p>
    <w:p w14:paraId="32DFB892" w14:textId="77777777" w:rsidR="006C7F6B" w:rsidRPr="00042924" w:rsidRDefault="00F37E5C" w:rsidP="006C7F6B">
      <w:pPr>
        <w:pStyle w:val="a4"/>
        <w:tabs>
          <w:tab w:val="left" w:pos="9658"/>
        </w:tabs>
        <w:ind w:firstLine="709"/>
        <w:jc w:val="both"/>
        <w:rPr>
          <w:lang w:val="uk-UA"/>
        </w:rPr>
      </w:pPr>
      <w:r w:rsidRPr="00042924">
        <w:rPr>
          <w:lang w:val="uk-UA"/>
        </w:rPr>
        <w:t>4.</w:t>
      </w:r>
      <w:r w:rsidR="0084266A" w:rsidRPr="00042924">
        <w:rPr>
          <w:lang w:val="uk-UA"/>
        </w:rPr>
        <w:t xml:space="preserve"> </w:t>
      </w:r>
      <w:r w:rsidR="006C7F6B" w:rsidRPr="00042924">
        <w:rPr>
          <w:lang w:val="uk-UA"/>
        </w:rPr>
        <w:t>Фіктивне банкрутство: залучає компанії, які заздалегідь неправдиво заявляють про свою неплатоспроможність з метою обману кредиторів, щоб отримати подовжені терміни погашення боргу або знижки на суми заборгованості.</w:t>
      </w:r>
      <w:r w:rsidR="0084266A" w:rsidRPr="00042924">
        <w:rPr>
          <w:lang w:val="uk-UA"/>
        </w:rPr>
        <w:t xml:space="preserve"> </w:t>
      </w:r>
    </w:p>
    <w:p w14:paraId="4BB88A30" w14:textId="77777777" w:rsidR="00115D14" w:rsidRPr="00042924" w:rsidRDefault="006C7F6B" w:rsidP="006C7F6B">
      <w:pPr>
        <w:pStyle w:val="a4"/>
        <w:tabs>
          <w:tab w:val="left" w:pos="9658"/>
        </w:tabs>
        <w:ind w:firstLine="709"/>
        <w:jc w:val="both"/>
        <w:rPr>
          <w:lang w:val="uk-UA"/>
        </w:rPr>
      </w:pPr>
      <w:r w:rsidRPr="00042924">
        <w:rPr>
          <w:lang w:val="uk-UA"/>
        </w:rPr>
        <w:t>Ця класифікація пояснює складнощі, властиві визначенню та класифікації банкрутства в багатогранній сфері аналізу фінансів і бізнесу</w:t>
      </w:r>
      <w:r w:rsidR="00D826C4">
        <w:rPr>
          <w:lang w:val="uk-UA"/>
        </w:rPr>
        <w:t>»</w:t>
      </w:r>
      <w:r w:rsidR="00AA4E6B" w:rsidRPr="00042924">
        <w:rPr>
          <w:lang w:val="uk-UA"/>
        </w:rPr>
        <w:t xml:space="preserve"> [14]</w:t>
      </w:r>
      <w:r w:rsidRPr="00042924">
        <w:rPr>
          <w:lang w:val="uk-UA"/>
        </w:rPr>
        <w:t>.</w:t>
      </w:r>
    </w:p>
    <w:p w14:paraId="019A226B" w14:textId="77777777" w:rsidR="006C3F83" w:rsidRPr="00042924" w:rsidRDefault="006C3F83" w:rsidP="006C3F83">
      <w:pPr>
        <w:pStyle w:val="a4"/>
        <w:tabs>
          <w:tab w:val="left" w:pos="9658"/>
        </w:tabs>
        <w:ind w:firstLine="709"/>
        <w:jc w:val="both"/>
        <w:rPr>
          <w:lang w:val="uk-UA"/>
        </w:rPr>
      </w:pPr>
      <w:r w:rsidRPr="00042924">
        <w:rPr>
          <w:lang w:val="uk-UA"/>
        </w:rPr>
        <w:t>Економічні виклики, що виникають під час процесів банкрутства підприємств, охоплюють низку критичних питань. Ці проблеми включають падіння попиту на продукцію цих підприємств, скорочення виробничих потужностей, зростання заборгованості перед постачальниками, державним бюджетом та банками, затримку виплати заробітної плати працівникам та непередбачувані зрушення в загальній економічній ситуації. Цей збіг факторів призводить до втрати традиційних ринків для їхньої продукції, породжує соціально-економічну нестабільність, потребує постійного коригування законодавчої бази та спонукає до змін у політичних системах і ширшій економічній структурі.</w:t>
      </w:r>
    </w:p>
    <w:p w14:paraId="11270138" w14:textId="77777777" w:rsidR="006C3F83" w:rsidRPr="00042924" w:rsidRDefault="006C3F83" w:rsidP="006C3F83">
      <w:pPr>
        <w:pStyle w:val="a4"/>
        <w:tabs>
          <w:tab w:val="left" w:pos="9658"/>
        </w:tabs>
        <w:ind w:firstLine="709"/>
        <w:jc w:val="both"/>
        <w:rPr>
          <w:lang w:val="uk-UA"/>
        </w:rPr>
      </w:pPr>
      <w:r w:rsidRPr="00042924">
        <w:rPr>
          <w:lang w:val="uk-UA"/>
        </w:rPr>
        <w:t xml:space="preserve">Важливо визнати, що такий стан речей не є лише побічним продуктом світової кризи, яка торкнулася й України. Розвитку економічної кризи та згодом банкрутству підприємств можуть сприяти численні фактори. Ці фактори можуть бути як зовнішніми, такими як рівень інфляції, нестабільність податкового законодавства, коливання фінансового та валютного ринків, посилення галузевої </w:t>
      </w:r>
      <w:r w:rsidRPr="00042924">
        <w:rPr>
          <w:lang w:val="uk-UA"/>
        </w:rPr>
        <w:lastRenderedPageBreak/>
        <w:t>конкуренції та дефіцит кредитних ресурсів, так і внутрішніми, включаючи втрату клієнтської бази, нестабільні виробничі цикли, зростання операційної діяльності</w:t>
      </w:r>
      <w:r w:rsidR="001C43D8" w:rsidRPr="00042924">
        <w:rPr>
          <w:lang w:val="uk-UA"/>
        </w:rPr>
        <w:t>,</w:t>
      </w:r>
      <w:r w:rsidRPr="00042924">
        <w:rPr>
          <w:lang w:val="uk-UA"/>
        </w:rPr>
        <w:t xml:space="preserve"> витрати, зниження ефективності праці, зменшення інвестицій у оновлення, модернізацію та інноваційні дослідження тощо. Разом ці елементи утворюють складну мережу причинно-наслідкових зв’язків.</w:t>
      </w:r>
    </w:p>
    <w:p w14:paraId="20668A7A" w14:textId="77777777" w:rsidR="005E2AE1" w:rsidRPr="00042924" w:rsidRDefault="004F7FBC" w:rsidP="005E2AE1">
      <w:pPr>
        <w:pStyle w:val="a4"/>
        <w:tabs>
          <w:tab w:val="left" w:pos="9658"/>
        </w:tabs>
        <w:ind w:firstLine="709"/>
        <w:jc w:val="both"/>
        <w:rPr>
          <w:lang w:val="uk-UA"/>
        </w:rPr>
      </w:pPr>
      <w:r w:rsidRPr="00042924">
        <w:rPr>
          <w:lang w:val="uk-UA"/>
        </w:rPr>
        <w:t xml:space="preserve">Відповідно до поглядів інших авторів </w:t>
      </w:r>
      <w:r w:rsidR="001E7855" w:rsidRPr="00042924">
        <w:rPr>
          <w:color w:val="000000"/>
          <w:sz w:val="27"/>
          <w:szCs w:val="27"/>
          <w:lang w:val="uk-UA"/>
        </w:rPr>
        <w:t>Т.Є. Кучеренко, В.С. Уланчук, О.Г. Шайко</w:t>
      </w:r>
      <w:r w:rsidR="001E7855" w:rsidRPr="00042924">
        <w:rPr>
          <w:lang w:val="uk-UA"/>
        </w:rPr>
        <w:t xml:space="preserve"> </w:t>
      </w:r>
      <w:r w:rsidRPr="00042924">
        <w:rPr>
          <w:lang w:val="uk-UA"/>
        </w:rPr>
        <w:t xml:space="preserve">[11] та розширюючи їхні погляди, спостерігаємо, що ці окреслені чинники в сукупності створюють економічні умови, які схиляють підприємства до банкрутства в сучасній вітчизняній економіці. Поглиблене вивчення як наукових досліджень, так і практичної літератури виявляє відсутність консенсусу щодо факторів, що лежать в основі фінансової неспроможності бізнесу. Ця різноманітність точок зору очевидна в таблиці 1.2. Важливо зазначити, що </w:t>
      </w:r>
      <w:r w:rsidR="00341E3C" w:rsidRPr="00042924">
        <w:rPr>
          <w:lang w:val="uk-UA"/>
        </w:rPr>
        <w:t xml:space="preserve">конкретні причини банкрутства підприємств можуть суттєво відрізнятися залежно від країни, галузі, розміру та інших чинників. </w:t>
      </w:r>
      <w:r w:rsidR="00D801AB" w:rsidRPr="00042924">
        <w:rPr>
          <w:lang w:val="uk-UA"/>
        </w:rPr>
        <w:t>Тому доцільно</w:t>
      </w:r>
      <w:r w:rsidR="00341E3C" w:rsidRPr="00042924">
        <w:rPr>
          <w:lang w:val="uk-UA"/>
        </w:rPr>
        <w:t xml:space="preserve"> дослідити нові причини, пов’язані зі світовою економікою та міжнародною взаємодією, а також проаналізувати внутрішні фактори банкрутства й класифікувати ці причини.</w:t>
      </w:r>
    </w:p>
    <w:p w14:paraId="18DB3417" w14:textId="77777777" w:rsidR="004F7FBC" w:rsidRPr="00042924" w:rsidRDefault="004F7FBC" w:rsidP="005E2AE1">
      <w:pPr>
        <w:pStyle w:val="a4"/>
        <w:tabs>
          <w:tab w:val="left" w:pos="9658"/>
        </w:tabs>
        <w:ind w:firstLine="709"/>
        <w:jc w:val="both"/>
        <w:rPr>
          <w:lang w:val="uk-UA"/>
        </w:rPr>
      </w:pPr>
    </w:p>
    <w:p w14:paraId="2C6A164F" w14:textId="77777777" w:rsidR="001E3DF8" w:rsidRPr="00042924" w:rsidRDefault="00913EB4" w:rsidP="0048282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Таблиця 1.</w:t>
      </w:r>
      <w:r w:rsidR="007C2D00" w:rsidRPr="00042924">
        <w:rPr>
          <w:rFonts w:ascii="Times New Roman" w:hAnsi="Times New Roman" w:cs="Times New Roman"/>
          <w:sz w:val="28"/>
          <w:szCs w:val="28"/>
          <w:lang w:val="uk-UA"/>
        </w:rPr>
        <w:t>2</w:t>
      </w:r>
      <w:r w:rsidRPr="00042924">
        <w:rPr>
          <w:rFonts w:ascii="Times New Roman" w:hAnsi="Times New Roman" w:cs="Times New Roman"/>
          <w:sz w:val="28"/>
          <w:szCs w:val="28"/>
          <w:lang w:val="uk-UA"/>
        </w:rPr>
        <w:t xml:space="preserve"> - </w:t>
      </w:r>
      <w:r w:rsidR="001E3DF8" w:rsidRPr="00042924">
        <w:rPr>
          <w:rFonts w:ascii="Times New Roman" w:hAnsi="Times New Roman" w:cs="Times New Roman"/>
          <w:sz w:val="28"/>
          <w:szCs w:val="28"/>
          <w:lang w:val="uk-UA"/>
        </w:rPr>
        <w:t xml:space="preserve">Різноманітність підходів дослідників до класифікації причин банкрутства </w:t>
      </w:r>
      <w:r w:rsidR="009F1F0F" w:rsidRPr="00042924">
        <w:rPr>
          <w:rFonts w:ascii="Times New Roman" w:hAnsi="Times New Roman" w:cs="Times New Roman"/>
          <w:sz w:val="28"/>
          <w:szCs w:val="28"/>
          <w:lang w:val="uk-UA"/>
        </w:rPr>
        <w:t>підприємств</w:t>
      </w:r>
    </w:p>
    <w:tbl>
      <w:tblPr>
        <w:tblStyle w:val="a6"/>
        <w:tblW w:w="0" w:type="auto"/>
        <w:tblCellMar>
          <w:top w:w="113" w:type="dxa"/>
          <w:left w:w="113" w:type="dxa"/>
          <w:bottom w:w="113" w:type="dxa"/>
          <w:right w:w="113" w:type="dxa"/>
        </w:tblCellMar>
        <w:tblLook w:val="04A0" w:firstRow="1" w:lastRow="0" w:firstColumn="1" w:lastColumn="0" w:noHBand="0" w:noVBand="1"/>
      </w:tblPr>
      <w:tblGrid>
        <w:gridCol w:w="1980"/>
        <w:gridCol w:w="7931"/>
      </w:tblGrid>
      <w:tr w:rsidR="009B6165" w:rsidRPr="00042924" w14:paraId="079EFE90" w14:textId="77777777" w:rsidTr="00641283">
        <w:tc>
          <w:tcPr>
            <w:tcW w:w="1980" w:type="dxa"/>
            <w:vAlign w:val="center"/>
          </w:tcPr>
          <w:p w14:paraId="7CE69C84" w14:textId="77777777" w:rsidR="00CC34CE" w:rsidRPr="00042924" w:rsidRDefault="00CC34CE" w:rsidP="00271C44">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Дослідник</w:t>
            </w:r>
          </w:p>
        </w:tc>
        <w:tc>
          <w:tcPr>
            <w:tcW w:w="7931" w:type="dxa"/>
            <w:vAlign w:val="center"/>
          </w:tcPr>
          <w:p w14:paraId="360F64E9" w14:textId="77777777" w:rsidR="00CC34CE" w:rsidRPr="00042924" w:rsidRDefault="00D5093F" w:rsidP="00271C44">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Класифікація</w:t>
            </w:r>
          </w:p>
        </w:tc>
      </w:tr>
      <w:tr w:rsidR="009B6165" w:rsidRPr="00BE6C60" w14:paraId="5430FA34" w14:textId="77777777" w:rsidTr="00641283">
        <w:tc>
          <w:tcPr>
            <w:tcW w:w="1980" w:type="dxa"/>
            <w:vAlign w:val="center"/>
          </w:tcPr>
          <w:p w14:paraId="79988B76" w14:textId="77777777" w:rsidR="00D5093F" w:rsidRPr="00042924" w:rsidRDefault="00D5093F" w:rsidP="00271C44">
            <w:pPr>
              <w:pStyle w:val="TableParagraph"/>
              <w:jc w:val="center"/>
              <w:rPr>
                <w:color w:val="000000" w:themeColor="text1"/>
                <w:sz w:val="20"/>
                <w:szCs w:val="20"/>
                <w:lang w:val="uk-UA"/>
              </w:rPr>
            </w:pPr>
            <w:r w:rsidRPr="00042924">
              <w:rPr>
                <w:color w:val="000000" w:themeColor="text1"/>
                <w:sz w:val="20"/>
                <w:szCs w:val="20"/>
                <w:lang w:val="uk-UA"/>
              </w:rPr>
              <w:t>Фурман Т. Ю.,</w:t>
            </w:r>
            <w:r w:rsidRPr="00042924">
              <w:rPr>
                <w:color w:val="000000" w:themeColor="text1"/>
                <w:spacing w:val="1"/>
                <w:sz w:val="20"/>
                <w:szCs w:val="20"/>
                <w:lang w:val="uk-UA"/>
              </w:rPr>
              <w:t xml:space="preserve"> </w:t>
            </w:r>
            <w:r w:rsidRPr="00042924">
              <w:rPr>
                <w:color w:val="000000" w:themeColor="text1"/>
                <w:sz w:val="20"/>
                <w:szCs w:val="20"/>
                <w:lang w:val="uk-UA"/>
              </w:rPr>
              <w:t>Прокопович</w:t>
            </w:r>
            <w:r w:rsidRPr="00042924">
              <w:rPr>
                <w:color w:val="000000" w:themeColor="text1"/>
                <w:spacing w:val="-10"/>
                <w:sz w:val="20"/>
                <w:szCs w:val="20"/>
                <w:lang w:val="uk-UA"/>
              </w:rPr>
              <w:t xml:space="preserve"> </w:t>
            </w:r>
            <w:r w:rsidRPr="00042924">
              <w:rPr>
                <w:color w:val="000000" w:themeColor="text1"/>
                <w:sz w:val="20"/>
                <w:szCs w:val="20"/>
                <w:lang w:val="uk-UA"/>
              </w:rPr>
              <w:t>Н.</w:t>
            </w:r>
            <w:r w:rsidRPr="00042924">
              <w:rPr>
                <w:color w:val="000000" w:themeColor="text1"/>
                <w:spacing w:val="-9"/>
                <w:sz w:val="20"/>
                <w:szCs w:val="20"/>
                <w:lang w:val="uk-UA"/>
              </w:rPr>
              <w:t xml:space="preserve"> </w:t>
            </w:r>
            <w:r w:rsidRPr="00042924">
              <w:rPr>
                <w:color w:val="000000" w:themeColor="text1"/>
                <w:sz w:val="20"/>
                <w:szCs w:val="20"/>
                <w:lang w:val="uk-UA"/>
              </w:rPr>
              <w:t>І.</w:t>
            </w:r>
          </w:p>
        </w:tc>
        <w:tc>
          <w:tcPr>
            <w:tcW w:w="7931" w:type="dxa"/>
            <w:vAlign w:val="center"/>
          </w:tcPr>
          <w:p w14:paraId="6C2B3410" w14:textId="77777777" w:rsidR="00D5093F" w:rsidRPr="00042924" w:rsidRDefault="00D67D80" w:rsidP="00271C44">
            <w:pPr>
              <w:pStyle w:val="TableParagraph"/>
              <w:jc w:val="both"/>
              <w:rPr>
                <w:color w:val="000000" w:themeColor="text1"/>
                <w:sz w:val="20"/>
                <w:szCs w:val="20"/>
                <w:lang w:val="uk-UA"/>
              </w:rPr>
            </w:pPr>
            <w:r>
              <w:rPr>
                <w:color w:val="000000" w:themeColor="text1"/>
                <w:w w:val="95"/>
                <w:sz w:val="20"/>
                <w:szCs w:val="20"/>
                <w:lang w:val="uk-UA"/>
              </w:rPr>
              <w:t>«</w:t>
            </w:r>
            <w:r w:rsidR="00D5093F" w:rsidRPr="00042924">
              <w:rPr>
                <w:color w:val="000000" w:themeColor="text1"/>
                <w:w w:val="95"/>
                <w:sz w:val="20"/>
                <w:szCs w:val="20"/>
                <w:lang w:val="uk-UA"/>
              </w:rPr>
              <w:t>Зовнішні</w:t>
            </w:r>
            <w:r w:rsidR="00D5093F" w:rsidRPr="00042924">
              <w:rPr>
                <w:color w:val="000000" w:themeColor="text1"/>
                <w:spacing w:val="40"/>
                <w:w w:val="95"/>
                <w:sz w:val="20"/>
                <w:szCs w:val="20"/>
                <w:lang w:val="uk-UA"/>
              </w:rPr>
              <w:t xml:space="preserve"> </w:t>
            </w:r>
            <w:r w:rsidR="00D5093F" w:rsidRPr="00042924">
              <w:rPr>
                <w:color w:val="000000" w:themeColor="text1"/>
                <w:w w:val="95"/>
                <w:sz w:val="20"/>
                <w:szCs w:val="20"/>
                <w:lang w:val="uk-UA"/>
              </w:rPr>
              <w:t>фактори:</w:t>
            </w:r>
            <w:r w:rsidR="00D5093F" w:rsidRPr="00042924">
              <w:rPr>
                <w:color w:val="000000" w:themeColor="text1"/>
                <w:spacing w:val="40"/>
                <w:w w:val="95"/>
                <w:sz w:val="20"/>
                <w:szCs w:val="20"/>
                <w:lang w:val="uk-UA"/>
              </w:rPr>
              <w:t xml:space="preserve"> </w:t>
            </w:r>
            <w:r w:rsidR="00D5093F" w:rsidRPr="00042924">
              <w:rPr>
                <w:color w:val="000000" w:themeColor="text1"/>
                <w:w w:val="95"/>
                <w:sz w:val="20"/>
                <w:szCs w:val="20"/>
                <w:lang w:val="uk-UA"/>
              </w:rPr>
              <w:t>соціально-економічні</w:t>
            </w:r>
            <w:r w:rsidR="00D5093F" w:rsidRPr="00042924">
              <w:rPr>
                <w:color w:val="000000" w:themeColor="text1"/>
                <w:spacing w:val="40"/>
                <w:w w:val="95"/>
                <w:sz w:val="20"/>
                <w:szCs w:val="20"/>
                <w:lang w:val="uk-UA"/>
              </w:rPr>
              <w:t xml:space="preserve"> </w:t>
            </w:r>
            <w:r w:rsidR="00D5093F" w:rsidRPr="00042924">
              <w:rPr>
                <w:color w:val="000000" w:themeColor="text1"/>
                <w:w w:val="95"/>
                <w:sz w:val="20"/>
                <w:szCs w:val="20"/>
                <w:lang w:val="uk-UA"/>
              </w:rPr>
              <w:t>фактори</w:t>
            </w:r>
            <w:r w:rsidR="00D5093F" w:rsidRPr="00042924">
              <w:rPr>
                <w:color w:val="000000" w:themeColor="text1"/>
                <w:spacing w:val="40"/>
                <w:w w:val="95"/>
                <w:sz w:val="20"/>
                <w:szCs w:val="20"/>
                <w:lang w:val="uk-UA"/>
              </w:rPr>
              <w:t xml:space="preserve"> </w:t>
            </w:r>
            <w:r w:rsidR="00D5093F" w:rsidRPr="00042924">
              <w:rPr>
                <w:color w:val="000000" w:themeColor="text1"/>
                <w:w w:val="95"/>
                <w:sz w:val="20"/>
                <w:szCs w:val="20"/>
                <w:lang w:val="uk-UA"/>
              </w:rPr>
              <w:t>загального</w:t>
            </w:r>
            <w:r w:rsidR="00D5093F" w:rsidRPr="00042924">
              <w:rPr>
                <w:color w:val="000000" w:themeColor="text1"/>
                <w:spacing w:val="40"/>
                <w:w w:val="95"/>
                <w:sz w:val="20"/>
                <w:szCs w:val="20"/>
                <w:lang w:val="uk-UA"/>
              </w:rPr>
              <w:t xml:space="preserve"> </w:t>
            </w:r>
            <w:r w:rsidR="00D5093F" w:rsidRPr="00042924">
              <w:rPr>
                <w:color w:val="000000" w:themeColor="text1"/>
                <w:w w:val="95"/>
                <w:sz w:val="20"/>
                <w:szCs w:val="20"/>
                <w:lang w:val="uk-UA"/>
              </w:rPr>
              <w:t>розвитку</w:t>
            </w:r>
            <w:r w:rsidR="00D5093F" w:rsidRPr="00042924">
              <w:rPr>
                <w:color w:val="000000" w:themeColor="text1"/>
                <w:spacing w:val="1"/>
                <w:w w:val="95"/>
                <w:sz w:val="20"/>
                <w:szCs w:val="20"/>
                <w:lang w:val="uk-UA"/>
              </w:rPr>
              <w:t xml:space="preserve"> </w:t>
            </w:r>
            <w:r w:rsidR="00D5093F" w:rsidRPr="00042924">
              <w:rPr>
                <w:color w:val="000000" w:themeColor="text1"/>
                <w:sz w:val="20"/>
                <w:szCs w:val="20"/>
                <w:lang w:val="uk-UA"/>
              </w:rPr>
              <w:t>країни (обсяг національного доходу; ріст інфляції; зниження рівня</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реальних доходів населення; ріст безробіття); ринкові фактори</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(зниження ємності внутрішнього ринку; суттєве зниження попиту;</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кон'юнктура</w:t>
            </w:r>
            <w:r w:rsidR="00D5093F" w:rsidRPr="00042924">
              <w:rPr>
                <w:color w:val="000000" w:themeColor="text1"/>
                <w:spacing w:val="-4"/>
                <w:sz w:val="20"/>
                <w:szCs w:val="20"/>
                <w:lang w:val="uk-UA"/>
              </w:rPr>
              <w:t xml:space="preserve"> </w:t>
            </w:r>
            <w:r w:rsidR="00D5093F" w:rsidRPr="00042924">
              <w:rPr>
                <w:color w:val="000000" w:themeColor="text1"/>
                <w:sz w:val="20"/>
                <w:szCs w:val="20"/>
                <w:lang w:val="uk-UA"/>
              </w:rPr>
              <w:t>економіки;</w:t>
            </w:r>
            <w:r w:rsidR="00D5093F" w:rsidRPr="00042924">
              <w:rPr>
                <w:color w:val="000000" w:themeColor="text1"/>
                <w:spacing w:val="-3"/>
                <w:sz w:val="20"/>
                <w:szCs w:val="20"/>
                <w:lang w:val="uk-UA"/>
              </w:rPr>
              <w:t xml:space="preserve"> </w:t>
            </w:r>
            <w:r w:rsidR="00D5093F" w:rsidRPr="00042924">
              <w:rPr>
                <w:color w:val="000000" w:themeColor="text1"/>
                <w:sz w:val="20"/>
                <w:szCs w:val="20"/>
                <w:lang w:val="uk-UA"/>
              </w:rPr>
              <w:t>нестабільність</w:t>
            </w:r>
            <w:r w:rsidR="00D5093F" w:rsidRPr="00042924">
              <w:rPr>
                <w:color w:val="000000" w:themeColor="text1"/>
                <w:spacing w:val="-3"/>
                <w:sz w:val="20"/>
                <w:szCs w:val="20"/>
                <w:lang w:val="uk-UA"/>
              </w:rPr>
              <w:t xml:space="preserve"> </w:t>
            </w:r>
            <w:r w:rsidR="00D5093F" w:rsidRPr="00042924">
              <w:rPr>
                <w:color w:val="000000" w:themeColor="text1"/>
                <w:sz w:val="20"/>
                <w:szCs w:val="20"/>
                <w:lang w:val="uk-UA"/>
              </w:rPr>
              <w:t>фінансового</w:t>
            </w:r>
            <w:r w:rsidR="00D5093F" w:rsidRPr="00042924">
              <w:rPr>
                <w:color w:val="000000" w:themeColor="text1"/>
                <w:spacing w:val="-3"/>
                <w:sz w:val="20"/>
                <w:szCs w:val="20"/>
                <w:lang w:val="uk-UA"/>
              </w:rPr>
              <w:t xml:space="preserve"> </w:t>
            </w:r>
            <w:r w:rsidR="00D5093F" w:rsidRPr="00042924">
              <w:rPr>
                <w:color w:val="000000" w:themeColor="text1"/>
                <w:sz w:val="20"/>
                <w:szCs w:val="20"/>
                <w:lang w:val="uk-UA"/>
              </w:rPr>
              <w:t>ринку);</w:t>
            </w:r>
            <w:r w:rsidR="000C2EF2" w:rsidRPr="00042924">
              <w:rPr>
                <w:color w:val="000000" w:themeColor="text1"/>
                <w:sz w:val="20"/>
                <w:szCs w:val="20"/>
                <w:lang w:val="uk-UA"/>
              </w:rPr>
              <w:t xml:space="preserve"> </w:t>
            </w:r>
            <w:r w:rsidR="00D5093F" w:rsidRPr="00042924">
              <w:rPr>
                <w:color w:val="000000" w:themeColor="text1"/>
                <w:spacing w:val="-1"/>
                <w:sz w:val="20"/>
                <w:szCs w:val="20"/>
                <w:lang w:val="uk-UA"/>
              </w:rPr>
              <w:t>інші</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зовнішні</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фактори</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(політична</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нестабільність;</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негативні</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демографічні;</w:t>
            </w:r>
            <w:r w:rsidR="00D5093F" w:rsidRPr="00042924">
              <w:rPr>
                <w:color w:val="000000" w:themeColor="text1"/>
                <w:spacing w:val="-56"/>
                <w:sz w:val="20"/>
                <w:szCs w:val="20"/>
                <w:lang w:val="uk-UA"/>
              </w:rPr>
              <w:t xml:space="preserve"> </w:t>
            </w:r>
            <w:r w:rsidR="00D5093F" w:rsidRPr="00042924">
              <w:rPr>
                <w:color w:val="000000" w:themeColor="text1"/>
                <w:sz w:val="20"/>
                <w:szCs w:val="20"/>
                <w:lang w:val="uk-UA"/>
              </w:rPr>
              <w:t>стихійні</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лиха; недосконалість законодавчої системи).</w:t>
            </w:r>
          </w:p>
          <w:p w14:paraId="50792FF0" w14:textId="77777777" w:rsidR="00D5093F" w:rsidRPr="00042924" w:rsidRDefault="00D5093F" w:rsidP="00271C44">
            <w:pPr>
              <w:pStyle w:val="TableParagraph"/>
              <w:jc w:val="both"/>
              <w:rPr>
                <w:color w:val="000000" w:themeColor="text1"/>
                <w:sz w:val="20"/>
                <w:szCs w:val="20"/>
                <w:lang w:val="uk-UA"/>
              </w:rPr>
            </w:pPr>
            <w:r w:rsidRPr="00042924">
              <w:rPr>
                <w:color w:val="000000" w:themeColor="text1"/>
                <w:sz w:val="20"/>
                <w:szCs w:val="20"/>
                <w:lang w:val="uk-UA"/>
              </w:rPr>
              <w:t>Внутрішні фактори: виробничі (неефективний маркетинг і менеджмент;</w:t>
            </w:r>
            <w:r w:rsidRPr="00042924">
              <w:rPr>
                <w:color w:val="000000" w:themeColor="text1"/>
                <w:spacing w:val="1"/>
                <w:sz w:val="20"/>
                <w:szCs w:val="20"/>
                <w:lang w:val="uk-UA"/>
              </w:rPr>
              <w:t xml:space="preserve"> </w:t>
            </w:r>
            <w:r w:rsidRPr="00042924">
              <w:rPr>
                <w:color w:val="000000" w:themeColor="text1"/>
                <w:sz w:val="20"/>
                <w:szCs w:val="20"/>
                <w:lang w:val="uk-UA"/>
              </w:rPr>
              <w:t>неефективна структура поточних витрат; низький рівень кваліфікації</w:t>
            </w:r>
            <w:r w:rsidRPr="00042924">
              <w:rPr>
                <w:color w:val="000000" w:themeColor="text1"/>
                <w:spacing w:val="1"/>
                <w:sz w:val="20"/>
                <w:szCs w:val="20"/>
                <w:lang w:val="uk-UA"/>
              </w:rPr>
              <w:t xml:space="preserve"> </w:t>
            </w:r>
            <w:r w:rsidRPr="00042924">
              <w:rPr>
                <w:color w:val="000000" w:themeColor="text1"/>
                <w:sz w:val="20"/>
                <w:szCs w:val="20"/>
                <w:lang w:val="uk-UA"/>
              </w:rPr>
              <w:t>персоналу; малий асортимент продукції); інвестиційні (неефективний</w:t>
            </w:r>
            <w:r w:rsidRPr="00042924">
              <w:rPr>
                <w:color w:val="000000" w:themeColor="text1"/>
                <w:spacing w:val="1"/>
                <w:sz w:val="20"/>
                <w:szCs w:val="20"/>
                <w:lang w:val="uk-UA"/>
              </w:rPr>
              <w:t xml:space="preserve"> </w:t>
            </w:r>
            <w:r w:rsidRPr="00042924">
              <w:rPr>
                <w:color w:val="000000" w:themeColor="text1"/>
                <w:sz w:val="20"/>
                <w:szCs w:val="20"/>
                <w:lang w:val="uk-UA"/>
              </w:rPr>
              <w:t>фондовий</w:t>
            </w:r>
            <w:r w:rsidRPr="00042924">
              <w:rPr>
                <w:color w:val="000000" w:themeColor="text1"/>
                <w:spacing w:val="-10"/>
                <w:sz w:val="20"/>
                <w:szCs w:val="20"/>
                <w:lang w:val="uk-UA"/>
              </w:rPr>
              <w:t xml:space="preserve"> </w:t>
            </w:r>
            <w:r w:rsidRPr="00042924">
              <w:rPr>
                <w:color w:val="000000" w:themeColor="text1"/>
                <w:sz w:val="20"/>
                <w:szCs w:val="20"/>
                <w:lang w:val="uk-UA"/>
              </w:rPr>
              <w:t>портфель</w:t>
            </w:r>
            <w:r w:rsidRPr="00042924">
              <w:rPr>
                <w:color w:val="000000" w:themeColor="text1"/>
                <w:spacing w:val="-10"/>
                <w:sz w:val="20"/>
                <w:szCs w:val="20"/>
                <w:lang w:val="uk-UA"/>
              </w:rPr>
              <w:t xml:space="preserve"> </w:t>
            </w:r>
            <w:r w:rsidRPr="00042924">
              <w:rPr>
                <w:color w:val="000000" w:themeColor="text1"/>
                <w:sz w:val="20"/>
                <w:szCs w:val="20"/>
                <w:lang w:val="uk-UA"/>
              </w:rPr>
              <w:t>та</w:t>
            </w:r>
            <w:r w:rsidRPr="00042924">
              <w:rPr>
                <w:color w:val="000000" w:themeColor="text1"/>
                <w:spacing w:val="-9"/>
                <w:sz w:val="20"/>
                <w:szCs w:val="20"/>
                <w:lang w:val="uk-UA"/>
              </w:rPr>
              <w:t xml:space="preserve"> </w:t>
            </w:r>
            <w:r w:rsidRPr="00042924">
              <w:rPr>
                <w:color w:val="000000" w:themeColor="text1"/>
                <w:sz w:val="20"/>
                <w:szCs w:val="20"/>
                <w:lang w:val="uk-UA"/>
              </w:rPr>
              <w:t>інвестиційний</w:t>
            </w:r>
            <w:r w:rsidRPr="00042924">
              <w:rPr>
                <w:color w:val="000000" w:themeColor="text1"/>
                <w:spacing w:val="-10"/>
                <w:sz w:val="20"/>
                <w:szCs w:val="20"/>
                <w:lang w:val="uk-UA"/>
              </w:rPr>
              <w:t xml:space="preserve"> </w:t>
            </w:r>
            <w:r w:rsidRPr="00042924">
              <w:rPr>
                <w:color w:val="000000" w:themeColor="text1"/>
                <w:sz w:val="20"/>
                <w:szCs w:val="20"/>
                <w:lang w:val="uk-UA"/>
              </w:rPr>
              <w:t>менеджмент);</w:t>
            </w:r>
            <w:r w:rsidRPr="00042924">
              <w:rPr>
                <w:color w:val="000000" w:themeColor="text1"/>
                <w:spacing w:val="-10"/>
                <w:sz w:val="20"/>
                <w:szCs w:val="20"/>
                <w:lang w:val="uk-UA"/>
              </w:rPr>
              <w:t xml:space="preserve"> </w:t>
            </w:r>
            <w:r w:rsidRPr="00042924">
              <w:rPr>
                <w:color w:val="000000" w:themeColor="text1"/>
                <w:sz w:val="20"/>
                <w:szCs w:val="20"/>
                <w:lang w:val="uk-UA"/>
              </w:rPr>
              <w:t>фінансові</w:t>
            </w:r>
            <w:r w:rsidRPr="00042924">
              <w:rPr>
                <w:color w:val="000000" w:themeColor="text1"/>
                <w:spacing w:val="-9"/>
                <w:sz w:val="20"/>
                <w:szCs w:val="20"/>
                <w:lang w:val="uk-UA"/>
              </w:rPr>
              <w:t xml:space="preserve"> </w:t>
            </w:r>
            <w:r w:rsidRPr="00042924">
              <w:rPr>
                <w:color w:val="000000" w:themeColor="text1"/>
                <w:sz w:val="20"/>
                <w:szCs w:val="20"/>
                <w:lang w:val="uk-UA"/>
              </w:rPr>
              <w:t>(відсутність</w:t>
            </w:r>
            <w:r w:rsidRPr="00042924">
              <w:rPr>
                <w:color w:val="000000" w:themeColor="text1"/>
                <w:spacing w:val="-56"/>
                <w:sz w:val="20"/>
                <w:szCs w:val="20"/>
                <w:lang w:val="uk-UA"/>
              </w:rPr>
              <w:t xml:space="preserve"> </w:t>
            </w:r>
            <w:r w:rsidRPr="00042924">
              <w:rPr>
                <w:color w:val="000000" w:themeColor="text1"/>
                <w:sz w:val="20"/>
                <w:szCs w:val="20"/>
                <w:lang w:val="uk-UA"/>
              </w:rPr>
              <w:t>фінансової стратегії; низька ліквідність; висока частка позикового</w:t>
            </w:r>
            <w:r w:rsidRPr="00042924">
              <w:rPr>
                <w:color w:val="000000" w:themeColor="text1"/>
                <w:spacing w:val="1"/>
                <w:sz w:val="20"/>
                <w:szCs w:val="20"/>
                <w:lang w:val="uk-UA"/>
              </w:rPr>
              <w:t xml:space="preserve"> </w:t>
            </w:r>
            <w:r w:rsidRPr="00042924">
              <w:rPr>
                <w:color w:val="000000" w:themeColor="text1"/>
                <w:sz w:val="20"/>
                <w:szCs w:val="20"/>
                <w:lang w:val="uk-UA"/>
              </w:rPr>
              <w:t>капіталу; ріст дебіторської заборгованості; неефективний фінансовий</w:t>
            </w:r>
            <w:r w:rsidRPr="00042924">
              <w:rPr>
                <w:color w:val="000000" w:themeColor="text1"/>
                <w:spacing w:val="1"/>
                <w:sz w:val="20"/>
                <w:szCs w:val="20"/>
                <w:lang w:val="uk-UA"/>
              </w:rPr>
              <w:t xml:space="preserve"> </w:t>
            </w:r>
            <w:r w:rsidRPr="00042924">
              <w:rPr>
                <w:color w:val="000000" w:themeColor="text1"/>
                <w:sz w:val="20"/>
                <w:szCs w:val="20"/>
                <w:lang w:val="uk-UA"/>
              </w:rPr>
              <w:t>менеджмент)</w:t>
            </w:r>
            <w:r w:rsidR="00D67D80">
              <w:rPr>
                <w:color w:val="000000" w:themeColor="text1"/>
                <w:sz w:val="20"/>
                <w:szCs w:val="20"/>
                <w:lang w:val="uk-UA"/>
              </w:rPr>
              <w:t>»</w:t>
            </w:r>
            <w:r w:rsidR="00426EE8" w:rsidRPr="00042924">
              <w:rPr>
                <w:color w:val="000000" w:themeColor="text1"/>
                <w:sz w:val="20"/>
                <w:szCs w:val="20"/>
                <w:lang w:val="uk-UA"/>
              </w:rPr>
              <w:t xml:space="preserve"> [20]</w:t>
            </w:r>
            <w:r w:rsidRPr="00042924">
              <w:rPr>
                <w:color w:val="000000" w:themeColor="text1"/>
                <w:sz w:val="20"/>
                <w:szCs w:val="20"/>
                <w:lang w:val="uk-UA"/>
              </w:rPr>
              <w:t>.</w:t>
            </w:r>
          </w:p>
        </w:tc>
      </w:tr>
      <w:tr w:rsidR="009B6165" w:rsidRPr="00042924" w14:paraId="4348E3D5" w14:textId="77777777" w:rsidTr="00641283">
        <w:tc>
          <w:tcPr>
            <w:tcW w:w="1980" w:type="dxa"/>
            <w:vAlign w:val="center"/>
          </w:tcPr>
          <w:p w14:paraId="75FB8BEE" w14:textId="77777777" w:rsidR="00D5093F" w:rsidRPr="00042924" w:rsidRDefault="00D5093F" w:rsidP="00271C44">
            <w:pPr>
              <w:pStyle w:val="TableParagraph"/>
              <w:jc w:val="center"/>
              <w:rPr>
                <w:color w:val="000000" w:themeColor="text1"/>
                <w:sz w:val="20"/>
                <w:szCs w:val="20"/>
                <w:lang w:val="uk-UA"/>
              </w:rPr>
            </w:pPr>
            <w:r w:rsidRPr="00042924">
              <w:rPr>
                <w:color w:val="000000" w:themeColor="text1"/>
                <w:sz w:val="20"/>
                <w:szCs w:val="20"/>
                <w:lang w:val="uk-UA"/>
              </w:rPr>
              <w:t>Терещенко</w:t>
            </w:r>
            <w:r w:rsidRPr="00042924">
              <w:rPr>
                <w:color w:val="000000" w:themeColor="text1"/>
                <w:spacing w:val="-9"/>
                <w:sz w:val="20"/>
                <w:szCs w:val="20"/>
                <w:lang w:val="uk-UA"/>
              </w:rPr>
              <w:t xml:space="preserve"> </w:t>
            </w:r>
            <w:r w:rsidRPr="00042924">
              <w:rPr>
                <w:color w:val="000000" w:themeColor="text1"/>
                <w:sz w:val="20"/>
                <w:szCs w:val="20"/>
                <w:lang w:val="uk-UA"/>
              </w:rPr>
              <w:t>О.</w:t>
            </w:r>
            <w:r w:rsidRPr="00042924">
              <w:rPr>
                <w:color w:val="000000" w:themeColor="text1"/>
                <w:spacing w:val="-8"/>
                <w:sz w:val="20"/>
                <w:szCs w:val="20"/>
                <w:lang w:val="uk-UA"/>
              </w:rPr>
              <w:t xml:space="preserve"> </w:t>
            </w:r>
            <w:r w:rsidRPr="00042924">
              <w:rPr>
                <w:color w:val="000000" w:themeColor="text1"/>
                <w:sz w:val="20"/>
                <w:szCs w:val="20"/>
                <w:lang w:val="uk-UA"/>
              </w:rPr>
              <w:t>О.</w:t>
            </w:r>
          </w:p>
        </w:tc>
        <w:tc>
          <w:tcPr>
            <w:tcW w:w="7931" w:type="dxa"/>
            <w:vAlign w:val="center"/>
          </w:tcPr>
          <w:p w14:paraId="4E343101" w14:textId="77777777" w:rsidR="00D5093F" w:rsidRPr="00042924" w:rsidRDefault="00D67D80" w:rsidP="00271C44">
            <w:pPr>
              <w:pStyle w:val="TableParagraph"/>
              <w:jc w:val="both"/>
              <w:rPr>
                <w:color w:val="000000" w:themeColor="text1"/>
                <w:sz w:val="20"/>
                <w:szCs w:val="20"/>
                <w:lang w:val="uk-UA"/>
              </w:rPr>
            </w:pPr>
            <w:r>
              <w:rPr>
                <w:color w:val="000000" w:themeColor="text1"/>
                <w:sz w:val="20"/>
                <w:szCs w:val="20"/>
                <w:lang w:val="uk-UA"/>
              </w:rPr>
              <w:t>«</w:t>
            </w:r>
            <w:r w:rsidR="00D5093F" w:rsidRPr="00042924">
              <w:rPr>
                <w:color w:val="000000" w:themeColor="text1"/>
                <w:sz w:val="20"/>
                <w:szCs w:val="20"/>
                <w:lang w:val="uk-UA"/>
              </w:rPr>
              <w:t>Причинами</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банкрутства</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є</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фінансові</w:t>
            </w:r>
            <w:r w:rsidR="00D5093F" w:rsidRPr="00042924">
              <w:rPr>
                <w:color w:val="000000" w:themeColor="text1"/>
                <w:spacing w:val="-11"/>
                <w:sz w:val="20"/>
                <w:szCs w:val="20"/>
                <w:lang w:val="uk-UA"/>
              </w:rPr>
              <w:t xml:space="preserve"> </w:t>
            </w:r>
            <w:r w:rsidR="00D5093F" w:rsidRPr="00042924">
              <w:rPr>
                <w:color w:val="000000" w:themeColor="text1"/>
                <w:sz w:val="20"/>
                <w:szCs w:val="20"/>
                <w:lang w:val="uk-UA"/>
              </w:rPr>
              <w:t>кризи,</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а</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саме</w:t>
            </w:r>
            <w:r w:rsidR="00D5093F" w:rsidRPr="00042924">
              <w:rPr>
                <w:color w:val="000000" w:themeColor="text1"/>
                <w:spacing w:val="-11"/>
                <w:sz w:val="20"/>
                <w:szCs w:val="20"/>
                <w:lang w:val="uk-UA"/>
              </w:rPr>
              <w:t xml:space="preserve"> </w:t>
            </w:r>
            <w:r w:rsidR="00D5093F" w:rsidRPr="00042924">
              <w:rPr>
                <w:color w:val="000000" w:themeColor="text1"/>
                <w:sz w:val="20"/>
                <w:szCs w:val="20"/>
                <w:lang w:val="uk-UA"/>
              </w:rPr>
              <w:t>екзогенні</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та</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ендогенні</w:t>
            </w:r>
            <w:r>
              <w:rPr>
                <w:color w:val="000000" w:themeColor="text1"/>
                <w:sz w:val="20"/>
                <w:szCs w:val="20"/>
                <w:lang w:val="uk-UA"/>
              </w:rPr>
              <w:t>»</w:t>
            </w:r>
            <w:r w:rsidR="00012606" w:rsidRPr="00042924">
              <w:rPr>
                <w:color w:val="000000" w:themeColor="text1"/>
                <w:sz w:val="20"/>
                <w:szCs w:val="20"/>
                <w:lang w:val="uk-UA"/>
              </w:rPr>
              <w:t xml:space="preserve"> [1]</w:t>
            </w:r>
            <w:r w:rsidR="00D5093F" w:rsidRPr="00042924">
              <w:rPr>
                <w:color w:val="000000" w:themeColor="text1"/>
                <w:sz w:val="20"/>
                <w:szCs w:val="20"/>
                <w:lang w:val="uk-UA"/>
              </w:rPr>
              <w:t>.</w:t>
            </w:r>
          </w:p>
        </w:tc>
      </w:tr>
      <w:tr w:rsidR="009B6165" w:rsidRPr="00BE6C60" w14:paraId="7CCC7AD9" w14:textId="77777777" w:rsidTr="00641283">
        <w:tc>
          <w:tcPr>
            <w:tcW w:w="1980" w:type="dxa"/>
            <w:vAlign w:val="center"/>
          </w:tcPr>
          <w:p w14:paraId="5E592E81" w14:textId="77777777" w:rsidR="00D5093F" w:rsidRPr="00042924" w:rsidRDefault="00D5093F" w:rsidP="00271C44">
            <w:pPr>
              <w:pStyle w:val="TableParagraph"/>
              <w:jc w:val="center"/>
              <w:rPr>
                <w:color w:val="000000" w:themeColor="text1"/>
                <w:sz w:val="20"/>
                <w:szCs w:val="20"/>
                <w:lang w:val="uk-UA"/>
              </w:rPr>
            </w:pPr>
            <w:r w:rsidRPr="00042924">
              <w:rPr>
                <w:color w:val="000000" w:themeColor="text1"/>
                <w:sz w:val="20"/>
                <w:szCs w:val="20"/>
                <w:lang w:val="uk-UA"/>
              </w:rPr>
              <w:t>Марусяк,</w:t>
            </w:r>
            <w:r w:rsidRPr="00042924">
              <w:rPr>
                <w:color w:val="000000" w:themeColor="text1"/>
                <w:spacing w:val="-14"/>
                <w:sz w:val="20"/>
                <w:szCs w:val="20"/>
                <w:lang w:val="uk-UA"/>
              </w:rPr>
              <w:t xml:space="preserve"> </w:t>
            </w:r>
            <w:r w:rsidRPr="00042924">
              <w:rPr>
                <w:color w:val="000000" w:themeColor="text1"/>
                <w:sz w:val="20"/>
                <w:szCs w:val="20"/>
                <w:lang w:val="uk-UA"/>
              </w:rPr>
              <w:t>Н.</w:t>
            </w:r>
            <w:r w:rsidRPr="00042924">
              <w:rPr>
                <w:color w:val="000000" w:themeColor="text1"/>
                <w:spacing w:val="-13"/>
                <w:sz w:val="20"/>
                <w:szCs w:val="20"/>
                <w:lang w:val="uk-UA"/>
              </w:rPr>
              <w:t xml:space="preserve"> </w:t>
            </w:r>
            <w:r w:rsidRPr="00042924">
              <w:rPr>
                <w:color w:val="000000" w:themeColor="text1"/>
                <w:sz w:val="20"/>
                <w:szCs w:val="20"/>
                <w:lang w:val="uk-UA"/>
              </w:rPr>
              <w:t>Л.,</w:t>
            </w:r>
            <w:r w:rsidRPr="00042924">
              <w:rPr>
                <w:color w:val="000000" w:themeColor="text1"/>
                <w:spacing w:val="-55"/>
                <w:sz w:val="20"/>
                <w:szCs w:val="20"/>
                <w:lang w:val="uk-UA"/>
              </w:rPr>
              <w:t xml:space="preserve"> </w:t>
            </w:r>
            <w:r w:rsidRPr="00042924">
              <w:rPr>
                <w:color w:val="000000" w:themeColor="text1"/>
                <w:spacing w:val="-1"/>
                <w:sz w:val="20"/>
                <w:szCs w:val="20"/>
                <w:lang w:val="uk-UA"/>
              </w:rPr>
              <w:t>Пильнюк,</w:t>
            </w:r>
            <w:r w:rsidRPr="00042924">
              <w:rPr>
                <w:color w:val="000000" w:themeColor="text1"/>
                <w:spacing w:val="-14"/>
                <w:sz w:val="20"/>
                <w:szCs w:val="20"/>
                <w:lang w:val="uk-UA"/>
              </w:rPr>
              <w:t xml:space="preserve"> </w:t>
            </w:r>
            <w:r w:rsidRPr="00042924">
              <w:rPr>
                <w:color w:val="000000" w:themeColor="text1"/>
                <w:spacing w:val="-1"/>
                <w:sz w:val="20"/>
                <w:szCs w:val="20"/>
                <w:lang w:val="uk-UA"/>
              </w:rPr>
              <w:t>Д.</w:t>
            </w:r>
            <w:r w:rsidRPr="00042924">
              <w:rPr>
                <w:color w:val="000000" w:themeColor="text1"/>
                <w:spacing w:val="-13"/>
                <w:sz w:val="20"/>
                <w:szCs w:val="20"/>
                <w:lang w:val="uk-UA"/>
              </w:rPr>
              <w:t xml:space="preserve"> </w:t>
            </w:r>
            <w:r w:rsidRPr="00042924">
              <w:rPr>
                <w:color w:val="000000" w:themeColor="text1"/>
                <w:spacing w:val="-1"/>
                <w:sz w:val="20"/>
                <w:szCs w:val="20"/>
                <w:lang w:val="uk-UA"/>
              </w:rPr>
              <w:t>О.</w:t>
            </w:r>
          </w:p>
        </w:tc>
        <w:tc>
          <w:tcPr>
            <w:tcW w:w="7931" w:type="dxa"/>
            <w:vAlign w:val="center"/>
          </w:tcPr>
          <w:p w14:paraId="1E59F9AF" w14:textId="77777777" w:rsidR="00D5093F" w:rsidRPr="00042924" w:rsidRDefault="00D67D80" w:rsidP="005F279D">
            <w:pPr>
              <w:pStyle w:val="TableParagraph"/>
              <w:jc w:val="both"/>
              <w:rPr>
                <w:color w:val="000000" w:themeColor="text1"/>
                <w:sz w:val="20"/>
                <w:szCs w:val="20"/>
                <w:lang w:val="uk-UA"/>
              </w:rPr>
            </w:pPr>
            <w:r>
              <w:rPr>
                <w:color w:val="000000" w:themeColor="text1"/>
                <w:sz w:val="20"/>
                <w:szCs w:val="20"/>
                <w:lang w:val="uk-UA"/>
              </w:rPr>
              <w:t>«</w:t>
            </w:r>
            <w:r w:rsidR="00D5093F" w:rsidRPr="00042924">
              <w:rPr>
                <w:color w:val="000000" w:themeColor="text1"/>
                <w:sz w:val="20"/>
                <w:szCs w:val="20"/>
                <w:lang w:val="uk-UA"/>
              </w:rPr>
              <w:t>Причини</w:t>
            </w:r>
            <w:r w:rsidR="00D5093F" w:rsidRPr="00042924">
              <w:rPr>
                <w:color w:val="000000" w:themeColor="text1"/>
                <w:spacing w:val="-15"/>
                <w:sz w:val="20"/>
                <w:szCs w:val="20"/>
                <w:lang w:val="uk-UA"/>
              </w:rPr>
              <w:t xml:space="preserve"> </w:t>
            </w:r>
            <w:r w:rsidR="00D5093F" w:rsidRPr="00042924">
              <w:rPr>
                <w:color w:val="000000" w:themeColor="text1"/>
                <w:sz w:val="20"/>
                <w:szCs w:val="20"/>
                <w:lang w:val="uk-UA"/>
              </w:rPr>
              <w:t>банкрутства</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згруповані</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в:</w:t>
            </w:r>
            <w:r w:rsidR="005F279D" w:rsidRPr="00042924">
              <w:rPr>
                <w:color w:val="000000" w:themeColor="text1"/>
                <w:sz w:val="20"/>
                <w:szCs w:val="20"/>
                <w:lang w:val="uk-UA"/>
              </w:rPr>
              <w:t xml:space="preserve"> </w:t>
            </w:r>
            <w:r w:rsidR="00D5093F" w:rsidRPr="00042924">
              <w:rPr>
                <w:color w:val="000000" w:themeColor="text1"/>
                <w:spacing w:val="-1"/>
                <w:sz w:val="20"/>
                <w:szCs w:val="20"/>
                <w:lang w:val="uk-UA"/>
              </w:rPr>
              <w:t>банкрутство</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бізнесу</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(пояснене</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невигідним</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керування</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підприємством</w:t>
            </w:r>
            <w:r w:rsidR="00D5093F" w:rsidRPr="00042924">
              <w:rPr>
                <w:color w:val="000000" w:themeColor="text1"/>
                <w:spacing w:val="-55"/>
                <w:sz w:val="20"/>
                <w:szCs w:val="20"/>
                <w:lang w:val="uk-UA"/>
              </w:rPr>
              <w:t xml:space="preserve"> </w:t>
            </w:r>
            <w:r w:rsidR="00D5093F" w:rsidRPr="00042924">
              <w:rPr>
                <w:color w:val="000000" w:themeColor="text1"/>
                <w:sz w:val="20"/>
                <w:szCs w:val="20"/>
                <w:lang w:val="uk-UA"/>
              </w:rPr>
              <w:t>чи організацією, невірною маркетингової стратегією, нераціональне</w:t>
            </w:r>
            <w:r w:rsidR="00D5093F" w:rsidRPr="00042924">
              <w:rPr>
                <w:color w:val="000000" w:themeColor="text1"/>
                <w:spacing w:val="-56"/>
                <w:sz w:val="20"/>
                <w:szCs w:val="20"/>
                <w:lang w:val="uk-UA"/>
              </w:rPr>
              <w:t xml:space="preserve"> </w:t>
            </w:r>
            <w:r w:rsidR="00D5093F" w:rsidRPr="00042924">
              <w:rPr>
                <w:color w:val="000000" w:themeColor="text1"/>
                <w:sz w:val="20"/>
                <w:szCs w:val="20"/>
                <w:lang w:val="uk-UA"/>
              </w:rPr>
              <w:t>використання</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ресурсів);</w:t>
            </w:r>
            <w:r w:rsidR="005F279D" w:rsidRPr="00042924">
              <w:rPr>
                <w:color w:val="000000" w:themeColor="text1"/>
                <w:sz w:val="20"/>
                <w:szCs w:val="20"/>
                <w:lang w:val="uk-UA"/>
              </w:rPr>
              <w:t xml:space="preserve"> </w:t>
            </w:r>
            <w:r w:rsidR="00D5093F" w:rsidRPr="00042924">
              <w:rPr>
                <w:color w:val="000000" w:themeColor="text1"/>
                <w:sz w:val="20"/>
                <w:szCs w:val="20"/>
                <w:lang w:val="uk-UA"/>
              </w:rPr>
              <w:t>банкрутство</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власника</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(нестача</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необхідних</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ресурсів</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для</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простого</w:t>
            </w:r>
            <w:r w:rsidR="00D5093F" w:rsidRPr="00042924">
              <w:rPr>
                <w:color w:val="000000" w:themeColor="text1"/>
                <w:spacing w:val="-55"/>
                <w:sz w:val="20"/>
                <w:szCs w:val="20"/>
                <w:lang w:val="uk-UA"/>
              </w:rPr>
              <w:t xml:space="preserve"> </w:t>
            </w:r>
            <w:r w:rsidR="00D5093F" w:rsidRPr="00042924">
              <w:rPr>
                <w:color w:val="000000" w:themeColor="text1"/>
                <w:sz w:val="20"/>
                <w:szCs w:val="20"/>
                <w:lang w:val="uk-UA"/>
              </w:rPr>
              <w:t>відтворення та</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розшареного відповідно);</w:t>
            </w:r>
            <w:r w:rsidR="005F279D" w:rsidRPr="00042924">
              <w:rPr>
                <w:color w:val="000000" w:themeColor="text1"/>
                <w:sz w:val="20"/>
                <w:szCs w:val="20"/>
                <w:lang w:val="uk-UA"/>
              </w:rPr>
              <w:t xml:space="preserve"> </w:t>
            </w:r>
            <w:r w:rsidR="00D5093F" w:rsidRPr="00042924">
              <w:rPr>
                <w:color w:val="000000" w:themeColor="text1"/>
                <w:spacing w:val="-2"/>
                <w:sz w:val="20"/>
                <w:szCs w:val="20"/>
                <w:lang w:val="uk-UA"/>
              </w:rPr>
              <w:t>банкрутство</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виробництва,</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тобто</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не</w:t>
            </w:r>
            <w:r w:rsidR="00D5093F" w:rsidRPr="00042924">
              <w:rPr>
                <w:color w:val="000000" w:themeColor="text1"/>
                <w:spacing w:val="-11"/>
                <w:sz w:val="20"/>
                <w:szCs w:val="20"/>
                <w:lang w:val="uk-UA"/>
              </w:rPr>
              <w:t xml:space="preserve"> </w:t>
            </w:r>
            <w:r w:rsidR="00D5093F" w:rsidRPr="00042924">
              <w:rPr>
                <w:color w:val="000000" w:themeColor="text1"/>
                <w:spacing w:val="-1"/>
                <w:sz w:val="20"/>
                <w:szCs w:val="20"/>
                <w:lang w:val="uk-UA"/>
              </w:rPr>
              <w:t>конкурентоспроможність</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продукції;</w:t>
            </w:r>
            <w:r w:rsidR="005F279D" w:rsidRPr="00042924">
              <w:rPr>
                <w:color w:val="000000" w:themeColor="text1"/>
                <w:spacing w:val="-1"/>
                <w:sz w:val="20"/>
                <w:szCs w:val="20"/>
                <w:lang w:val="uk-UA"/>
              </w:rPr>
              <w:t xml:space="preserve"> </w:t>
            </w:r>
            <w:r w:rsidR="00D5093F" w:rsidRPr="00042924">
              <w:rPr>
                <w:color w:val="000000" w:themeColor="text1"/>
                <w:spacing w:val="-1"/>
                <w:sz w:val="20"/>
                <w:szCs w:val="20"/>
                <w:lang w:val="uk-UA"/>
              </w:rPr>
              <w:t>«недобросовісний</w:t>
            </w:r>
            <w:r w:rsidR="00D5093F" w:rsidRPr="00042924">
              <w:rPr>
                <w:color w:val="000000" w:themeColor="text1"/>
                <w:spacing w:val="-14"/>
                <w:sz w:val="20"/>
                <w:szCs w:val="20"/>
                <w:lang w:val="uk-UA"/>
              </w:rPr>
              <w:t xml:space="preserve"> </w:t>
            </w:r>
            <w:r w:rsidR="00D5093F" w:rsidRPr="00042924">
              <w:rPr>
                <w:color w:val="000000" w:themeColor="text1"/>
                <w:spacing w:val="-1"/>
                <w:sz w:val="20"/>
                <w:szCs w:val="20"/>
                <w:lang w:val="uk-UA"/>
              </w:rPr>
              <w:t>менеджмент»</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(уникнення</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від</w:t>
            </w:r>
            <w:r w:rsidR="00D5093F" w:rsidRPr="00042924">
              <w:rPr>
                <w:color w:val="000000" w:themeColor="text1"/>
                <w:spacing w:val="-14"/>
                <w:sz w:val="20"/>
                <w:szCs w:val="20"/>
                <w:lang w:val="uk-UA"/>
              </w:rPr>
              <w:t xml:space="preserve"> </w:t>
            </w:r>
            <w:r w:rsidR="00D5093F" w:rsidRPr="00042924">
              <w:rPr>
                <w:color w:val="000000" w:themeColor="text1"/>
                <w:spacing w:val="-1"/>
                <w:sz w:val="20"/>
                <w:szCs w:val="20"/>
                <w:lang w:val="uk-UA"/>
              </w:rPr>
              <w:t>покладених</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обов’язків)</w:t>
            </w:r>
            <w:r>
              <w:rPr>
                <w:color w:val="000000" w:themeColor="text1"/>
                <w:sz w:val="20"/>
                <w:szCs w:val="20"/>
                <w:lang w:val="uk-UA"/>
              </w:rPr>
              <w:t>»</w:t>
            </w:r>
            <w:r w:rsidR="00A27956" w:rsidRPr="00042924">
              <w:rPr>
                <w:color w:val="000000" w:themeColor="text1"/>
                <w:sz w:val="20"/>
                <w:szCs w:val="20"/>
                <w:lang w:val="uk-UA"/>
              </w:rPr>
              <w:t xml:space="preserve"> [18].</w:t>
            </w:r>
          </w:p>
        </w:tc>
      </w:tr>
      <w:tr w:rsidR="009B6165" w:rsidRPr="00BE6C60" w14:paraId="232AE0D8" w14:textId="77777777" w:rsidTr="00641283">
        <w:tc>
          <w:tcPr>
            <w:tcW w:w="1980" w:type="dxa"/>
            <w:vAlign w:val="center"/>
          </w:tcPr>
          <w:p w14:paraId="4B91D396" w14:textId="77777777" w:rsidR="00D5093F" w:rsidRPr="00042924" w:rsidRDefault="00D5093F" w:rsidP="00271C44">
            <w:pPr>
              <w:pStyle w:val="TableParagraph"/>
              <w:jc w:val="center"/>
              <w:rPr>
                <w:color w:val="000000" w:themeColor="text1"/>
                <w:sz w:val="20"/>
                <w:szCs w:val="20"/>
                <w:lang w:val="uk-UA"/>
              </w:rPr>
            </w:pPr>
            <w:r w:rsidRPr="00042924">
              <w:rPr>
                <w:color w:val="000000" w:themeColor="text1"/>
                <w:sz w:val="20"/>
                <w:szCs w:val="20"/>
                <w:lang w:val="uk-UA"/>
              </w:rPr>
              <w:t>Грачов В. І.,</w:t>
            </w:r>
            <w:r w:rsidRPr="00042924">
              <w:rPr>
                <w:color w:val="000000" w:themeColor="text1"/>
                <w:spacing w:val="1"/>
                <w:sz w:val="20"/>
                <w:szCs w:val="20"/>
                <w:lang w:val="uk-UA"/>
              </w:rPr>
              <w:t xml:space="preserve"> </w:t>
            </w:r>
            <w:r w:rsidRPr="00042924">
              <w:rPr>
                <w:color w:val="000000" w:themeColor="text1"/>
                <w:sz w:val="20"/>
                <w:szCs w:val="20"/>
                <w:lang w:val="uk-UA"/>
              </w:rPr>
              <w:t>Терещенко</w:t>
            </w:r>
            <w:r w:rsidRPr="00042924">
              <w:rPr>
                <w:color w:val="000000" w:themeColor="text1"/>
                <w:spacing w:val="-14"/>
                <w:sz w:val="20"/>
                <w:szCs w:val="20"/>
                <w:lang w:val="uk-UA"/>
              </w:rPr>
              <w:t xml:space="preserve"> </w:t>
            </w:r>
            <w:r w:rsidRPr="00042924">
              <w:rPr>
                <w:color w:val="000000" w:themeColor="text1"/>
                <w:sz w:val="20"/>
                <w:szCs w:val="20"/>
                <w:lang w:val="uk-UA"/>
              </w:rPr>
              <w:t>О.</w:t>
            </w:r>
            <w:r w:rsidRPr="00042924">
              <w:rPr>
                <w:color w:val="000000" w:themeColor="text1"/>
                <w:spacing w:val="-13"/>
                <w:sz w:val="20"/>
                <w:szCs w:val="20"/>
                <w:lang w:val="uk-UA"/>
              </w:rPr>
              <w:t xml:space="preserve"> </w:t>
            </w:r>
            <w:r w:rsidRPr="00042924">
              <w:rPr>
                <w:color w:val="000000" w:themeColor="text1"/>
                <w:sz w:val="20"/>
                <w:szCs w:val="20"/>
                <w:lang w:val="uk-UA"/>
              </w:rPr>
              <w:t>О.</w:t>
            </w:r>
          </w:p>
        </w:tc>
        <w:tc>
          <w:tcPr>
            <w:tcW w:w="7931" w:type="dxa"/>
            <w:vAlign w:val="center"/>
          </w:tcPr>
          <w:p w14:paraId="346F0BF7" w14:textId="77777777" w:rsidR="00D5093F" w:rsidRPr="00042924" w:rsidRDefault="00D67D80" w:rsidP="00271C44">
            <w:pPr>
              <w:pStyle w:val="TableParagraph"/>
              <w:jc w:val="both"/>
              <w:rPr>
                <w:color w:val="000000" w:themeColor="text1"/>
                <w:sz w:val="20"/>
                <w:szCs w:val="20"/>
                <w:lang w:val="uk-UA"/>
              </w:rPr>
            </w:pPr>
            <w:r>
              <w:rPr>
                <w:color w:val="000000" w:themeColor="text1"/>
                <w:sz w:val="20"/>
                <w:szCs w:val="20"/>
                <w:lang w:val="uk-UA"/>
              </w:rPr>
              <w:t>«</w:t>
            </w:r>
            <w:r w:rsidR="00D5093F" w:rsidRPr="00042924">
              <w:rPr>
                <w:color w:val="000000" w:themeColor="text1"/>
                <w:sz w:val="20"/>
                <w:szCs w:val="20"/>
                <w:lang w:val="uk-UA"/>
              </w:rPr>
              <w:t>Чинники виникнення банкрутства підприємства: зовнішні (економічні,</w:t>
            </w:r>
            <w:r w:rsidR="00D5093F" w:rsidRPr="00042924">
              <w:rPr>
                <w:color w:val="000000" w:themeColor="text1"/>
                <w:spacing w:val="1"/>
                <w:sz w:val="20"/>
                <w:szCs w:val="20"/>
                <w:lang w:val="uk-UA"/>
              </w:rPr>
              <w:t xml:space="preserve"> </w:t>
            </w:r>
            <w:r w:rsidR="00D5093F" w:rsidRPr="00042924">
              <w:rPr>
                <w:color w:val="000000" w:themeColor="text1"/>
                <w:spacing w:val="-1"/>
                <w:sz w:val="20"/>
                <w:szCs w:val="20"/>
                <w:lang w:val="uk-UA"/>
              </w:rPr>
              <w:t>політичні,</w:t>
            </w:r>
            <w:r w:rsidR="00D5093F" w:rsidRPr="00042924">
              <w:rPr>
                <w:color w:val="000000" w:themeColor="text1"/>
                <w:spacing w:val="-13"/>
                <w:sz w:val="20"/>
                <w:szCs w:val="20"/>
                <w:lang w:val="uk-UA"/>
              </w:rPr>
              <w:t xml:space="preserve"> </w:t>
            </w:r>
            <w:r w:rsidR="00D5093F" w:rsidRPr="00042924">
              <w:rPr>
                <w:color w:val="000000" w:themeColor="text1"/>
                <w:spacing w:val="-1"/>
                <w:sz w:val="20"/>
                <w:szCs w:val="20"/>
                <w:lang w:val="uk-UA"/>
              </w:rPr>
              <w:t>демографічні,</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посилення</w:t>
            </w:r>
            <w:r w:rsidR="00D5093F" w:rsidRPr="00042924">
              <w:rPr>
                <w:color w:val="000000" w:themeColor="text1"/>
                <w:spacing w:val="-12"/>
                <w:sz w:val="20"/>
                <w:szCs w:val="20"/>
                <w:lang w:val="uk-UA"/>
              </w:rPr>
              <w:t xml:space="preserve"> </w:t>
            </w:r>
            <w:r w:rsidR="00D5093F" w:rsidRPr="00042924">
              <w:rPr>
                <w:color w:val="000000" w:themeColor="text1"/>
                <w:spacing w:val="-1"/>
                <w:sz w:val="20"/>
                <w:szCs w:val="20"/>
                <w:lang w:val="uk-UA"/>
              </w:rPr>
              <w:t>міжнародної</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конкуренції,</w:t>
            </w:r>
            <w:r w:rsidR="00D5093F" w:rsidRPr="00042924">
              <w:rPr>
                <w:color w:val="000000" w:themeColor="text1"/>
                <w:spacing w:val="-12"/>
                <w:sz w:val="20"/>
                <w:szCs w:val="20"/>
                <w:lang w:val="uk-UA"/>
              </w:rPr>
              <w:t xml:space="preserve"> </w:t>
            </w:r>
            <w:r w:rsidR="00D5093F" w:rsidRPr="00042924">
              <w:rPr>
                <w:color w:val="000000" w:themeColor="text1"/>
                <w:sz w:val="20"/>
                <w:szCs w:val="20"/>
                <w:lang w:val="uk-UA"/>
              </w:rPr>
              <w:t>банкрутство</w:t>
            </w:r>
            <w:r w:rsidR="00D5093F" w:rsidRPr="00042924">
              <w:rPr>
                <w:color w:val="000000" w:themeColor="text1"/>
                <w:spacing w:val="-55"/>
                <w:sz w:val="20"/>
                <w:szCs w:val="20"/>
                <w:lang w:val="uk-UA"/>
              </w:rPr>
              <w:t xml:space="preserve"> </w:t>
            </w:r>
            <w:r w:rsidR="00D5093F" w:rsidRPr="00042924">
              <w:rPr>
                <w:color w:val="000000" w:themeColor="text1"/>
                <w:sz w:val="20"/>
                <w:szCs w:val="20"/>
                <w:lang w:val="uk-UA"/>
              </w:rPr>
              <w:t>боржників); внутрішні (зростання дебіторської заборгованості, дефіцит</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власних обігових коштів, неефективність фінансових вкладень,</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відсутність</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договірної</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дисципліни</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тощо)</w:t>
            </w:r>
            <w:r>
              <w:rPr>
                <w:color w:val="000000" w:themeColor="text1"/>
                <w:sz w:val="20"/>
                <w:szCs w:val="20"/>
                <w:lang w:val="uk-UA"/>
              </w:rPr>
              <w:t>»</w:t>
            </w:r>
            <w:r w:rsidR="00FC42EA" w:rsidRPr="00042924">
              <w:rPr>
                <w:color w:val="000000" w:themeColor="text1"/>
                <w:sz w:val="20"/>
                <w:szCs w:val="20"/>
                <w:lang w:val="uk-UA"/>
              </w:rPr>
              <w:t xml:space="preserve"> [16</w:t>
            </w:r>
            <w:r w:rsidR="007E013A" w:rsidRPr="00042924">
              <w:rPr>
                <w:color w:val="000000" w:themeColor="text1"/>
                <w:sz w:val="20"/>
                <w:szCs w:val="20"/>
                <w:lang w:val="uk-UA"/>
              </w:rPr>
              <w:t>; 19</w:t>
            </w:r>
            <w:r w:rsidR="00FC42EA" w:rsidRPr="00042924">
              <w:rPr>
                <w:color w:val="000000" w:themeColor="text1"/>
                <w:sz w:val="20"/>
                <w:szCs w:val="20"/>
                <w:lang w:val="uk-UA"/>
              </w:rPr>
              <w:t>]</w:t>
            </w:r>
            <w:r w:rsidR="00D5093F" w:rsidRPr="00042924">
              <w:rPr>
                <w:color w:val="000000" w:themeColor="text1"/>
                <w:sz w:val="20"/>
                <w:szCs w:val="20"/>
                <w:lang w:val="uk-UA"/>
              </w:rPr>
              <w:t>.</w:t>
            </w:r>
          </w:p>
        </w:tc>
      </w:tr>
      <w:tr w:rsidR="009B6165" w:rsidRPr="00BE6C60" w14:paraId="62A97602" w14:textId="77777777" w:rsidTr="00641283">
        <w:tc>
          <w:tcPr>
            <w:tcW w:w="1980" w:type="dxa"/>
            <w:vAlign w:val="center"/>
          </w:tcPr>
          <w:p w14:paraId="3F007757" w14:textId="77777777" w:rsidR="00D5093F" w:rsidRPr="00042924" w:rsidRDefault="00D5093F" w:rsidP="00271C44">
            <w:pPr>
              <w:pStyle w:val="TableParagraph"/>
              <w:jc w:val="center"/>
              <w:rPr>
                <w:color w:val="000000" w:themeColor="text1"/>
                <w:sz w:val="20"/>
                <w:szCs w:val="20"/>
                <w:lang w:val="uk-UA"/>
              </w:rPr>
            </w:pPr>
            <w:r w:rsidRPr="00042924">
              <w:rPr>
                <w:color w:val="000000" w:themeColor="text1"/>
                <w:sz w:val="20"/>
                <w:szCs w:val="20"/>
                <w:lang w:val="uk-UA"/>
              </w:rPr>
              <w:t>Грицюк</w:t>
            </w:r>
            <w:r w:rsidRPr="00042924">
              <w:rPr>
                <w:color w:val="000000" w:themeColor="text1"/>
                <w:spacing w:val="-10"/>
                <w:sz w:val="20"/>
                <w:szCs w:val="20"/>
                <w:lang w:val="uk-UA"/>
              </w:rPr>
              <w:t xml:space="preserve"> </w:t>
            </w:r>
            <w:r w:rsidRPr="00042924">
              <w:rPr>
                <w:color w:val="000000" w:themeColor="text1"/>
                <w:sz w:val="20"/>
                <w:szCs w:val="20"/>
                <w:lang w:val="uk-UA"/>
              </w:rPr>
              <w:t>Е.</w:t>
            </w:r>
            <w:r w:rsidRPr="00042924">
              <w:rPr>
                <w:color w:val="000000" w:themeColor="text1"/>
                <w:spacing w:val="-9"/>
                <w:sz w:val="20"/>
                <w:szCs w:val="20"/>
                <w:lang w:val="uk-UA"/>
              </w:rPr>
              <w:t xml:space="preserve"> </w:t>
            </w:r>
            <w:r w:rsidRPr="00042924">
              <w:rPr>
                <w:color w:val="000000" w:themeColor="text1"/>
                <w:sz w:val="20"/>
                <w:szCs w:val="20"/>
                <w:lang w:val="uk-UA"/>
              </w:rPr>
              <w:t>О.</w:t>
            </w:r>
          </w:p>
        </w:tc>
        <w:tc>
          <w:tcPr>
            <w:tcW w:w="7931" w:type="dxa"/>
            <w:vAlign w:val="center"/>
          </w:tcPr>
          <w:p w14:paraId="0FEF1947" w14:textId="77777777" w:rsidR="00D5093F" w:rsidRPr="00042924" w:rsidRDefault="00D67D80" w:rsidP="00271C44">
            <w:pPr>
              <w:pStyle w:val="TableParagraph"/>
              <w:jc w:val="both"/>
              <w:rPr>
                <w:color w:val="000000" w:themeColor="text1"/>
                <w:sz w:val="20"/>
                <w:szCs w:val="20"/>
                <w:lang w:val="uk-UA"/>
              </w:rPr>
            </w:pPr>
            <w:r>
              <w:rPr>
                <w:color w:val="000000" w:themeColor="text1"/>
                <w:spacing w:val="-1"/>
                <w:sz w:val="20"/>
                <w:szCs w:val="20"/>
                <w:lang w:val="uk-UA"/>
              </w:rPr>
              <w:t>«</w:t>
            </w:r>
            <w:r w:rsidR="00D5093F" w:rsidRPr="00042924">
              <w:rPr>
                <w:color w:val="000000" w:themeColor="text1"/>
                <w:spacing w:val="-1"/>
                <w:sz w:val="20"/>
                <w:szCs w:val="20"/>
                <w:lang w:val="uk-UA"/>
              </w:rPr>
              <w:t>Виокремлює</w:t>
            </w:r>
            <w:r w:rsidR="00D5093F" w:rsidRPr="00042924">
              <w:rPr>
                <w:color w:val="000000" w:themeColor="text1"/>
                <w:spacing w:val="-14"/>
                <w:sz w:val="20"/>
                <w:szCs w:val="20"/>
                <w:lang w:val="uk-UA"/>
              </w:rPr>
              <w:t xml:space="preserve"> </w:t>
            </w:r>
            <w:r w:rsidR="00D5093F" w:rsidRPr="00042924">
              <w:rPr>
                <w:color w:val="000000" w:themeColor="text1"/>
                <w:spacing w:val="-1"/>
                <w:sz w:val="20"/>
                <w:szCs w:val="20"/>
                <w:lang w:val="uk-UA"/>
              </w:rPr>
              <w:t>такі</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причин</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банкрутства:</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брак</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досвіду;</w:t>
            </w:r>
            <w:r w:rsidR="00D5093F" w:rsidRPr="00042924">
              <w:rPr>
                <w:color w:val="000000" w:themeColor="text1"/>
                <w:spacing w:val="-14"/>
                <w:sz w:val="20"/>
                <w:szCs w:val="20"/>
                <w:lang w:val="uk-UA"/>
              </w:rPr>
              <w:t xml:space="preserve"> </w:t>
            </w:r>
            <w:r w:rsidR="00D5093F" w:rsidRPr="00042924">
              <w:rPr>
                <w:color w:val="000000" w:themeColor="text1"/>
                <w:sz w:val="20"/>
                <w:szCs w:val="20"/>
                <w:lang w:val="uk-UA"/>
              </w:rPr>
              <w:t>нестача</w:t>
            </w:r>
            <w:r w:rsidR="00D5093F" w:rsidRPr="00042924">
              <w:rPr>
                <w:color w:val="000000" w:themeColor="text1"/>
                <w:spacing w:val="-13"/>
                <w:sz w:val="20"/>
                <w:szCs w:val="20"/>
                <w:lang w:val="uk-UA"/>
              </w:rPr>
              <w:t xml:space="preserve"> </w:t>
            </w:r>
            <w:r w:rsidR="00D5093F" w:rsidRPr="00042924">
              <w:rPr>
                <w:color w:val="000000" w:themeColor="text1"/>
                <w:sz w:val="20"/>
                <w:szCs w:val="20"/>
                <w:lang w:val="uk-UA"/>
              </w:rPr>
              <w:t>капіталу;</w:t>
            </w:r>
            <w:r w:rsidR="00D5093F" w:rsidRPr="00042924">
              <w:rPr>
                <w:color w:val="000000" w:themeColor="text1"/>
                <w:spacing w:val="-56"/>
                <w:sz w:val="20"/>
                <w:szCs w:val="20"/>
                <w:lang w:val="uk-UA"/>
              </w:rPr>
              <w:t xml:space="preserve"> </w:t>
            </w:r>
            <w:r w:rsidR="00D5093F" w:rsidRPr="00042924">
              <w:rPr>
                <w:color w:val="000000" w:themeColor="text1"/>
                <w:sz w:val="20"/>
                <w:szCs w:val="20"/>
                <w:lang w:val="uk-UA"/>
              </w:rPr>
              <w:t>невдале розташування бізнесу; неефективне управління оборотним</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капіталом; зайве інвестування в фіксовані активи; погана кредитна</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політика; використання коштів компанії на особисті цілі; несподіване</w:t>
            </w:r>
            <w:r w:rsidR="00D5093F" w:rsidRPr="00042924">
              <w:rPr>
                <w:color w:val="000000" w:themeColor="text1"/>
                <w:spacing w:val="-56"/>
                <w:sz w:val="20"/>
                <w:szCs w:val="20"/>
                <w:lang w:val="uk-UA"/>
              </w:rPr>
              <w:t xml:space="preserve"> </w:t>
            </w:r>
            <w:r w:rsidR="00D5093F" w:rsidRPr="00042924">
              <w:rPr>
                <w:color w:val="000000" w:themeColor="text1"/>
                <w:sz w:val="20"/>
                <w:szCs w:val="20"/>
                <w:lang w:val="uk-UA"/>
              </w:rPr>
              <w:t>зростання</w:t>
            </w:r>
            <w:r w:rsidR="00D5093F" w:rsidRPr="00042924">
              <w:rPr>
                <w:color w:val="000000" w:themeColor="text1"/>
                <w:spacing w:val="1"/>
                <w:sz w:val="20"/>
                <w:szCs w:val="20"/>
                <w:lang w:val="uk-UA"/>
              </w:rPr>
              <w:t xml:space="preserve"> </w:t>
            </w:r>
            <w:r w:rsidR="00D5093F" w:rsidRPr="00042924">
              <w:rPr>
                <w:color w:val="000000" w:themeColor="text1"/>
                <w:sz w:val="20"/>
                <w:szCs w:val="20"/>
                <w:lang w:val="uk-UA"/>
              </w:rPr>
              <w:t>бізнесу</w:t>
            </w:r>
            <w:r>
              <w:rPr>
                <w:color w:val="000000" w:themeColor="text1"/>
                <w:sz w:val="20"/>
                <w:szCs w:val="20"/>
                <w:lang w:val="uk-UA"/>
              </w:rPr>
              <w:t>»</w:t>
            </w:r>
            <w:r w:rsidR="00A27956" w:rsidRPr="00042924">
              <w:rPr>
                <w:color w:val="000000" w:themeColor="text1"/>
                <w:sz w:val="20"/>
                <w:szCs w:val="20"/>
                <w:lang w:val="uk-UA"/>
              </w:rPr>
              <w:t xml:space="preserve"> [17]</w:t>
            </w:r>
            <w:r w:rsidR="00D5093F" w:rsidRPr="00042924">
              <w:rPr>
                <w:color w:val="000000" w:themeColor="text1"/>
                <w:sz w:val="20"/>
                <w:szCs w:val="20"/>
                <w:lang w:val="uk-UA"/>
              </w:rPr>
              <w:t>.</w:t>
            </w:r>
          </w:p>
        </w:tc>
      </w:tr>
    </w:tbl>
    <w:p w14:paraId="1A2113EE" w14:textId="77777777" w:rsidR="00516B57" w:rsidRPr="00042924" w:rsidRDefault="00AA4E6B" w:rsidP="00AA4E6B">
      <w:pPr>
        <w:spacing w:after="0" w:line="240" w:lineRule="auto"/>
        <w:ind w:firstLine="284"/>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Джерело:</w:t>
      </w:r>
      <w:r w:rsidR="00E125D2" w:rsidRPr="00042924">
        <w:rPr>
          <w:lang w:val="uk-UA"/>
        </w:rPr>
        <w:t xml:space="preserve"> </w:t>
      </w:r>
      <w:r w:rsidR="00E32FFC" w:rsidRPr="00E32FFC">
        <w:rPr>
          <w:rFonts w:ascii="Times New Roman" w:hAnsi="Times New Roman" w:cs="Times New Roman"/>
          <w:sz w:val="28"/>
          <w:szCs w:val="28"/>
          <w:lang w:val="uk-UA"/>
        </w:rPr>
        <w:t>складено автором на основі</w:t>
      </w:r>
      <w:r w:rsidR="00E125D2" w:rsidRPr="00042924">
        <w:rPr>
          <w:rFonts w:ascii="Times New Roman" w:hAnsi="Times New Roman" w:cs="Times New Roman"/>
          <w:sz w:val="28"/>
          <w:szCs w:val="28"/>
          <w:lang w:val="uk-UA"/>
        </w:rPr>
        <w:t xml:space="preserve"> [</w:t>
      </w:r>
      <w:r w:rsidR="006C2601" w:rsidRPr="00042924">
        <w:rPr>
          <w:rFonts w:ascii="Times New Roman" w:hAnsi="Times New Roman" w:cs="Times New Roman"/>
          <w:sz w:val="28"/>
          <w:szCs w:val="28"/>
          <w:lang w:val="uk-UA"/>
        </w:rPr>
        <w:t xml:space="preserve">1, c. 14; </w:t>
      </w:r>
      <w:r w:rsidR="002E681E" w:rsidRPr="00042924">
        <w:rPr>
          <w:rFonts w:ascii="Times New Roman" w:hAnsi="Times New Roman" w:cs="Times New Roman"/>
          <w:sz w:val="28"/>
          <w:szCs w:val="28"/>
          <w:lang w:val="uk-UA"/>
        </w:rPr>
        <w:t xml:space="preserve">15; </w:t>
      </w:r>
      <w:r w:rsidR="00E125D2" w:rsidRPr="00042924">
        <w:rPr>
          <w:rFonts w:ascii="Times New Roman" w:hAnsi="Times New Roman" w:cs="Times New Roman"/>
          <w:sz w:val="28"/>
          <w:szCs w:val="28"/>
          <w:lang w:val="uk-UA"/>
        </w:rPr>
        <w:t>1</w:t>
      </w:r>
      <w:r w:rsidR="002E681E" w:rsidRPr="00042924">
        <w:rPr>
          <w:rFonts w:ascii="Times New Roman" w:hAnsi="Times New Roman" w:cs="Times New Roman"/>
          <w:sz w:val="28"/>
          <w:szCs w:val="28"/>
          <w:lang w:val="uk-UA"/>
        </w:rPr>
        <w:t>6; 17, с. 47; 1</w:t>
      </w:r>
      <w:r w:rsidR="00863CC2" w:rsidRPr="00042924">
        <w:rPr>
          <w:rFonts w:ascii="Times New Roman" w:hAnsi="Times New Roman" w:cs="Times New Roman"/>
          <w:sz w:val="28"/>
          <w:szCs w:val="28"/>
          <w:lang w:val="uk-UA"/>
        </w:rPr>
        <w:t>8</w:t>
      </w:r>
      <w:r w:rsidR="002E681E" w:rsidRPr="00042924">
        <w:rPr>
          <w:rFonts w:ascii="Times New Roman" w:hAnsi="Times New Roman" w:cs="Times New Roman"/>
          <w:sz w:val="28"/>
          <w:szCs w:val="28"/>
          <w:lang w:val="uk-UA"/>
        </w:rPr>
        <w:t>; 1</w:t>
      </w:r>
      <w:r w:rsidR="00863CC2" w:rsidRPr="00042924">
        <w:rPr>
          <w:rFonts w:ascii="Times New Roman" w:hAnsi="Times New Roman" w:cs="Times New Roman"/>
          <w:sz w:val="28"/>
          <w:szCs w:val="28"/>
          <w:lang w:val="uk-UA"/>
        </w:rPr>
        <w:t>9</w:t>
      </w:r>
      <w:r w:rsidR="002E681E" w:rsidRPr="00042924">
        <w:rPr>
          <w:rFonts w:ascii="Times New Roman" w:hAnsi="Times New Roman" w:cs="Times New Roman"/>
          <w:sz w:val="28"/>
          <w:szCs w:val="28"/>
          <w:lang w:val="uk-UA"/>
        </w:rPr>
        <w:t xml:space="preserve">; </w:t>
      </w:r>
      <w:r w:rsidR="00863CC2" w:rsidRPr="00042924">
        <w:rPr>
          <w:rFonts w:ascii="Times New Roman" w:hAnsi="Times New Roman" w:cs="Times New Roman"/>
          <w:sz w:val="28"/>
          <w:szCs w:val="28"/>
          <w:lang w:val="uk-UA"/>
        </w:rPr>
        <w:t>2</w:t>
      </w:r>
      <w:r w:rsidR="006C2601" w:rsidRPr="00042924">
        <w:rPr>
          <w:rFonts w:ascii="Times New Roman" w:hAnsi="Times New Roman" w:cs="Times New Roman"/>
          <w:sz w:val="28"/>
          <w:szCs w:val="28"/>
          <w:lang w:val="uk-UA"/>
        </w:rPr>
        <w:t>0</w:t>
      </w:r>
      <w:r w:rsidR="00E125D2" w:rsidRPr="00042924">
        <w:rPr>
          <w:rFonts w:ascii="Times New Roman" w:hAnsi="Times New Roman" w:cs="Times New Roman"/>
          <w:sz w:val="28"/>
          <w:szCs w:val="28"/>
          <w:lang w:val="uk-UA"/>
        </w:rPr>
        <w:t>]</w:t>
      </w:r>
    </w:p>
    <w:p w14:paraId="020645D7" w14:textId="77777777" w:rsidR="00073A2C" w:rsidRPr="00042924" w:rsidRDefault="000F4B18" w:rsidP="00073A2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br w:type="page"/>
      </w:r>
      <w:r w:rsidR="00C92B9E" w:rsidRPr="00042924">
        <w:rPr>
          <w:rFonts w:ascii="Times New Roman" w:hAnsi="Times New Roman" w:cs="Times New Roman"/>
          <w:sz w:val="28"/>
          <w:szCs w:val="28"/>
          <w:lang w:val="uk-UA"/>
        </w:rPr>
        <w:lastRenderedPageBreak/>
        <w:t xml:space="preserve">Отже, як свідчить проведений аналіз </w:t>
      </w:r>
      <w:r w:rsidR="0044415C" w:rsidRPr="00042924">
        <w:rPr>
          <w:rFonts w:ascii="Times New Roman" w:hAnsi="Times New Roman" w:cs="Times New Roman"/>
          <w:sz w:val="28"/>
          <w:szCs w:val="28"/>
          <w:lang w:val="uk-UA"/>
        </w:rPr>
        <w:t>(табл.1.2) а</w:t>
      </w:r>
      <w:r w:rsidR="00073A2C" w:rsidRPr="00042924">
        <w:rPr>
          <w:rFonts w:ascii="Times New Roman" w:hAnsi="Times New Roman" w:cs="Times New Roman"/>
          <w:sz w:val="28"/>
          <w:szCs w:val="28"/>
          <w:lang w:val="uk-UA"/>
        </w:rPr>
        <w:t>втори використовують різні підходи до класифікації причин банкрутства, зосереджуючись на зовнішніх чи внутрішніх факторах. Найбільш повну класифікацію надають Фурман</w:t>
      </w:r>
      <w:r w:rsidR="00AD7C20" w:rsidRPr="00042924">
        <w:rPr>
          <w:rFonts w:ascii="Times New Roman" w:hAnsi="Times New Roman" w:cs="Times New Roman"/>
          <w:sz w:val="28"/>
          <w:szCs w:val="28"/>
          <w:lang w:val="uk-UA"/>
        </w:rPr>
        <w:t xml:space="preserve"> Т.Ю.</w:t>
      </w:r>
      <w:r w:rsidR="00073A2C" w:rsidRPr="00042924">
        <w:rPr>
          <w:rFonts w:ascii="Times New Roman" w:hAnsi="Times New Roman" w:cs="Times New Roman"/>
          <w:sz w:val="28"/>
          <w:szCs w:val="28"/>
          <w:lang w:val="uk-UA"/>
        </w:rPr>
        <w:t xml:space="preserve"> і Прокопович</w:t>
      </w:r>
      <w:r w:rsidR="00AD7C20" w:rsidRPr="00042924">
        <w:rPr>
          <w:rFonts w:ascii="Times New Roman" w:hAnsi="Times New Roman" w:cs="Times New Roman"/>
          <w:sz w:val="28"/>
          <w:szCs w:val="28"/>
          <w:lang w:val="uk-UA"/>
        </w:rPr>
        <w:t xml:space="preserve"> Н.І.</w:t>
      </w:r>
      <w:r w:rsidR="00073A2C" w:rsidRPr="00042924">
        <w:rPr>
          <w:rFonts w:ascii="Times New Roman" w:hAnsi="Times New Roman" w:cs="Times New Roman"/>
          <w:sz w:val="28"/>
          <w:szCs w:val="28"/>
          <w:lang w:val="uk-UA"/>
        </w:rPr>
        <w:t>, поділивши причини на зовнішні соціально-економічні, ринкові та інші фактори, а також внутрішні виробничі, інвестиційні та фінансові фактори. Терещенко</w:t>
      </w:r>
      <w:r w:rsidR="002F3FF4" w:rsidRPr="00042924">
        <w:rPr>
          <w:rFonts w:ascii="Times New Roman" w:hAnsi="Times New Roman" w:cs="Times New Roman"/>
          <w:sz w:val="28"/>
          <w:szCs w:val="28"/>
          <w:lang w:val="uk-UA"/>
        </w:rPr>
        <w:t xml:space="preserve"> О.О.</w:t>
      </w:r>
      <w:r w:rsidR="00073A2C" w:rsidRPr="00042924">
        <w:rPr>
          <w:rFonts w:ascii="Times New Roman" w:hAnsi="Times New Roman" w:cs="Times New Roman"/>
          <w:sz w:val="28"/>
          <w:szCs w:val="28"/>
          <w:lang w:val="uk-UA"/>
        </w:rPr>
        <w:t xml:space="preserve"> спрощує це, групуючи причини на екзогенні (зовнішні) та ендогенні (внутрішні) фінансові кризи. Марусяк</w:t>
      </w:r>
      <w:r w:rsidR="002F3FF4" w:rsidRPr="00042924">
        <w:rPr>
          <w:rFonts w:ascii="Times New Roman" w:hAnsi="Times New Roman" w:cs="Times New Roman"/>
          <w:sz w:val="28"/>
          <w:szCs w:val="28"/>
          <w:lang w:val="uk-UA"/>
        </w:rPr>
        <w:t xml:space="preserve"> Н.Л.</w:t>
      </w:r>
      <w:r w:rsidR="00073A2C" w:rsidRPr="00042924">
        <w:rPr>
          <w:rFonts w:ascii="Times New Roman" w:hAnsi="Times New Roman" w:cs="Times New Roman"/>
          <w:sz w:val="28"/>
          <w:szCs w:val="28"/>
          <w:lang w:val="uk-UA"/>
        </w:rPr>
        <w:t xml:space="preserve"> і Пильнюк</w:t>
      </w:r>
      <w:r w:rsidR="002F3FF4" w:rsidRPr="00042924">
        <w:rPr>
          <w:rFonts w:ascii="Times New Roman" w:hAnsi="Times New Roman" w:cs="Times New Roman"/>
          <w:sz w:val="28"/>
          <w:szCs w:val="28"/>
          <w:lang w:val="uk-UA"/>
        </w:rPr>
        <w:t xml:space="preserve"> Д.О.</w:t>
      </w:r>
      <w:r w:rsidR="00073A2C" w:rsidRPr="00042924">
        <w:rPr>
          <w:rFonts w:ascii="Times New Roman" w:hAnsi="Times New Roman" w:cs="Times New Roman"/>
          <w:sz w:val="28"/>
          <w:szCs w:val="28"/>
          <w:lang w:val="uk-UA"/>
        </w:rPr>
        <w:t xml:space="preserve"> зосереджуються більш вузько на бізнесі, власниках, виробництві та управлінських причинах. Грачов</w:t>
      </w:r>
      <w:r w:rsidR="002F3FF4" w:rsidRPr="00042924">
        <w:rPr>
          <w:rFonts w:ascii="Times New Roman" w:hAnsi="Times New Roman" w:cs="Times New Roman"/>
          <w:sz w:val="28"/>
          <w:szCs w:val="28"/>
          <w:lang w:val="uk-UA"/>
        </w:rPr>
        <w:t xml:space="preserve"> В.І.</w:t>
      </w:r>
      <w:r w:rsidR="00073A2C" w:rsidRPr="00042924">
        <w:rPr>
          <w:rFonts w:ascii="Times New Roman" w:hAnsi="Times New Roman" w:cs="Times New Roman"/>
          <w:sz w:val="28"/>
          <w:szCs w:val="28"/>
          <w:lang w:val="uk-UA"/>
        </w:rPr>
        <w:t xml:space="preserve"> і Терещенко</w:t>
      </w:r>
      <w:r w:rsidR="002F3FF4" w:rsidRPr="00042924">
        <w:rPr>
          <w:rFonts w:ascii="Times New Roman" w:hAnsi="Times New Roman" w:cs="Times New Roman"/>
          <w:sz w:val="28"/>
          <w:szCs w:val="28"/>
          <w:lang w:val="uk-UA"/>
        </w:rPr>
        <w:t xml:space="preserve"> О.О.</w:t>
      </w:r>
      <w:r w:rsidR="00073A2C" w:rsidRPr="00042924">
        <w:rPr>
          <w:rFonts w:ascii="Times New Roman" w:hAnsi="Times New Roman" w:cs="Times New Roman"/>
          <w:sz w:val="28"/>
          <w:szCs w:val="28"/>
          <w:lang w:val="uk-UA"/>
        </w:rPr>
        <w:t xml:space="preserve"> наголошують на зовнішніх і внутрішніх факторах, як </w:t>
      </w:r>
      <w:r w:rsidR="00FC666A" w:rsidRPr="00042924">
        <w:rPr>
          <w:rFonts w:ascii="Times New Roman" w:hAnsi="Times New Roman" w:cs="Times New Roman"/>
          <w:sz w:val="28"/>
          <w:szCs w:val="28"/>
          <w:lang w:val="uk-UA"/>
        </w:rPr>
        <w:t>Фурман Т.Ю.</w:t>
      </w:r>
      <w:r w:rsidR="00073A2C" w:rsidRPr="00042924">
        <w:rPr>
          <w:rFonts w:ascii="Times New Roman" w:hAnsi="Times New Roman" w:cs="Times New Roman"/>
          <w:sz w:val="28"/>
          <w:szCs w:val="28"/>
          <w:lang w:val="uk-UA"/>
        </w:rPr>
        <w:t xml:space="preserve"> і </w:t>
      </w:r>
      <w:r w:rsidR="00FC666A" w:rsidRPr="00042924">
        <w:rPr>
          <w:rFonts w:ascii="Times New Roman" w:hAnsi="Times New Roman" w:cs="Times New Roman"/>
          <w:sz w:val="28"/>
          <w:szCs w:val="28"/>
          <w:lang w:val="uk-UA"/>
        </w:rPr>
        <w:t>Прокопович Н.І.</w:t>
      </w:r>
      <w:r w:rsidR="00073A2C" w:rsidRPr="00042924">
        <w:rPr>
          <w:rFonts w:ascii="Times New Roman" w:hAnsi="Times New Roman" w:cs="Times New Roman"/>
          <w:sz w:val="28"/>
          <w:szCs w:val="28"/>
          <w:lang w:val="uk-UA"/>
        </w:rPr>
        <w:t>. Нарешті, Грицюк</w:t>
      </w:r>
      <w:r w:rsidR="00FC666A" w:rsidRPr="00042924">
        <w:rPr>
          <w:rFonts w:ascii="Times New Roman" w:hAnsi="Times New Roman" w:cs="Times New Roman"/>
          <w:sz w:val="28"/>
          <w:szCs w:val="28"/>
          <w:lang w:val="uk-UA"/>
        </w:rPr>
        <w:t xml:space="preserve"> Е.О.</w:t>
      </w:r>
      <w:r w:rsidR="00073A2C" w:rsidRPr="00042924">
        <w:rPr>
          <w:rFonts w:ascii="Times New Roman" w:hAnsi="Times New Roman" w:cs="Times New Roman"/>
          <w:sz w:val="28"/>
          <w:szCs w:val="28"/>
          <w:lang w:val="uk-UA"/>
        </w:rPr>
        <w:t xml:space="preserve"> перераховує конкретні причини, такі як недосвідченість, брак капіталу, неефективний менеджмент тощо.</w:t>
      </w:r>
    </w:p>
    <w:p w14:paraId="45B1FB4F" w14:textId="77777777" w:rsidR="00073A2C" w:rsidRPr="00042924" w:rsidRDefault="00073A2C" w:rsidP="00073A2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Хоча всі автори визнають, що як зовнішні, так і внутрішні чинники сприяють банкрутству, </w:t>
      </w:r>
      <w:r w:rsidR="003F7530" w:rsidRPr="00042924">
        <w:rPr>
          <w:rFonts w:ascii="Times New Roman" w:hAnsi="Times New Roman" w:cs="Times New Roman"/>
          <w:sz w:val="28"/>
          <w:szCs w:val="28"/>
          <w:lang w:val="uk-UA"/>
        </w:rPr>
        <w:t>Фурман Т.Ю. і Прокопович Н.І.</w:t>
      </w:r>
      <w:r w:rsidRPr="00042924">
        <w:rPr>
          <w:rFonts w:ascii="Times New Roman" w:hAnsi="Times New Roman" w:cs="Times New Roman"/>
          <w:sz w:val="28"/>
          <w:szCs w:val="28"/>
          <w:lang w:val="uk-UA"/>
        </w:rPr>
        <w:t xml:space="preserve"> надають найбільш детальну класифікацію, окреслюючи кілька різних зовнішніх і внутрішніх субфакторів. Інші автори, як правило, використовують ширші категорії, такі як екзогенні/ендогенні, або зосереджуються лише на одному аспекті, як-от причини управління.</w:t>
      </w:r>
    </w:p>
    <w:p w14:paraId="5802D400" w14:textId="77777777" w:rsidR="00073A2C" w:rsidRPr="00042924" w:rsidRDefault="00073A2C" w:rsidP="00073A2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Критично досліджуючи ці класифікації, підхід </w:t>
      </w:r>
      <w:r w:rsidR="003F7530" w:rsidRPr="00042924">
        <w:rPr>
          <w:rFonts w:ascii="Times New Roman" w:hAnsi="Times New Roman" w:cs="Times New Roman"/>
          <w:sz w:val="28"/>
          <w:szCs w:val="28"/>
          <w:lang w:val="uk-UA"/>
        </w:rPr>
        <w:t>Фурман Т.Ю. і Прокопович Н.І.</w:t>
      </w:r>
      <w:r w:rsidRPr="00042924">
        <w:rPr>
          <w:rFonts w:ascii="Times New Roman" w:hAnsi="Times New Roman" w:cs="Times New Roman"/>
          <w:sz w:val="28"/>
          <w:szCs w:val="28"/>
          <w:lang w:val="uk-UA"/>
        </w:rPr>
        <w:t>, ймовірно, є найбільш корисним для аналізу основних причин банкрутства конкретної компанії. Систематично розглядаючи, як різні соціально-економічні, ринкові, фінансові, виробничі та інвестиційні чинники могли вплинути на це, він забезпечує основу для більш цілісної діагностики. Інші класифікації є простішими, але можуть пропустити ключові фактори чи нюанси.</w:t>
      </w:r>
    </w:p>
    <w:p w14:paraId="7F8BEDB8" w14:textId="77777777" w:rsidR="00AD7C20" w:rsidRPr="00042924" w:rsidRDefault="00AD7C20" w:rsidP="00AD7C20">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Автори, як правило, не вникають детально в наслідки банкрутства. Лише </w:t>
      </w:r>
      <w:r w:rsidR="003F7530" w:rsidRPr="00042924">
        <w:rPr>
          <w:rFonts w:ascii="Times New Roman" w:hAnsi="Times New Roman" w:cs="Times New Roman"/>
          <w:sz w:val="28"/>
          <w:szCs w:val="28"/>
          <w:lang w:val="uk-UA"/>
        </w:rPr>
        <w:t>Грицюк Е.О.</w:t>
      </w:r>
      <w:r w:rsidRPr="00042924">
        <w:rPr>
          <w:rFonts w:ascii="Times New Roman" w:hAnsi="Times New Roman" w:cs="Times New Roman"/>
          <w:sz w:val="28"/>
          <w:szCs w:val="28"/>
          <w:lang w:val="uk-UA"/>
        </w:rPr>
        <w:t xml:space="preserve"> згадує про несподіване зростання бізнесу, що призвело до банкрутства, підкреслюючи, що наслідки також можуть повертатися до причин впливу. Подальший аналіз типових наслідків банкрутства для працівників, акціонерів, кредиторів, споживачів тощо може дати додаткову інформацію. Загалом </w:t>
      </w:r>
      <w:r w:rsidR="003F7530" w:rsidRPr="00042924">
        <w:rPr>
          <w:rFonts w:ascii="Times New Roman" w:hAnsi="Times New Roman" w:cs="Times New Roman"/>
          <w:sz w:val="28"/>
          <w:szCs w:val="28"/>
          <w:lang w:val="uk-UA"/>
        </w:rPr>
        <w:t>Фурман Т.Ю. і Прокопович Н.І.</w:t>
      </w:r>
      <w:r w:rsidRPr="00042924">
        <w:rPr>
          <w:rFonts w:ascii="Times New Roman" w:hAnsi="Times New Roman" w:cs="Times New Roman"/>
          <w:sz w:val="28"/>
          <w:szCs w:val="28"/>
          <w:lang w:val="uk-UA"/>
        </w:rPr>
        <w:t xml:space="preserve"> є найсильнішою відправною точкою для всебічного та критичного аналізу причин банкрутства, тоді як вивчення наслідків залишається областю для подальшого розвитку. Банкрутство підприємств є неоднозначним явищем, що має як позитивні, так і негативні наслідки для економіки. З одного боку, воно виконує функцію очищення ринку від неефективних господарських одиниць. Проте з іншого боку, масові банкрутства можуть спричинити системну економічну кризу. Отже, уряд та бізнес-спільнота повинні здійснювати регулярний моніторинг фінансового стану компаній, аби запобігти їх неконтрольованому банкрутству.</w:t>
      </w:r>
    </w:p>
    <w:p w14:paraId="362BB75C" w14:textId="77777777" w:rsidR="000F4B18" w:rsidRPr="00042924" w:rsidRDefault="00AD7C20" w:rsidP="007F4825">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Неспроможні підприємства-боржники створюють ризики для своїх контрагентів, оскільки не виконують фінансових зобов’язань перед ними. Це призводить до ланцюгової реакції </w:t>
      </w:r>
      <w:r w:rsidR="004B7C2B" w:rsidRPr="00042924">
        <w:rPr>
          <w:rFonts w:ascii="Times New Roman" w:hAnsi="Times New Roman" w:cs="Times New Roman"/>
          <w:sz w:val="28"/>
          <w:szCs w:val="28"/>
          <w:lang w:val="uk-UA"/>
        </w:rPr>
        <w:t>не</w:t>
      </w:r>
      <w:r w:rsidR="00392BDC" w:rsidRPr="00042924">
        <w:rPr>
          <w:rFonts w:ascii="Times New Roman" w:hAnsi="Times New Roman" w:cs="Times New Roman"/>
          <w:sz w:val="28"/>
          <w:szCs w:val="28"/>
          <w:lang w:val="uk-UA"/>
        </w:rPr>
        <w:t xml:space="preserve"> </w:t>
      </w:r>
      <w:r w:rsidR="004B7C2B" w:rsidRPr="00042924">
        <w:rPr>
          <w:rFonts w:ascii="Times New Roman" w:hAnsi="Times New Roman" w:cs="Times New Roman"/>
          <w:sz w:val="28"/>
          <w:szCs w:val="28"/>
          <w:lang w:val="uk-UA"/>
        </w:rPr>
        <w:t>платежів</w:t>
      </w:r>
      <w:r w:rsidRPr="00042924">
        <w:rPr>
          <w:rFonts w:ascii="Times New Roman" w:hAnsi="Times New Roman" w:cs="Times New Roman"/>
          <w:sz w:val="28"/>
          <w:szCs w:val="28"/>
          <w:lang w:val="uk-UA"/>
        </w:rPr>
        <w:t xml:space="preserve">, порушення господарських зв’язків та гальмування економічного зростання. Крім того, через припинення діяльності банкрути скорочують надходження до бюджету та позабюджетних фондів. Неефективне використання ресурсів збитковими компаніями знижує середню норму прибутку в економіці. Нарешті, скорочення виробництва та закриття бізнесу означає втрату робочих місць і зростання безробіття. Отже, держава має проводити </w:t>
      </w:r>
      <w:r w:rsidRPr="00042924">
        <w:rPr>
          <w:rFonts w:ascii="Times New Roman" w:hAnsi="Times New Roman" w:cs="Times New Roman"/>
          <w:sz w:val="28"/>
          <w:szCs w:val="28"/>
          <w:lang w:val="uk-UA"/>
        </w:rPr>
        <w:lastRenderedPageBreak/>
        <w:t>політику, спрямовану на запобігання масовим банкрутствам та пом’якшення їх негативного впливу.</w:t>
      </w:r>
    </w:p>
    <w:p w14:paraId="462626A7" w14:textId="77777777" w:rsidR="00253E3B" w:rsidRDefault="00253E3B" w:rsidP="007F4825">
      <w:pPr>
        <w:spacing w:after="0" w:line="240" w:lineRule="auto"/>
        <w:ind w:firstLine="709"/>
        <w:jc w:val="both"/>
        <w:rPr>
          <w:rFonts w:ascii="Times New Roman" w:hAnsi="Times New Roman" w:cs="Times New Roman"/>
          <w:sz w:val="28"/>
          <w:szCs w:val="28"/>
          <w:lang w:val="uk-UA"/>
        </w:rPr>
      </w:pPr>
    </w:p>
    <w:p w14:paraId="40A5B387" w14:textId="77777777" w:rsidR="007F4825" w:rsidRPr="00042924" w:rsidRDefault="007F4825" w:rsidP="007F4825">
      <w:pPr>
        <w:spacing w:after="0" w:line="240" w:lineRule="auto"/>
        <w:ind w:firstLine="709"/>
        <w:jc w:val="both"/>
        <w:rPr>
          <w:rFonts w:ascii="Times New Roman" w:hAnsi="Times New Roman" w:cs="Times New Roman"/>
          <w:sz w:val="28"/>
          <w:szCs w:val="28"/>
          <w:lang w:val="uk-UA"/>
        </w:rPr>
      </w:pPr>
    </w:p>
    <w:p w14:paraId="2FE51A3C" w14:textId="77777777" w:rsidR="002308B6" w:rsidRPr="00042924" w:rsidRDefault="00115D14" w:rsidP="009A7881">
      <w:pPr>
        <w:spacing w:after="0" w:line="240" w:lineRule="auto"/>
        <w:ind w:firstLine="709"/>
        <w:jc w:val="both"/>
        <w:rPr>
          <w:rFonts w:ascii="Times New Roman" w:hAnsi="Times New Roman" w:cs="Times New Roman"/>
          <w:b/>
          <w:bCs/>
          <w:sz w:val="28"/>
          <w:szCs w:val="28"/>
          <w:lang w:val="uk-UA"/>
        </w:rPr>
      </w:pPr>
      <w:bookmarkStart w:id="3" w:name="_Hlk150610222"/>
      <w:r w:rsidRPr="00042924">
        <w:rPr>
          <w:rFonts w:ascii="Times New Roman" w:hAnsi="Times New Roman" w:cs="Times New Roman"/>
          <w:b/>
          <w:bCs/>
          <w:sz w:val="28"/>
          <w:szCs w:val="28"/>
          <w:lang w:val="uk-UA"/>
        </w:rPr>
        <w:t>1.2. Методичні підходи до оцінки фінансової скрути компанії та прогнозування потенційного банкрутства підприємств</w:t>
      </w:r>
    </w:p>
    <w:p w14:paraId="032C419F" w14:textId="77777777" w:rsidR="004002CF" w:rsidRDefault="004002CF" w:rsidP="007F4825">
      <w:pPr>
        <w:spacing w:after="0" w:line="240" w:lineRule="auto"/>
        <w:jc w:val="both"/>
        <w:rPr>
          <w:rFonts w:ascii="Times New Roman" w:hAnsi="Times New Roman" w:cs="Times New Roman"/>
          <w:b/>
          <w:bCs/>
          <w:sz w:val="28"/>
          <w:szCs w:val="28"/>
          <w:lang w:val="uk-UA"/>
        </w:rPr>
      </w:pPr>
    </w:p>
    <w:p w14:paraId="53DE31B9" w14:textId="77777777" w:rsidR="007F4825" w:rsidRPr="00042924" w:rsidRDefault="007F4825" w:rsidP="007F4825">
      <w:pPr>
        <w:spacing w:after="0" w:line="240" w:lineRule="auto"/>
        <w:jc w:val="both"/>
        <w:rPr>
          <w:rFonts w:ascii="Times New Roman" w:hAnsi="Times New Roman" w:cs="Times New Roman"/>
          <w:b/>
          <w:bCs/>
          <w:sz w:val="28"/>
          <w:szCs w:val="28"/>
          <w:lang w:val="uk-UA"/>
        </w:rPr>
      </w:pPr>
    </w:p>
    <w:p w14:paraId="0E26728F" w14:textId="77777777" w:rsidR="004002CF" w:rsidRPr="00042924" w:rsidRDefault="004002CF" w:rsidP="007F4825">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У часи політичних потрясінь та економічної нестабільності підприємства стикаються з численними проблемами, які можуть призвести до фінансової неспроможності або навіть до банкрутства. Це призводить до втрати робочих місць і загострення соціальної напруги. Тому вкрай важливо, щоб фінансові установи проводили своєчасний та надійний аналіз для виявлення ранніх ознак </w:t>
      </w:r>
      <w:r w:rsidR="00EF5918" w:rsidRPr="00042924">
        <w:rPr>
          <w:rFonts w:ascii="Times New Roman" w:hAnsi="Times New Roman" w:cs="Times New Roman"/>
          <w:sz w:val="28"/>
          <w:szCs w:val="28"/>
          <w:lang w:val="uk-UA"/>
        </w:rPr>
        <w:t>ймовірності банкрутства підприємств</w:t>
      </w:r>
      <w:r w:rsidRPr="00042924">
        <w:rPr>
          <w:rFonts w:ascii="Times New Roman" w:hAnsi="Times New Roman" w:cs="Times New Roman"/>
          <w:sz w:val="28"/>
          <w:szCs w:val="28"/>
          <w:lang w:val="uk-UA"/>
        </w:rPr>
        <w:t xml:space="preserve"> в Україні. Потім можна вжити відповідних заходів, щоб виправити ситуацію, перш ніж вона переросте в повне банкрутство.</w:t>
      </w:r>
    </w:p>
    <w:p w14:paraId="74059516" w14:textId="77777777" w:rsidR="00A67839" w:rsidRPr="00042924" w:rsidRDefault="00EF5918"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Б</w:t>
      </w:r>
      <w:r w:rsidR="004002CF" w:rsidRPr="00042924">
        <w:rPr>
          <w:rFonts w:ascii="Times New Roman" w:hAnsi="Times New Roman" w:cs="Times New Roman"/>
          <w:sz w:val="28"/>
          <w:szCs w:val="28"/>
          <w:lang w:val="uk-UA"/>
        </w:rPr>
        <w:t>анкрутства</w:t>
      </w:r>
      <w:r w:rsidRPr="00042924">
        <w:rPr>
          <w:rFonts w:ascii="Times New Roman" w:hAnsi="Times New Roman" w:cs="Times New Roman"/>
          <w:sz w:val="28"/>
          <w:szCs w:val="28"/>
          <w:lang w:val="uk-UA"/>
        </w:rPr>
        <w:t xml:space="preserve"> підприємств</w:t>
      </w:r>
      <w:r w:rsidR="004002CF" w:rsidRPr="00042924">
        <w:rPr>
          <w:rFonts w:ascii="Times New Roman" w:hAnsi="Times New Roman" w:cs="Times New Roman"/>
          <w:sz w:val="28"/>
          <w:szCs w:val="28"/>
          <w:lang w:val="uk-UA"/>
        </w:rPr>
        <w:t xml:space="preserve"> відображають погіршення фінансового стану та прибутковості. Значна частина українських компаній зараз є збитковими та фінансово слабкими. </w:t>
      </w:r>
      <w:r w:rsidR="00A67839" w:rsidRPr="00042924">
        <w:rPr>
          <w:rFonts w:ascii="Times New Roman" w:hAnsi="Times New Roman" w:cs="Times New Roman"/>
          <w:sz w:val="28"/>
          <w:szCs w:val="28"/>
          <w:lang w:val="uk-UA"/>
        </w:rPr>
        <w:t>Повсюдна відсутність прибутковості становить суттєву загрозу для стійкості національної економіки. На цей небезпечний сценарій впливає безліч факторів, зокрема, але не обмежуючись ними:</w:t>
      </w:r>
    </w:p>
    <w:p w14:paraId="15357597" w14:textId="77777777" w:rsidR="00A67839" w:rsidRPr="00042924" w:rsidRDefault="00A67839"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політична нестабільність</w:t>
      </w:r>
      <w:r w:rsidR="00AA6935" w:rsidRPr="00042924">
        <w:rPr>
          <w:rFonts w:ascii="Times New Roman" w:hAnsi="Times New Roman" w:cs="Times New Roman"/>
          <w:sz w:val="28"/>
          <w:szCs w:val="28"/>
          <w:lang w:val="uk-UA"/>
        </w:rPr>
        <w:t>;</w:t>
      </w:r>
    </w:p>
    <w:p w14:paraId="3EECDA6D" w14:textId="77777777" w:rsidR="00A67839" w:rsidRPr="00042924" w:rsidRDefault="00A67839"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збройні конфлікти</w:t>
      </w:r>
      <w:r w:rsidR="00AA6935" w:rsidRPr="00042924">
        <w:rPr>
          <w:rFonts w:ascii="Times New Roman" w:hAnsi="Times New Roman" w:cs="Times New Roman"/>
          <w:sz w:val="28"/>
          <w:szCs w:val="28"/>
          <w:lang w:val="uk-UA"/>
        </w:rPr>
        <w:t>;</w:t>
      </w:r>
    </w:p>
    <w:p w14:paraId="1F8466C2" w14:textId="77777777" w:rsidR="00A67839" w:rsidRPr="00042924" w:rsidRDefault="00A67839"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розмивання експортних ринків</w:t>
      </w:r>
      <w:r w:rsidR="00AA6935" w:rsidRPr="00042924">
        <w:rPr>
          <w:rFonts w:ascii="Times New Roman" w:hAnsi="Times New Roman" w:cs="Times New Roman"/>
          <w:sz w:val="28"/>
          <w:szCs w:val="28"/>
          <w:lang w:val="uk-UA"/>
        </w:rPr>
        <w:t>;</w:t>
      </w:r>
    </w:p>
    <w:p w14:paraId="3566EE2E" w14:textId="77777777" w:rsidR="00A67839" w:rsidRPr="00042924" w:rsidRDefault="00A67839"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 збої в ланцюзі поставок </w:t>
      </w:r>
      <w:r w:rsidR="00AA6935" w:rsidRPr="00042924">
        <w:rPr>
          <w:rFonts w:ascii="Times New Roman" w:hAnsi="Times New Roman" w:cs="Times New Roman"/>
          <w:sz w:val="28"/>
          <w:szCs w:val="28"/>
          <w:lang w:val="uk-UA"/>
        </w:rPr>
        <w:t>;</w:t>
      </w:r>
    </w:p>
    <w:p w14:paraId="48CC1C0C" w14:textId="77777777" w:rsidR="00A67839" w:rsidRPr="00042924" w:rsidRDefault="00A67839"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несприятливі макроекономічні умови.</w:t>
      </w:r>
    </w:p>
    <w:p w14:paraId="595CE12F" w14:textId="77777777" w:rsidR="00FE435E" w:rsidRPr="00042924" w:rsidRDefault="004002CF" w:rsidP="00A6783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Проактивний моніторинг і втручання з боку кредиторів і державних установ можуть допомогти підприємствам, які переживають труднощі, уникнути банкрутства шляхом реструктуризації та доступу до фінансування. Однак ігнорування ранніх попереджувальних ознак може призвести до посилення проблем, поки не залишиться лише процедура банкрутства</w:t>
      </w:r>
      <w:r w:rsidR="003D765D">
        <w:rPr>
          <w:rFonts w:ascii="Times New Roman" w:hAnsi="Times New Roman" w:cs="Times New Roman"/>
          <w:sz w:val="28"/>
          <w:szCs w:val="28"/>
          <w:lang w:val="uk-UA"/>
        </w:rPr>
        <w:t xml:space="preserve"> </w:t>
      </w:r>
      <w:r w:rsidR="00D83E06" w:rsidRPr="00042924">
        <w:rPr>
          <w:rFonts w:ascii="Times New Roman" w:hAnsi="Times New Roman" w:cs="Times New Roman"/>
          <w:sz w:val="28"/>
          <w:szCs w:val="28"/>
          <w:lang w:val="uk-UA"/>
        </w:rPr>
        <w:t>[</w:t>
      </w:r>
      <w:r w:rsidR="00DB2664" w:rsidRPr="00042924">
        <w:rPr>
          <w:rFonts w:ascii="Times New Roman" w:hAnsi="Times New Roman" w:cs="Times New Roman"/>
          <w:sz w:val="28"/>
          <w:szCs w:val="28"/>
          <w:lang w:val="uk-UA"/>
        </w:rPr>
        <w:t>21; 22</w:t>
      </w:r>
      <w:r w:rsidR="00D83E06" w:rsidRPr="00042924">
        <w:rPr>
          <w:rFonts w:ascii="Times New Roman" w:hAnsi="Times New Roman" w:cs="Times New Roman"/>
          <w:sz w:val="28"/>
          <w:szCs w:val="28"/>
          <w:lang w:val="uk-UA"/>
        </w:rPr>
        <w:t>]</w:t>
      </w:r>
      <w:r w:rsidR="003D765D">
        <w:rPr>
          <w:rFonts w:ascii="Times New Roman" w:hAnsi="Times New Roman" w:cs="Times New Roman"/>
          <w:sz w:val="28"/>
          <w:szCs w:val="28"/>
          <w:lang w:val="uk-UA"/>
        </w:rPr>
        <w:t>.</w:t>
      </w:r>
    </w:p>
    <w:p w14:paraId="5B37A655" w14:textId="77777777" w:rsidR="00082DDC" w:rsidRPr="00042924" w:rsidRDefault="00082DDC"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Діагностика кризового стану підприємства або загрози банкрутства часто починається з виявлення ранніх ознак або симптомів. Це може включати зниження обсягів продажів, зниження попиту, зниження норми прибутку, втрату клієнтів, нерегулярний графік виробництва, недостатнє використання потужностей, падіння продуктивності праці та звільнення.</w:t>
      </w:r>
    </w:p>
    <w:p w14:paraId="00F4F80E" w14:textId="77777777" w:rsidR="00082DDC" w:rsidRPr="00042924" w:rsidRDefault="00082DDC"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На думку Л.О. Лігоненко, діагностику банкрутства можна класифікувати залежно від того, хто ініціює аналіз:</w:t>
      </w:r>
    </w:p>
    <w:p w14:paraId="50DCD726" w14:textId="77777777" w:rsidR="00082DDC" w:rsidRPr="00042924" w:rsidRDefault="00BF4E16" w:rsidP="00BF4E16">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1. </w:t>
      </w:r>
      <w:r w:rsidR="00082DDC" w:rsidRPr="00042924">
        <w:rPr>
          <w:rFonts w:ascii="Times New Roman" w:hAnsi="Times New Roman" w:cs="Times New Roman"/>
          <w:sz w:val="28"/>
          <w:szCs w:val="28"/>
          <w:lang w:val="uk-UA"/>
        </w:rPr>
        <w:t>Внутрішня діагностика банкрутства - виконується на вимогу керівництва компанії або власника.</w:t>
      </w:r>
    </w:p>
    <w:p w14:paraId="4336B123" w14:textId="77777777" w:rsidR="00082DDC" w:rsidRPr="00042924" w:rsidRDefault="00BF4E16"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2. </w:t>
      </w:r>
      <w:r w:rsidR="00082DDC" w:rsidRPr="00042924">
        <w:rPr>
          <w:rFonts w:ascii="Times New Roman" w:hAnsi="Times New Roman" w:cs="Times New Roman"/>
          <w:sz w:val="28"/>
          <w:szCs w:val="28"/>
          <w:lang w:val="uk-UA"/>
        </w:rPr>
        <w:t>Зовнішня діагностика банкрутства - ініційована:</w:t>
      </w:r>
    </w:p>
    <w:p w14:paraId="243652F9" w14:textId="77777777" w:rsidR="00082DDC" w:rsidRPr="00042924" w:rsidRDefault="00BF4E16"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 </w:t>
      </w:r>
      <w:r w:rsidR="00082DDC" w:rsidRPr="00042924">
        <w:rPr>
          <w:rFonts w:ascii="Times New Roman" w:hAnsi="Times New Roman" w:cs="Times New Roman"/>
          <w:sz w:val="28"/>
          <w:szCs w:val="28"/>
          <w:lang w:val="uk-UA"/>
        </w:rPr>
        <w:t>Кредитори - в першу чергу, маючи на меті спрямувати свої дії щодо боржника, що потерпів.</w:t>
      </w:r>
    </w:p>
    <w:p w14:paraId="5319EA54" w14:textId="77777777" w:rsidR="00082DDC" w:rsidRPr="00042924" w:rsidRDefault="00BF4E16"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 </w:t>
      </w:r>
      <w:r w:rsidR="00082DDC" w:rsidRPr="00042924">
        <w:rPr>
          <w:rFonts w:ascii="Times New Roman" w:hAnsi="Times New Roman" w:cs="Times New Roman"/>
          <w:sz w:val="28"/>
          <w:szCs w:val="28"/>
          <w:lang w:val="uk-UA"/>
        </w:rPr>
        <w:t>Інвестори (потенційні фінансисти обороту) - в основному для оцінки доцільності санації підприємства.</w:t>
      </w:r>
    </w:p>
    <w:p w14:paraId="243F8A7C" w14:textId="77777777" w:rsidR="00082DDC" w:rsidRPr="00042924" w:rsidRDefault="00082DDC" w:rsidP="00BF4E16">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Існує три прогресивні фази кризи, які можуть завершитися банкрутством:</w:t>
      </w:r>
    </w:p>
    <w:p w14:paraId="34B07517" w14:textId="77777777" w:rsidR="00082DDC" w:rsidRPr="00042924" w:rsidRDefault="00BF4E16" w:rsidP="00BF4E16">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lastRenderedPageBreak/>
        <w:t xml:space="preserve">1. </w:t>
      </w:r>
      <w:r w:rsidR="00082DDC" w:rsidRPr="00042924">
        <w:rPr>
          <w:rFonts w:ascii="Times New Roman" w:hAnsi="Times New Roman" w:cs="Times New Roman"/>
          <w:sz w:val="28"/>
          <w:szCs w:val="28"/>
          <w:lang w:val="uk-UA"/>
        </w:rPr>
        <w:t>Поява факторів, що загрожують спроможності підприємства виконувати зобов'язання.</w:t>
      </w:r>
    </w:p>
    <w:p w14:paraId="7088B61D" w14:textId="77777777" w:rsidR="00082DDC" w:rsidRPr="00042924" w:rsidRDefault="00BF4E16"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2. </w:t>
      </w:r>
      <w:r w:rsidR="00082DDC" w:rsidRPr="00042924">
        <w:rPr>
          <w:rFonts w:ascii="Times New Roman" w:hAnsi="Times New Roman" w:cs="Times New Roman"/>
          <w:sz w:val="28"/>
          <w:szCs w:val="28"/>
          <w:lang w:val="uk-UA"/>
        </w:rPr>
        <w:t>Безпосередня загроза для подальших операцій, що потребує термінових заходів для усунення.</w:t>
      </w:r>
    </w:p>
    <w:p w14:paraId="47BF70AB" w14:textId="77777777" w:rsidR="00BF4E16" w:rsidRPr="00042924" w:rsidRDefault="00BF4E16" w:rsidP="00D30C59">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3. </w:t>
      </w:r>
      <w:r w:rsidR="00082DDC" w:rsidRPr="00042924">
        <w:rPr>
          <w:rFonts w:ascii="Times New Roman" w:hAnsi="Times New Roman" w:cs="Times New Roman"/>
          <w:sz w:val="28"/>
          <w:szCs w:val="28"/>
          <w:lang w:val="uk-UA"/>
        </w:rPr>
        <w:t>Повномасштабна криза, що вимагає ліквідації.</w:t>
      </w:r>
    </w:p>
    <w:p w14:paraId="16522CF6" w14:textId="77777777" w:rsidR="00082DDC" w:rsidRPr="00042924" w:rsidRDefault="00082DDC" w:rsidP="009A7E7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Занурення в кризу і ризик провалу може статися:</w:t>
      </w:r>
    </w:p>
    <w:p w14:paraId="69938EDD" w14:textId="77777777" w:rsidR="00082DDC" w:rsidRPr="00042924" w:rsidRDefault="009A7E7B" w:rsidP="009A7E7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при переході від початкового зростання до розширення розвитку.</w:t>
      </w:r>
    </w:p>
    <w:p w14:paraId="5CDCA8A6" w14:textId="77777777" w:rsidR="00082DDC" w:rsidRPr="00042924" w:rsidRDefault="009A7E7B"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при переході від розвитку до стабілізації.</w:t>
      </w:r>
    </w:p>
    <w:p w14:paraId="183EC585" w14:textId="77777777" w:rsidR="00082DDC" w:rsidRPr="00042924" w:rsidRDefault="009A7E7B"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при переході від стабілізації до спаду.</w:t>
      </w:r>
    </w:p>
    <w:p w14:paraId="3B2C314B" w14:textId="77777777" w:rsidR="00082DDC" w:rsidRPr="00042924" w:rsidRDefault="009A7E7B" w:rsidP="00082DD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від оголошення про банкрутство до ліквідації.</w:t>
      </w:r>
    </w:p>
    <w:p w14:paraId="296BEA02" w14:textId="77777777" w:rsidR="00082DDC" w:rsidRPr="00042924" w:rsidRDefault="00082DDC" w:rsidP="00D60FC0">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Прогнозування можливого банкрутства передбачає перспективну оцінку фінансового стану на основі комплексного аналізу</w:t>
      </w:r>
      <w:r w:rsidR="00E40515">
        <w:rPr>
          <w:rFonts w:ascii="Times New Roman" w:hAnsi="Times New Roman" w:cs="Times New Roman"/>
          <w:sz w:val="28"/>
          <w:szCs w:val="28"/>
          <w:lang w:val="uk-UA"/>
        </w:rPr>
        <w:t xml:space="preserve"> </w:t>
      </w:r>
      <w:r w:rsidR="00D60FC0" w:rsidRPr="00042924">
        <w:rPr>
          <w:rFonts w:ascii="Times New Roman" w:hAnsi="Times New Roman" w:cs="Times New Roman"/>
          <w:sz w:val="28"/>
          <w:szCs w:val="28"/>
          <w:lang w:val="uk-UA"/>
        </w:rPr>
        <w:t>[</w:t>
      </w:r>
      <w:r w:rsidR="00DF1137" w:rsidRPr="00042924">
        <w:rPr>
          <w:rFonts w:ascii="Times New Roman" w:hAnsi="Times New Roman" w:cs="Times New Roman"/>
          <w:sz w:val="28"/>
          <w:szCs w:val="28"/>
          <w:lang w:val="uk-UA"/>
        </w:rPr>
        <w:t>23</w:t>
      </w:r>
      <w:r w:rsidR="00D60FC0" w:rsidRPr="00042924">
        <w:rPr>
          <w:rFonts w:ascii="Times New Roman" w:hAnsi="Times New Roman" w:cs="Times New Roman"/>
          <w:sz w:val="28"/>
          <w:szCs w:val="28"/>
          <w:lang w:val="uk-UA"/>
        </w:rPr>
        <w:t>]</w:t>
      </w:r>
      <w:r w:rsidR="00E40515">
        <w:rPr>
          <w:rFonts w:ascii="Times New Roman" w:hAnsi="Times New Roman" w:cs="Times New Roman"/>
          <w:sz w:val="28"/>
          <w:szCs w:val="28"/>
          <w:lang w:val="uk-UA"/>
        </w:rPr>
        <w:t>.</w:t>
      </w:r>
    </w:p>
    <w:p w14:paraId="2BFD0773" w14:textId="77777777" w:rsidR="00082DDC" w:rsidRPr="00042924" w:rsidRDefault="0047509D" w:rsidP="0047509D">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Існує чотири основні підходи до комплексної оцінки та прогнозування ймовірності фінансової нестабільності та можливого банкрутства підприємств. Детальний аналіз виконується з використанням наступних методик, які представлені на рисунку 1.1.</w:t>
      </w:r>
    </w:p>
    <w:p w14:paraId="25138D83" w14:textId="77777777" w:rsidR="00D83E06" w:rsidRPr="00042924" w:rsidRDefault="007E0E83" w:rsidP="000971A7">
      <w:pPr>
        <w:spacing w:after="0" w:line="240" w:lineRule="auto"/>
        <w:jc w:val="both"/>
        <w:rPr>
          <w:rFonts w:ascii="Times New Roman" w:hAnsi="Times New Roman" w:cs="Times New Roman"/>
          <w:sz w:val="28"/>
          <w:szCs w:val="28"/>
          <w:lang w:val="uk-UA"/>
        </w:rPr>
      </w:pPr>
      <w:r w:rsidRPr="00042924">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30F90D2A" wp14:editId="5D7AC5D2">
            <wp:simplePos x="0" y="0"/>
            <wp:positionH relativeFrom="margin">
              <wp:posOffset>224449</wp:posOffset>
            </wp:positionH>
            <wp:positionV relativeFrom="paragraph">
              <wp:posOffset>249555</wp:posOffset>
            </wp:positionV>
            <wp:extent cx="5965825" cy="3481705"/>
            <wp:effectExtent l="0" t="0" r="0" b="4445"/>
            <wp:wrapTopAndBottom/>
            <wp:docPr id="7201688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68878" name=""/>
                    <pic:cNvPicPr/>
                  </pic:nvPicPr>
                  <pic:blipFill rotWithShape="1">
                    <a:blip r:embed="rId12" cstate="print">
                      <a:extLst>
                        <a:ext uri="{28A0092B-C50C-407E-A947-70E740481C1C}">
                          <a14:useLocalDpi xmlns:a14="http://schemas.microsoft.com/office/drawing/2010/main" val="0"/>
                        </a:ext>
                      </a:extLst>
                    </a:blip>
                    <a:srcRect l="4233" t="658" r="6259" b="2703"/>
                    <a:stretch/>
                  </pic:blipFill>
                  <pic:spPr bwMode="auto">
                    <a:xfrm>
                      <a:off x="0" y="0"/>
                      <a:ext cx="5965825" cy="3481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28A00C" w14:textId="77777777" w:rsidR="003B4FAB" w:rsidRPr="00042924" w:rsidRDefault="003B4FAB" w:rsidP="00196AFB">
      <w:pPr>
        <w:spacing w:after="0" w:line="240" w:lineRule="auto"/>
        <w:jc w:val="center"/>
        <w:rPr>
          <w:rFonts w:ascii="Times New Roman" w:hAnsi="Times New Roman" w:cs="Times New Roman"/>
          <w:sz w:val="28"/>
          <w:szCs w:val="28"/>
          <w:lang w:val="uk-UA"/>
        </w:rPr>
      </w:pPr>
    </w:p>
    <w:p w14:paraId="0390D4D0" w14:textId="77777777" w:rsidR="00DC2A0E" w:rsidRDefault="00196AFB" w:rsidP="00196AFB">
      <w:pPr>
        <w:spacing w:after="0" w:line="240" w:lineRule="auto"/>
        <w:jc w:val="center"/>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Рисунок 1.1 - Методи оцінки і прогнозування ймовірності банкрутства підприємства </w:t>
      </w:r>
    </w:p>
    <w:p w14:paraId="6640EB21" w14:textId="77777777" w:rsidR="00196AFB" w:rsidRPr="00042924" w:rsidRDefault="00DC2A0E" w:rsidP="00196AFB">
      <w:pPr>
        <w:spacing w:after="0" w:line="240" w:lineRule="auto"/>
        <w:jc w:val="center"/>
        <w:rPr>
          <w:rFonts w:ascii="Times New Roman" w:hAnsi="Times New Roman" w:cs="Times New Roman"/>
          <w:sz w:val="28"/>
          <w:szCs w:val="28"/>
          <w:lang w:val="uk-UA"/>
        </w:rPr>
      </w:pPr>
      <w:r w:rsidRPr="00DC2A0E">
        <w:rPr>
          <w:rFonts w:ascii="Times New Roman" w:hAnsi="Times New Roman" w:cs="Times New Roman"/>
          <w:sz w:val="28"/>
          <w:szCs w:val="28"/>
          <w:lang w:val="uk-UA"/>
        </w:rPr>
        <w:t xml:space="preserve">Джерело: </w:t>
      </w:r>
      <w:r w:rsidR="00196AFB" w:rsidRPr="00042924">
        <w:rPr>
          <w:rFonts w:ascii="Times New Roman" w:hAnsi="Times New Roman" w:cs="Times New Roman"/>
          <w:sz w:val="28"/>
          <w:szCs w:val="28"/>
          <w:lang w:val="uk-UA"/>
        </w:rPr>
        <w:t>[</w:t>
      </w:r>
      <w:r w:rsidR="00B82D16" w:rsidRPr="00042924">
        <w:rPr>
          <w:rFonts w:ascii="Times New Roman" w:hAnsi="Times New Roman" w:cs="Times New Roman"/>
          <w:sz w:val="28"/>
          <w:szCs w:val="28"/>
          <w:lang w:val="uk-UA"/>
        </w:rPr>
        <w:t>24</w:t>
      </w:r>
      <w:r w:rsidR="00196AFB" w:rsidRPr="00042924">
        <w:rPr>
          <w:rFonts w:ascii="Times New Roman" w:hAnsi="Times New Roman" w:cs="Times New Roman"/>
          <w:sz w:val="28"/>
          <w:szCs w:val="28"/>
          <w:lang w:val="uk-UA"/>
        </w:rPr>
        <w:t>]</w:t>
      </w:r>
    </w:p>
    <w:p w14:paraId="63893A56" w14:textId="77777777" w:rsidR="003B4FAB" w:rsidRPr="00042924" w:rsidRDefault="003B4FAB" w:rsidP="00196AFB">
      <w:pPr>
        <w:spacing w:after="0" w:line="240" w:lineRule="auto"/>
        <w:jc w:val="center"/>
        <w:rPr>
          <w:rFonts w:ascii="Times New Roman" w:hAnsi="Times New Roman" w:cs="Times New Roman"/>
          <w:sz w:val="28"/>
          <w:szCs w:val="28"/>
          <w:lang w:val="uk-UA"/>
        </w:rPr>
      </w:pPr>
    </w:p>
    <w:p w14:paraId="228FDDEB" w14:textId="77777777" w:rsidR="00885EE9" w:rsidRPr="00042924" w:rsidRDefault="00377459" w:rsidP="003B4FA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Для досягнення більш детального розуміння</w:t>
      </w:r>
      <w:r w:rsidR="00DF32F0" w:rsidRPr="00042924">
        <w:rPr>
          <w:rFonts w:ascii="Times New Roman" w:hAnsi="Times New Roman" w:cs="Times New Roman"/>
          <w:sz w:val="28"/>
          <w:szCs w:val="28"/>
          <w:lang w:val="uk-UA"/>
        </w:rPr>
        <w:t xml:space="preserve"> усіх</w:t>
      </w:r>
      <w:r w:rsidRPr="00042924">
        <w:rPr>
          <w:rFonts w:ascii="Times New Roman" w:hAnsi="Times New Roman" w:cs="Times New Roman"/>
          <w:sz w:val="28"/>
          <w:szCs w:val="28"/>
          <w:lang w:val="uk-UA"/>
        </w:rPr>
        <w:t xml:space="preserve"> чотирьох основних методологій, що використовуються для оцінки та прогнозування ймовірності банкрутства підприємства, проведе</w:t>
      </w:r>
      <w:r w:rsidR="00DF32F0" w:rsidRPr="00042924">
        <w:rPr>
          <w:rFonts w:ascii="Times New Roman" w:hAnsi="Times New Roman" w:cs="Times New Roman"/>
          <w:sz w:val="28"/>
          <w:szCs w:val="28"/>
          <w:lang w:val="uk-UA"/>
        </w:rPr>
        <w:t>мо</w:t>
      </w:r>
      <w:r w:rsidRPr="00042924">
        <w:rPr>
          <w:rFonts w:ascii="Times New Roman" w:hAnsi="Times New Roman" w:cs="Times New Roman"/>
          <w:sz w:val="28"/>
          <w:szCs w:val="28"/>
          <w:lang w:val="uk-UA"/>
        </w:rPr>
        <w:t xml:space="preserve"> поглиблене вивчення кожного підходу. Водночас, вичерпна характеристика, переваги та недоліки, </w:t>
      </w:r>
      <w:r w:rsidR="00274129" w:rsidRPr="00042924">
        <w:rPr>
          <w:rFonts w:ascii="Times New Roman" w:hAnsi="Times New Roman" w:cs="Times New Roman"/>
          <w:sz w:val="28"/>
          <w:szCs w:val="28"/>
          <w:lang w:val="uk-UA"/>
        </w:rPr>
        <w:t xml:space="preserve">які </w:t>
      </w:r>
      <w:r w:rsidRPr="00042924">
        <w:rPr>
          <w:rFonts w:ascii="Times New Roman" w:hAnsi="Times New Roman" w:cs="Times New Roman"/>
          <w:sz w:val="28"/>
          <w:szCs w:val="28"/>
          <w:lang w:val="uk-UA"/>
        </w:rPr>
        <w:t>притаман</w:t>
      </w:r>
      <w:r w:rsidR="00274129" w:rsidRPr="00042924">
        <w:rPr>
          <w:rFonts w:ascii="Times New Roman" w:hAnsi="Times New Roman" w:cs="Times New Roman"/>
          <w:sz w:val="28"/>
          <w:szCs w:val="28"/>
          <w:lang w:val="uk-UA"/>
        </w:rPr>
        <w:t>ні</w:t>
      </w:r>
      <w:r w:rsidRPr="00042924">
        <w:rPr>
          <w:rFonts w:ascii="Times New Roman" w:hAnsi="Times New Roman" w:cs="Times New Roman"/>
          <w:sz w:val="28"/>
          <w:szCs w:val="28"/>
          <w:lang w:val="uk-UA"/>
        </w:rPr>
        <w:t xml:space="preserve"> кожній із цих методологій, буде пояснена та окреслена в таблиці 1.3.</w:t>
      </w:r>
    </w:p>
    <w:p w14:paraId="044150B3" w14:textId="77777777" w:rsidR="00DF0643" w:rsidRPr="00042924" w:rsidRDefault="00DF0643" w:rsidP="007F4825">
      <w:pPr>
        <w:spacing w:after="0" w:line="240" w:lineRule="auto"/>
        <w:ind w:firstLine="709"/>
        <w:jc w:val="both"/>
        <w:rPr>
          <w:rFonts w:ascii="Times New Roman" w:hAnsi="Times New Roman" w:cs="Times New Roman"/>
          <w:sz w:val="28"/>
          <w:szCs w:val="28"/>
          <w:lang w:val="uk-UA"/>
        </w:rPr>
      </w:pPr>
      <w:bookmarkStart w:id="4" w:name="_Hlk150708124"/>
      <w:r w:rsidRPr="00042924">
        <w:rPr>
          <w:rFonts w:ascii="Times New Roman" w:hAnsi="Times New Roman" w:cs="Times New Roman"/>
          <w:sz w:val="28"/>
          <w:szCs w:val="28"/>
          <w:lang w:val="uk-UA"/>
        </w:rPr>
        <w:lastRenderedPageBreak/>
        <w:t xml:space="preserve">Таблиця 1.3 </w:t>
      </w:r>
      <w:r w:rsidR="00F4201F" w:rsidRPr="00042924">
        <w:rPr>
          <w:rFonts w:ascii="Times New Roman" w:hAnsi="Times New Roman" w:cs="Times New Roman"/>
          <w:sz w:val="28"/>
          <w:szCs w:val="28"/>
          <w:lang w:val="uk-UA"/>
        </w:rPr>
        <w:t>–</w:t>
      </w:r>
      <w:r w:rsidRPr="00042924">
        <w:rPr>
          <w:rFonts w:ascii="Times New Roman" w:hAnsi="Times New Roman" w:cs="Times New Roman"/>
          <w:sz w:val="28"/>
          <w:szCs w:val="28"/>
          <w:lang w:val="uk-UA"/>
        </w:rPr>
        <w:t xml:space="preserve"> </w:t>
      </w:r>
      <w:r w:rsidR="00F4201F" w:rsidRPr="00042924">
        <w:rPr>
          <w:rFonts w:ascii="Times New Roman" w:hAnsi="Times New Roman" w:cs="Times New Roman"/>
          <w:sz w:val="28"/>
          <w:szCs w:val="28"/>
          <w:lang w:val="uk-UA"/>
        </w:rPr>
        <w:t xml:space="preserve">Характеристика основних підходів для оцінки та прогнозування ймовірності </w:t>
      </w:r>
      <w:r w:rsidR="00784414" w:rsidRPr="00042924">
        <w:rPr>
          <w:rFonts w:ascii="Times New Roman" w:hAnsi="Times New Roman" w:cs="Times New Roman"/>
          <w:sz w:val="28"/>
          <w:szCs w:val="28"/>
          <w:lang w:val="uk-UA"/>
        </w:rPr>
        <w:t>банкрутства підприємств</w:t>
      </w:r>
    </w:p>
    <w:tbl>
      <w:tblPr>
        <w:tblStyle w:val="a6"/>
        <w:tblW w:w="0" w:type="auto"/>
        <w:tblCellMar>
          <w:top w:w="57" w:type="dxa"/>
          <w:left w:w="113" w:type="dxa"/>
          <w:bottom w:w="57" w:type="dxa"/>
          <w:right w:w="57" w:type="dxa"/>
        </w:tblCellMar>
        <w:tblLook w:val="04A0" w:firstRow="1" w:lastRow="0" w:firstColumn="1" w:lastColumn="0" w:noHBand="0" w:noVBand="1"/>
      </w:tblPr>
      <w:tblGrid>
        <w:gridCol w:w="1413"/>
        <w:gridCol w:w="2832"/>
        <w:gridCol w:w="2833"/>
        <w:gridCol w:w="2833"/>
      </w:tblGrid>
      <w:tr w:rsidR="00784414" w:rsidRPr="00E40515" w14:paraId="6814EFE0" w14:textId="77777777" w:rsidTr="00004971">
        <w:tc>
          <w:tcPr>
            <w:tcW w:w="1413" w:type="dxa"/>
            <w:vAlign w:val="center"/>
          </w:tcPr>
          <w:p w14:paraId="58C18BB6" w14:textId="77777777" w:rsidR="00784414" w:rsidRPr="00E40515" w:rsidRDefault="009E032F"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Підхід</w:t>
            </w:r>
          </w:p>
        </w:tc>
        <w:tc>
          <w:tcPr>
            <w:tcW w:w="2832" w:type="dxa"/>
            <w:vAlign w:val="center"/>
          </w:tcPr>
          <w:p w14:paraId="1419B729" w14:textId="77777777" w:rsidR="00784414" w:rsidRPr="00E40515" w:rsidRDefault="00784414"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Характеристика</w:t>
            </w:r>
          </w:p>
        </w:tc>
        <w:tc>
          <w:tcPr>
            <w:tcW w:w="2833" w:type="dxa"/>
            <w:vAlign w:val="center"/>
          </w:tcPr>
          <w:p w14:paraId="399464E7" w14:textId="77777777" w:rsidR="00784414" w:rsidRPr="00E40515" w:rsidRDefault="00784414"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Переваги</w:t>
            </w:r>
          </w:p>
        </w:tc>
        <w:tc>
          <w:tcPr>
            <w:tcW w:w="2833" w:type="dxa"/>
            <w:vAlign w:val="center"/>
          </w:tcPr>
          <w:p w14:paraId="0CEFD6ED" w14:textId="77777777" w:rsidR="00784414" w:rsidRPr="00E40515" w:rsidRDefault="00784414"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Недоліки</w:t>
            </w:r>
          </w:p>
        </w:tc>
      </w:tr>
      <w:tr w:rsidR="00784414" w:rsidRPr="00E40515" w14:paraId="0C9C67DE" w14:textId="77777777" w:rsidTr="00004971">
        <w:tc>
          <w:tcPr>
            <w:tcW w:w="1413" w:type="dxa"/>
            <w:vAlign w:val="center"/>
          </w:tcPr>
          <w:p w14:paraId="064363E8" w14:textId="77777777" w:rsidR="00784414" w:rsidRPr="00E40515" w:rsidRDefault="007C771B"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Експертні методи</w:t>
            </w:r>
          </w:p>
        </w:tc>
        <w:tc>
          <w:tcPr>
            <w:tcW w:w="2832" w:type="dxa"/>
            <w:vAlign w:val="center"/>
          </w:tcPr>
          <w:p w14:paraId="625C749A" w14:textId="77777777" w:rsidR="00784414" w:rsidRPr="00E40515" w:rsidRDefault="00971254" w:rsidP="00004971">
            <w:pPr>
              <w:rPr>
                <w:rFonts w:ascii="Times New Roman" w:hAnsi="Times New Roman" w:cs="Times New Roman"/>
                <w:sz w:val="20"/>
                <w:szCs w:val="20"/>
                <w:lang w:val="uk-UA"/>
              </w:rPr>
            </w:pPr>
            <w:r w:rsidRPr="00E40515">
              <w:rPr>
                <w:rFonts w:ascii="Times New Roman" w:hAnsi="Times New Roman" w:cs="Times New Roman"/>
                <w:sz w:val="20"/>
                <w:szCs w:val="20"/>
                <w:lang w:val="uk-UA"/>
              </w:rPr>
              <w:t>Включають оцінку та думку експертів у визначенні ризиків та ймовірності банкрутства. Експерти можуть враховувати різноманітні аспекти, включаючи економічні, соціальні та політичні фактори.</w:t>
            </w:r>
          </w:p>
        </w:tc>
        <w:tc>
          <w:tcPr>
            <w:tcW w:w="2833" w:type="dxa"/>
            <w:vAlign w:val="center"/>
          </w:tcPr>
          <w:p w14:paraId="0FF21010" w14:textId="77777777" w:rsidR="00784414" w:rsidRPr="00E40515" w:rsidRDefault="00726D81"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Комплексність:</w:t>
            </w:r>
            <w:r w:rsidR="009E032F" w:rsidRPr="00E40515">
              <w:rPr>
                <w:rFonts w:ascii="Times New Roman" w:hAnsi="Times New Roman" w:cs="Times New Roman"/>
                <w:sz w:val="20"/>
                <w:szCs w:val="20"/>
                <w:lang w:val="uk-UA"/>
              </w:rPr>
              <w:t xml:space="preserve"> </w:t>
            </w:r>
            <w:r w:rsidRPr="00E40515">
              <w:rPr>
                <w:rFonts w:ascii="Times New Roman" w:hAnsi="Times New Roman" w:cs="Times New Roman"/>
                <w:sz w:val="20"/>
                <w:szCs w:val="20"/>
                <w:lang w:val="uk-UA"/>
              </w:rPr>
              <w:t>Враховують різноманітні фактори, включаючи ті, які можуть бути важко виміряти.</w:t>
            </w:r>
          </w:p>
        </w:tc>
        <w:tc>
          <w:tcPr>
            <w:tcW w:w="2833" w:type="dxa"/>
            <w:vAlign w:val="center"/>
          </w:tcPr>
          <w:p w14:paraId="545F00AA" w14:textId="77777777" w:rsidR="00726D81" w:rsidRPr="00E40515" w:rsidRDefault="00726D81" w:rsidP="008070F3">
            <w:pPr>
              <w:ind w:left="-57"/>
              <w:rPr>
                <w:rFonts w:ascii="Times New Roman" w:hAnsi="Times New Roman" w:cs="Times New Roman"/>
                <w:sz w:val="20"/>
                <w:szCs w:val="20"/>
                <w:lang w:val="uk-UA"/>
              </w:rPr>
            </w:pPr>
            <w:r w:rsidRPr="00E40515">
              <w:rPr>
                <w:rFonts w:ascii="Times New Roman" w:hAnsi="Times New Roman" w:cs="Times New Roman"/>
                <w:sz w:val="20"/>
                <w:szCs w:val="20"/>
                <w:lang w:val="uk-UA"/>
              </w:rPr>
              <w:t>Суб'єктивність: Залежні від думок та досвіду експертів, що може призвести до суб'єктивності результатів.</w:t>
            </w:r>
          </w:p>
          <w:p w14:paraId="5BA96534" w14:textId="77777777" w:rsidR="00784414" w:rsidRPr="00E40515" w:rsidRDefault="00726D81" w:rsidP="008070F3">
            <w:pPr>
              <w:ind w:left="-57"/>
              <w:rPr>
                <w:rFonts w:ascii="Times New Roman" w:hAnsi="Times New Roman" w:cs="Times New Roman"/>
                <w:sz w:val="20"/>
                <w:szCs w:val="20"/>
                <w:lang w:val="uk-UA"/>
              </w:rPr>
            </w:pPr>
            <w:r w:rsidRPr="00E40515">
              <w:rPr>
                <w:rFonts w:ascii="Times New Roman" w:hAnsi="Times New Roman" w:cs="Times New Roman"/>
                <w:sz w:val="20"/>
                <w:szCs w:val="20"/>
                <w:lang w:val="uk-UA"/>
              </w:rPr>
              <w:t>Необ'єктивність: Висока ймовірність впливу особистих уподобань та стереотипів експертів.</w:t>
            </w:r>
          </w:p>
        </w:tc>
      </w:tr>
      <w:tr w:rsidR="00784414" w:rsidRPr="00E40515" w14:paraId="66896222" w14:textId="77777777" w:rsidTr="00004971">
        <w:tc>
          <w:tcPr>
            <w:tcW w:w="1413" w:type="dxa"/>
            <w:vAlign w:val="center"/>
          </w:tcPr>
          <w:p w14:paraId="6749594E" w14:textId="77777777" w:rsidR="00784414" w:rsidRPr="00E40515" w:rsidRDefault="007C771B"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Статистичні моделі</w:t>
            </w:r>
          </w:p>
        </w:tc>
        <w:tc>
          <w:tcPr>
            <w:tcW w:w="2832" w:type="dxa"/>
            <w:vAlign w:val="center"/>
          </w:tcPr>
          <w:p w14:paraId="03F4053E" w14:textId="77777777" w:rsidR="00784414" w:rsidRPr="00E40515" w:rsidRDefault="00971254" w:rsidP="00004971">
            <w:pPr>
              <w:rPr>
                <w:rFonts w:ascii="Times New Roman" w:hAnsi="Times New Roman" w:cs="Times New Roman"/>
                <w:sz w:val="20"/>
                <w:szCs w:val="20"/>
                <w:lang w:val="uk-UA"/>
              </w:rPr>
            </w:pPr>
            <w:r w:rsidRPr="00E40515">
              <w:rPr>
                <w:rFonts w:ascii="Times New Roman" w:hAnsi="Times New Roman" w:cs="Times New Roman"/>
                <w:sz w:val="20"/>
                <w:szCs w:val="20"/>
                <w:lang w:val="uk-UA"/>
              </w:rPr>
              <w:t>Основані на аналізі історичних даних та розробці моделей, які враховують зв'язки між різними фінансовими показниками.</w:t>
            </w:r>
          </w:p>
        </w:tc>
        <w:tc>
          <w:tcPr>
            <w:tcW w:w="2833" w:type="dxa"/>
            <w:vAlign w:val="center"/>
          </w:tcPr>
          <w:p w14:paraId="4379D152" w14:textId="77777777" w:rsidR="00726D81" w:rsidRPr="00E40515" w:rsidRDefault="00726D81"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Об'єктивність: Базуються на об'єктивних даних та статистиці.</w:t>
            </w:r>
          </w:p>
          <w:p w14:paraId="336020AA" w14:textId="77777777" w:rsidR="00784414" w:rsidRPr="00E40515" w:rsidRDefault="00726D81"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Точність: Можуть бути точними у випадках, коли є достатньо якісних та кількісних даних.</w:t>
            </w:r>
          </w:p>
        </w:tc>
        <w:tc>
          <w:tcPr>
            <w:tcW w:w="2833" w:type="dxa"/>
            <w:vAlign w:val="center"/>
          </w:tcPr>
          <w:p w14:paraId="09D1E67D" w14:textId="77777777" w:rsidR="00726D81" w:rsidRPr="00E40515" w:rsidRDefault="00726D81"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Попередні умови: Вимагають наявності великої кількості даних для точних прогнозів.</w:t>
            </w:r>
          </w:p>
          <w:p w14:paraId="5483FCE3" w14:textId="77777777" w:rsidR="00784414" w:rsidRPr="00E40515" w:rsidRDefault="00726D81"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Пасивність: Здатні пропустити непередбачувані події, які не мають аналогій у минулому.</w:t>
            </w:r>
          </w:p>
        </w:tc>
      </w:tr>
      <w:tr w:rsidR="00784414" w:rsidRPr="00E40515" w14:paraId="5A57572F" w14:textId="77777777" w:rsidTr="00004971">
        <w:tc>
          <w:tcPr>
            <w:tcW w:w="1413" w:type="dxa"/>
            <w:vAlign w:val="center"/>
          </w:tcPr>
          <w:p w14:paraId="3F86B21B" w14:textId="77777777" w:rsidR="00784414" w:rsidRPr="00E40515" w:rsidRDefault="007C771B"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Системи штучного інтелекту</w:t>
            </w:r>
          </w:p>
        </w:tc>
        <w:tc>
          <w:tcPr>
            <w:tcW w:w="2832" w:type="dxa"/>
            <w:vAlign w:val="center"/>
          </w:tcPr>
          <w:p w14:paraId="2D6B8409" w14:textId="77777777" w:rsidR="00784414" w:rsidRPr="00E40515" w:rsidRDefault="004B6212" w:rsidP="00004971">
            <w:pPr>
              <w:rPr>
                <w:rFonts w:ascii="Times New Roman" w:hAnsi="Times New Roman" w:cs="Times New Roman"/>
                <w:sz w:val="20"/>
                <w:szCs w:val="20"/>
                <w:lang w:val="uk-UA"/>
              </w:rPr>
            </w:pPr>
            <w:r w:rsidRPr="00E40515">
              <w:rPr>
                <w:rFonts w:ascii="Times New Roman" w:hAnsi="Times New Roman" w:cs="Times New Roman"/>
                <w:sz w:val="20"/>
                <w:szCs w:val="20"/>
                <w:lang w:val="uk-UA"/>
              </w:rPr>
              <w:t>Використовують методи штучного інтелекту, такі як машинне навчання та нейронні мережі, для аналізу та прогнозування фінансових ризиків.</w:t>
            </w:r>
          </w:p>
        </w:tc>
        <w:tc>
          <w:tcPr>
            <w:tcW w:w="2833" w:type="dxa"/>
            <w:vAlign w:val="center"/>
          </w:tcPr>
          <w:p w14:paraId="10B51906" w14:textId="77777777" w:rsidR="006C13B2"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Автоматизація: Здатні автоматизувати процес аналізу та прогнозування.</w:t>
            </w:r>
          </w:p>
          <w:p w14:paraId="0E8DC729" w14:textId="77777777" w:rsidR="00784414"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Адаптивність: Можуть вдосконалюватися та навчатися на нових даних.</w:t>
            </w:r>
          </w:p>
        </w:tc>
        <w:tc>
          <w:tcPr>
            <w:tcW w:w="2833" w:type="dxa"/>
            <w:vAlign w:val="center"/>
          </w:tcPr>
          <w:p w14:paraId="701E2A69" w14:textId="77777777" w:rsidR="006C13B2"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Складність: Вимагають високого рівня технічної експертизи для розробки та підтримки.</w:t>
            </w:r>
          </w:p>
          <w:p w14:paraId="504DF907" w14:textId="77777777" w:rsidR="00784414"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Чутливість: Можуть бути чутливими до якості вхідних даних.</w:t>
            </w:r>
          </w:p>
        </w:tc>
      </w:tr>
      <w:tr w:rsidR="00784414" w:rsidRPr="00E40515" w14:paraId="2FE016C1" w14:textId="77777777" w:rsidTr="00004971">
        <w:tc>
          <w:tcPr>
            <w:tcW w:w="1413" w:type="dxa"/>
            <w:vAlign w:val="center"/>
          </w:tcPr>
          <w:p w14:paraId="63B89784" w14:textId="77777777" w:rsidR="00784414" w:rsidRPr="00E40515" w:rsidRDefault="00331989" w:rsidP="00F23A81">
            <w:pPr>
              <w:jc w:val="center"/>
              <w:rPr>
                <w:rFonts w:ascii="Times New Roman" w:hAnsi="Times New Roman" w:cs="Times New Roman"/>
                <w:sz w:val="20"/>
                <w:szCs w:val="20"/>
                <w:lang w:val="uk-UA"/>
              </w:rPr>
            </w:pPr>
            <w:r w:rsidRPr="00E40515">
              <w:rPr>
                <w:rFonts w:ascii="Times New Roman" w:hAnsi="Times New Roman" w:cs="Times New Roman"/>
                <w:sz w:val="20"/>
                <w:szCs w:val="20"/>
                <w:lang w:val="uk-UA"/>
              </w:rPr>
              <w:t>Аналіз фінансових показників</w:t>
            </w:r>
          </w:p>
        </w:tc>
        <w:tc>
          <w:tcPr>
            <w:tcW w:w="2832" w:type="dxa"/>
            <w:vAlign w:val="center"/>
          </w:tcPr>
          <w:p w14:paraId="3B997CF1" w14:textId="77777777" w:rsidR="00784414" w:rsidRPr="00E40515" w:rsidRDefault="004B6212" w:rsidP="00004971">
            <w:pPr>
              <w:rPr>
                <w:rFonts w:ascii="Times New Roman" w:hAnsi="Times New Roman" w:cs="Times New Roman"/>
                <w:sz w:val="20"/>
                <w:szCs w:val="20"/>
                <w:lang w:val="uk-UA"/>
              </w:rPr>
            </w:pPr>
            <w:r w:rsidRPr="00E40515">
              <w:rPr>
                <w:rFonts w:ascii="Times New Roman" w:hAnsi="Times New Roman" w:cs="Times New Roman"/>
                <w:sz w:val="20"/>
                <w:szCs w:val="20"/>
                <w:lang w:val="uk-UA"/>
              </w:rPr>
              <w:t>Включають різні підходи до вивчення фінансового стану підприємства, такі як аналіз балансу, звітів про прибуток і збитки, розрахунок фінансових коефіцієнтів та інші методи.</w:t>
            </w:r>
          </w:p>
        </w:tc>
        <w:tc>
          <w:tcPr>
            <w:tcW w:w="2833" w:type="dxa"/>
            <w:vAlign w:val="center"/>
          </w:tcPr>
          <w:p w14:paraId="0A5B092A" w14:textId="77777777" w:rsidR="006C13B2"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Конкретність: Засновані на конкретних фінансових показниках.</w:t>
            </w:r>
          </w:p>
          <w:p w14:paraId="617B3B0A" w14:textId="77777777" w:rsidR="00784414"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Зручність: Доступність та зрозумілість для багатьох зацікавлених сторін.</w:t>
            </w:r>
          </w:p>
        </w:tc>
        <w:tc>
          <w:tcPr>
            <w:tcW w:w="2833" w:type="dxa"/>
            <w:vAlign w:val="center"/>
          </w:tcPr>
          <w:p w14:paraId="4F94E3F8" w14:textId="77777777" w:rsidR="006C13B2"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Однобічність: Можуть не враховувати важливі соціальні, політичні та економічні аспекти.</w:t>
            </w:r>
          </w:p>
          <w:p w14:paraId="1DFA8C2B" w14:textId="77777777" w:rsidR="00784414" w:rsidRPr="00E40515" w:rsidRDefault="006C13B2" w:rsidP="008070F3">
            <w:pPr>
              <w:rPr>
                <w:rFonts w:ascii="Times New Roman" w:hAnsi="Times New Roman" w:cs="Times New Roman"/>
                <w:sz w:val="20"/>
                <w:szCs w:val="20"/>
                <w:lang w:val="uk-UA"/>
              </w:rPr>
            </w:pPr>
            <w:r w:rsidRPr="00E40515">
              <w:rPr>
                <w:rFonts w:ascii="Times New Roman" w:hAnsi="Times New Roman" w:cs="Times New Roman"/>
                <w:sz w:val="20"/>
                <w:szCs w:val="20"/>
                <w:lang w:val="uk-UA"/>
              </w:rPr>
              <w:t>Застарілість: Показники можуть втратити актуальність у змінюючомуся оточенні.</w:t>
            </w:r>
          </w:p>
        </w:tc>
      </w:tr>
    </w:tbl>
    <w:bookmarkEnd w:id="4"/>
    <w:p w14:paraId="42D5A861" w14:textId="77777777" w:rsidR="00784414" w:rsidRPr="00042924" w:rsidRDefault="008B2DD2" w:rsidP="0035381A">
      <w:pPr>
        <w:spacing w:after="0" w:line="240" w:lineRule="auto"/>
        <w:ind w:firstLine="284"/>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Джерело: систематизовано та складено автором </w:t>
      </w:r>
      <w:r w:rsidR="00E32FFC">
        <w:rPr>
          <w:rFonts w:ascii="Times New Roman" w:hAnsi="Times New Roman" w:cs="Times New Roman"/>
          <w:sz w:val="28"/>
          <w:szCs w:val="28"/>
          <w:lang w:val="uk-UA"/>
        </w:rPr>
        <w:t>на основі</w:t>
      </w:r>
      <w:r w:rsidRPr="00042924">
        <w:rPr>
          <w:rFonts w:ascii="Times New Roman" w:hAnsi="Times New Roman" w:cs="Times New Roman"/>
          <w:sz w:val="28"/>
          <w:szCs w:val="28"/>
          <w:lang w:val="uk-UA"/>
        </w:rPr>
        <w:t xml:space="preserve"> [</w:t>
      </w:r>
      <w:r w:rsidR="0060682A" w:rsidRPr="00042924">
        <w:rPr>
          <w:rFonts w:ascii="Times New Roman" w:hAnsi="Times New Roman" w:cs="Times New Roman"/>
          <w:sz w:val="28"/>
          <w:szCs w:val="28"/>
          <w:lang w:val="uk-UA"/>
        </w:rPr>
        <w:t>25</w:t>
      </w:r>
      <w:r w:rsidRPr="00042924">
        <w:rPr>
          <w:rFonts w:ascii="Times New Roman" w:hAnsi="Times New Roman" w:cs="Times New Roman"/>
          <w:sz w:val="28"/>
          <w:szCs w:val="28"/>
          <w:lang w:val="uk-UA"/>
        </w:rPr>
        <w:t>]</w:t>
      </w:r>
    </w:p>
    <w:p w14:paraId="19A968E8" w14:textId="77777777" w:rsidR="00F21DD0" w:rsidRPr="00042924" w:rsidRDefault="00F21DD0" w:rsidP="003B4FAB">
      <w:pPr>
        <w:spacing w:after="0" w:line="240" w:lineRule="auto"/>
        <w:ind w:firstLine="709"/>
        <w:jc w:val="both"/>
        <w:rPr>
          <w:rFonts w:ascii="Times New Roman" w:hAnsi="Times New Roman" w:cs="Times New Roman"/>
          <w:sz w:val="28"/>
          <w:szCs w:val="28"/>
          <w:lang w:val="uk-UA"/>
        </w:rPr>
      </w:pPr>
    </w:p>
    <w:p w14:paraId="132A53B1" w14:textId="77777777" w:rsidR="006D3CF4" w:rsidRPr="00042924" w:rsidRDefault="00B429E3" w:rsidP="006D3CF4">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Отже, проаналізувавши таблицю, можна зробити такі висновки </w:t>
      </w:r>
      <w:r w:rsidR="006B0648" w:rsidRPr="00042924">
        <w:rPr>
          <w:rFonts w:ascii="Times New Roman" w:hAnsi="Times New Roman" w:cs="Times New Roman"/>
          <w:sz w:val="28"/>
          <w:szCs w:val="28"/>
          <w:lang w:val="uk-UA"/>
        </w:rPr>
        <w:t xml:space="preserve">що </w:t>
      </w:r>
      <w:bookmarkEnd w:id="3"/>
      <w:r w:rsidR="006D3CF4" w:rsidRPr="00042924">
        <w:rPr>
          <w:rFonts w:ascii="Times New Roman" w:hAnsi="Times New Roman" w:cs="Times New Roman"/>
          <w:sz w:val="28"/>
          <w:szCs w:val="28"/>
          <w:lang w:val="uk-UA"/>
        </w:rPr>
        <w:t>кожен із чотирьох методів (експертні, статистичні моделі, системи штучного інтелекту та аналіз фінансових показників) має свої переваги та недоліки, а вибір оптимального методу залежить від конкретного контексту та завдань.</w:t>
      </w:r>
    </w:p>
    <w:p w14:paraId="59D964BF" w14:textId="77777777" w:rsidR="00BC4337" w:rsidRPr="00042924" w:rsidRDefault="006D3CF4" w:rsidP="00525DA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Експертні методи вражають своєю комплексністю, охоплюючи різноманітні аспекти, але суб'єктивність та необ'єктивність можуть призвести до неоднозначних результатів. Статистичні моделі, хоча об'єктивні та точні у випадках з наявністю достатньої кількості даних, виявляють певні недоліки у визначенні попередніх умов та пасивності у прогнозуванні непередбачуваних подій. </w:t>
      </w:r>
    </w:p>
    <w:p w14:paraId="03FADD1D" w14:textId="77777777" w:rsidR="006D3CF4" w:rsidRPr="00042924" w:rsidRDefault="006D3CF4" w:rsidP="00525DA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Системи штучного інтелекту, зокрема машинне навчання та нейронні мережі, демонструють автоматизацію та адаптивність, але вимагають високого рівня технічної експертизи.</w:t>
      </w:r>
      <w:r w:rsidR="00525DAC"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Аналіз фінансових показників визначається конкретністю та зручністю використання, але може бути однобічним та застарілим. Зазначається, що жоден із методів не є універсальним, і вибір повинен базуватися на специфіці завдань та умовах використання.</w:t>
      </w:r>
    </w:p>
    <w:p w14:paraId="4A016053" w14:textId="77777777" w:rsidR="00E924B9" w:rsidRPr="00042924" w:rsidRDefault="00E924B9" w:rsidP="00525DA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Таким чином, статистичні моделі, зокрема дискримінантний аналіз, відрізняються здатністю робити точні прогнози за наявності об’єктивних даних, а </w:t>
      </w:r>
      <w:r w:rsidRPr="00042924">
        <w:rPr>
          <w:rFonts w:ascii="Times New Roman" w:hAnsi="Times New Roman" w:cs="Times New Roman"/>
          <w:sz w:val="28"/>
          <w:szCs w:val="28"/>
          <w:lang w:val="uk-UA"/>
        </w:rPr>
        <w:lastRenderedPageBreak/>
        <w:t xml:space="preserve">також високою об’єктивністю та відносною простотою порівняно з іншими статистичними моделями. Дискримінантний аналіз добре підходить для випадків, коли важливо уникнути суб’єктивності та надмірної складності, властивих системам штучного інтелекту. </w:t>
      </w:r>
    </w:p>
    <w:p w14:paraId="31D9323C" w14:textId="77777777" w:rsidR="004B3085" w:rsidRPr="00042924" w:rsidRDefault="00607A32" w:rsidP="00644D58">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У сучасній фінансово-економічній практиці</w:t>
      </w:r>
      <w:r w:rsidR="00DB5D90" w:rsidRPr="00042924">
        <w:rPr>
          <w:rFonts w:ascii="Times New Roman" w:hAnsi="Times New Roman" w:cs="Times New Roman"/>
          <w:sz w:val="28"/>
          <w:szCs w:val="28"/>
          <w:lang w:val="uk-UA"/>
        </w:rPr>
        <w:t xml:space="preserve"> саме</w:t>
      </w:r>
      <w:r w:rsidRPr="00042924">
        <w:rPr>
          <w:rFonts w:ascii="Times New Roman" w:hAnsi="Times New Roman" w:cs="Times New Roman"/>
          <w:sz w:val="28"/>
          <w:szCs w:val="28"/>
          <w:lang w:val="uk-UA"/>
        </w:rPr>
        <w:t xml:space="preserve"> дискримінантний аналіз часто використовується для оцінки фінансового стану підприємства та ймовірності банкрутства. Ця програма створює дискримінантний аналіз як життєво важливий інструмент для раннього виявлення та прогнозування банкрутства</w:t>
      </w:r>
      <w:r w:rsidR="00AB7269" w:rsidRPr="00042924">
        <w:rPr>
          <w:rFonts w:ascii="Times New Roman" w:hAnsi="Times New Roman" w:cs="Times New Roman"/>
          <w:sz w:val="28"/>
          <w:szCs w:val="28"/>
          <w:lang w:val="uk-UA"/>
        </w:rPr>
        <w:t xml:space="preserve"> підприємств</w:t>
      </w:r>
      <w:r w:rsidRPr="00042924">
        <w:rPr>
          <w:rFonts w:ascii="Times New Roman" w:hAnsi="Times New Roman" w:cs="Times New Roman"/>
          <w:sz w:val="28"/>
          <w:szCs w:val="28"/>
          <w:lang w:val="uk-UA"/>
        </w:rPr>
        <w:t xml:space="preserve">. </w:t>
      </w:r>
    </w:p>
    <w:p w14:paraId="7468F8B7" w14:textId="77777777" w:rsidR="00E77D46" w:rsidRPr="00042924" w:rsidRDefault="00607A32" w:rsidP="00644D58">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На відміну від більш складних, суб’єктивних методів, простота та об’єктивність дискримінантного аналізу дає змогу ефективно вивчати та прогнозувати моделювання фінансових даних. Використовуючи об’єктивні вхідні дані, дискримінантний аналіз може прогнозувати такі результати, як банкрутство, з більшою точністю, ніж суб’єктивні методи, що спираються на людське судження. Здатність дискримінантного аналізу для об’єктивної та точної оцінки фінансового добробуту зміцнює його важливість як основного інструменту для попередження та прогнозування невдач підприємства</w:t>
      </w:r>
      <w:r w:rsidR="004D6EE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w:t>
      </w:r>
      <w:r w:rsidR="00C3143D" w:rsidRPr="00042924">
        <w:rPr>
          <w:rFonts w:ascii="Times New Roman" w:hAnsi="Times New Roman" w:cs="Times New Roman"/>
          <w:sz w:val="28"/>
          <w:szCs w:val="28"/>
          <w:lang w:val="uk-UA"/>
        </w:rPr>
        <w:t>25</w:t>
      </w:r>
      <w:r w:rsidRPr="00042924">
        <w:rPr>
          <w:rFonts w:ascii="Times New Roman" w:hAnsi="Times New Roman" w:cs="Times New Roman"/>
          <w:sz w:val="28"/>
          <w:szCs w:val="28"/>
          <w:lang w:val="uk-UA"/>
        </w:rPr>
        <w:t>]</w:t>
      </w:r>
      <w:r w:rsidR="004D6EEE" w:rsidRPr="00042924">
        <w:rPr>
          <w:rFonts w:ascii="Times New Roman" w:hAnsi="Times New Roman" w:cs="Times New Roman"/>
          <w:sz w:val="28"/>
          <w:szCs w:val="28"/>
          <w:lang w:val="uk-UA"/>
        </w:rPr>
        <w:t>.</w:t>
      </w:r>
    </w:p>
    <w:p w14:paraId="7A1A8B46" w14:textId="77777777" w:rsidR="00CE2D6D" w:rsidRPr="00042924" w:rsidRDefault="005046B4" w:rsidP="00644D58">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Існують різні моделі прогнозування банкрутства, як іноземні, так і вітчизняні. Найбільш широко використовувані іноземні моделі включають моделі, розроблені </w:t>
      </w:r>
      <w:r w:rsidR="003412C9" w:rsidRPr="00042924">
        <w:rPr>
          <w:rFonts w:ascii="Times New Roman" w:hAnsi="Times New Roman" w:cs="Times New Roman"/>
          <w:sz w:val="28"/>
          <w:szCs w:val="28"/>
          <w:lang w:val="uk-UA"/>
        </w:rPr>
        <w:t xml:space="preserve">Е. </w:t>
      </w:r>
      <w:r w:rsidRPr="00042924">
        <w:rPr>
          <w:rFonts w:ascii="Times New Roman" w:hAnsi="Times New Roman" w:cs="Times New Roman"/>
          <w:sz w:val="28"/>
          <w:szCs w:val="28"/>
          <w:lang w:val="uk-UA"/>
        </w:rPr>
        <w:t xml:space="preserve">Альтманом, </w:t>
      </w:r>
      <w:r w:rsidR="003412C9" w:rsidRPr="00042924">
        <w:rPr>
          <w:rFonts w:ascii="Times New Roman" w:hAnsi="Times New Roman" w:cs="Times New Roman"/>
          <w:sz w:val="28"/>
          <w:szCs w:val="28"/>
          <w:lang w:val="uk-UA"/>
        </w:rPr>
        <w:t xml:space="preserve">Г. </w:t>
      </w:r>
      <w:r w:rsidRPr="00042924">
        <w:rPr>
          <w:rFonts w:ascii="Times New Roman" w:hAnsi="Times New Roman" w:cs="Times New Roman"/>
          <w:sz w:val="28"/>
          <w:szCs w:val="28"/>
          <w:lang w:val="uk-UA"/>
        </w:rPr>
        <w:t xml:space="preserve">Спрінгейтом, </w:t>
      </w:r>
      <w:r w:rsidR="003412C9" w:rsidRPr="00042924">
        <w:rPr>
          <w:rFonts w:ascii="Times New Roman" w:hAnsi="Times New Roman" w:cs="Times New Roman"/>
          <w:sz w:val="28"/>
          <w:szCs w:val="28"/>
          <w:lang w:val="uk-UA"/>
        </w:rPr>
        <w:t xml:space="preserve">Р. </w:t>
      </w:r>
      <w:r w:rsidRPr="00042924">
        <w:rPr>
          <w:rFonts w:ascii="Times New Roman" w:hAnsi="Times New Roman" w:cs="Times New Roman"/>
          <w:sz w:val="28"/>
          <w:szCs w:val="28"/>
          <w:lang w:val="uk-UA"/>
        </w:rPr>
        <w:t xml:space="preserve">Лісом і </w:t>
      </w:r>
      <w:r w:rsidR="00AB53F5" w:rsidRPr="00042924">
        <w:rPr>
          <w:rFonts w:ascii="Times New Roman" w:hAnsi="Times New Roman" w:cs="Times New Roman"/>
          <w:sz w:val="28"/>
          <w:szCs w:val="28"/>
          <w:lang w:val="uk-UA"/>
        </w:rPr>
        <w:t xml:space="preserve">Р. </w:t>
      </w:r>
      <w:r w:rsidRPr="00042924">
        <w:rPr>
          <w:rFonts w:ascii="Times New Roman" w:hAnsi="Times New Roman" w:cs="Times New Roman"/>
          <w:sz w:val="28"/>
          <w:szCs w:val="28"/>
          <w:lang w:val="uk-UA"/>
        </w:rPr>
        <w:t xml:space="preserve">Таффлером. До відомих вітчизняних моделей, що використовуються в Україні, належать універсальна дискримінантна модель, запропонована </w:t>
      </w:r>
      <w:r w:rsidR="00AB53F5" w:rsidRPr="00042924">
        <w:rPr>
          <w:rFonts w:ascii="Times New Roman" w:hAnsi="Times New Roman" w:cs="Times New Roman"/>
          <w:sz w:val="28"/>
          <w:szCs w:val="28"/>
          <w:lang w:val="uk-UA"/>
        </w:rPr>
        <w:t xml:space="preserve">О. </w:t>
      </w:r>
      <w:r w:rsidRPr="00042924">
        <w:rPr>
          <w:rFonts w:ascii="Times New Roman" w:hAnsi="Times New Roman" w:cs="Times New Roman"/>
          <w:sz w:val="28"/>
          <w:szCs w:val="28"/>
          <w:lang w:val="uk-UA"/>
        </w:rPr>
        <w:t xml:space="preserve">Терещенком, і модель, розроблена </w:t>
      </w:r>
      <w:r w:rsidR="00AB53F5" w:rsidRPr="00042924">
        <w:rPr>
          <w:rFonts w:ascii="Times New Roman" w:hAnsi="Times New Roman" w:cs="Times New Roman"/>
          <w:sz w:val="28"/>
          <w:szCs w:val="28"/>
          <w:lang w:val="uk-UA"/>
        </w:rPr>
        <w:t xml:space="preserve">А. </w:t>
      </w:r>
      <w:r w:rsidRPr="00042924">
        <w:rPr>
          <w:rFonts w:ascii="Times New Roman" w:hAnsi="Times New Roman" w:cs="Times New Roman"/>
          <w:sz w:val="28"/>
          <w:szCs w:val="28"/>
          <w:lang w:val="uk-UA"/>
        </w:rPr>
        <w:t>Матвійчуком. Порівняння цих поширених моделей прогнозування банкрутства наведено в</w:t>
      </w:r>
      <w:r w:rsidR="00442BBD" w:rsidRPr="00042924">
        <w:rPr>
          <w:rFonts w:ascii="Times New Roman" w:hAnsi="Times New Roman" w:cs="Times New Roman"/>
          <w:sz w:val="28"/>
          <w:szCs w:val="28"/>
          <w:lang w:val="uk-UA"/>
        </w:rPr>
        <w:t xml:space="preserve"> </w:t>
      </w:r>
      <w:r w:rsidR="003A65AB" w:rsidRPr="00042924">
        <w:rPr>
          <w:rFonts w:ascii="Times New Roman" w:hAnsi="Times New Roman" w:cs="Times New Roman"/>
          <w:sz w:val="28"/>
          <w:szCs w:val="28"/>
          <w:lang w:val="uk-UA"/>
        </w:rPr>
        <w:t>таблиці 1.4</w:t>
      </w:r>
      <w:r w:rsidRPr="00042924">
        <w:rPr>
          <w:rFonts w:ascii="Times New Roman" w:hAnsi="Times New Roman" w:cs="Times New Roman"/>
          <w:sz w:val="28"/>
          <w:szCs w:val="28"/>
          <w:lang w:val="uk-UA"/>
        </w:rPr>
        <w:t>.</w:t>
      </w:r>
    </w:p>
    <w:p w14:paraId="675DF3F0" w14:textId="77777777" w:rsidR="001076E7" w:rsidRPr="00042924" w:rsidRDefault="001076E7" w:rsidP="00644D58">
      <w:pPr>
        <w:spacing w:after="0" w:line="240" w:lineRule="auto"/>
        <w:ind w:firstLine="709"/>
        <w:jc w:val="both"/>
        <w:rPr>
          <w:rFonts w:ascii="Times New Roman" w:hAnsi="Times New Roman" w:cs="Times New Roman"/>
          <w:sz w:val="28"/>
          <w:szCs w:val="28"/>
          <w:lang w:val="uk-UA"/>
        </w:rPr>
      </w:pPr>
    </w:p>
    <w:p w14:paraId="1A64339A" w14:textId="77777777" w:rsidR="00D8370F" w:rsidRPr="00042924" w:rsidRDefault="00D8370F" w:rsidP="000E710C">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Таблиця 1.4 </w:t>
      </w:r>
      <w:r w:rsidR="00BA2835" w:rsidRPr="00042924">
        <w:rPr>
          <w:rFonts w:ascii="Times New Roman" w:hAnsi="Times New Roman" w:cs="Times New Roman"/>
          <w:sz w:val="28"/>
          <w:szCs w:val="28"/>
          <w:lang w:val="uk-UA"/>
        </w:rPr>
        <w:t>–</w:t>
      </w:r>
      <w:r w:rsidRPr="00042924">
        <w:rPr>
          <w:rFonts w:ascii="Times New Roman" w:hAnsi="Times New Roman" w:cs="Times New Roman"/>
          <w:sz w:val="28"/>
          <w:szCs w:val="28"/>
          <w:lang w:val="uk-UA"/>
        </w:rPr>
        <w:t xml:space="preserve"> </w:t>
      </w:r>
      <w:r w:rsidR="00BA2835" w:rsidRPr="00042924">
        <w:rPr>
          <w:rFonts w:ascii="Times New Roman" w:hAnsi="Times New Roman" w:cs="Times New Roman"/>
          <w:sz w:val="28"/>
          <w:szCs w:val="28"/>
          <w:lang w:val="uk-UA"/>
        </w:rPr>
        <w:t xml:space="preserve">Порівняльна характеристика </w:t>
      </w:r>
      <w:r w:rsidR="009F06D6" w:rsidRPr="00042924">
        <w:rPr>
          <w:rFonts w:ascii="Times New Roman" w:hAnsi="Times New Roman" w:cs="Times New Roman"/>
          <w:sz w:val="28"/>
          <w:szCs w:val="28"/>
          <w:lang w:val="uk-UA"/>
        </w:rPr>
        <w:t xml:space="preserve">дискримінантних </w:t>
      </w:r>
      <w:r w:rsidR="00BA2835" w:rsidRPr="00042924">
        <w:rPr>
          <w:rFonts w:ascii="Times New Roman" w:hAnsi="Times New Roman" w:cs="Times New Roman"/>
          <w:sz w:val="28"/>
          <w:szCs w:val="28"/>
          <w:lang w:val="uk-UA"/>
        </w:rPr>
        <w:t>моделей</w:t>
      </w:r>
      <w:r w:rsidR="009F06D6" w:rsidRPr="00042924">
        <w:rPr>
          <w:rFonts w:ascii="Times New Roman" w:hAnsi="Times New Roman" w:cs="Times New Roman"/>
          <w:sz w:val="28"/>
          <w:szCs w:val="28"/>
          <w:lang w:val="uk-UA"/>
        </w:rPr>
        <w:t xml:space="preserve"> прогнозування банкрутства підприємств</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44"/>
        <w:gridCol w:w="3736"/>
        <w:gridCol w:w="2793"/>
        <w:gridCol w:w="2638"/>
      </w:tblGrid>
      <w:tr w:rsidR="00730E43" w:rsidRPr="000E710C" w14:paraId="7C6D8520" w14:textId="77777777" w:rsidTr="00D613C7">
        <w:trPr>
          <w:trHeight w:val="230"/>
          <w:jc w:val="center"/>
        </w:trPr>
        <w:tc>
          <w:tcPr>
            <w:tcW w:w="375" w:type="pct"/>
            <w:vAlign w:val="center"/>
          </w:tcPr>
          <w:p w14:paraId="111C66A0" w14:textId="77777777" w:rsidR="00730E43" w:rsidRPr="000E710C" w:rsidRDefault="00730E43" w:rsidP="005E180A">
            <w:pPr>
              <w:pStyle w:val="TableParagraph"/>
              <w:spacing w:line="210" w:lineRule="exact"/>
              <w:jc w:val="center"/>
              <w:rPr>
                <w:sz w:val="20"/>
                <w:szCs w:val="20"/>
                <w:lang w:val="uk-UA"/>
              </w:rPr>
            </w:pPr>
            <w:bookmarkStart w:id="5" w:name="_Hlk151219222"/>
            <w:r w:rsidRPr="000E710C">
              <w:rPr>
                <w:sz w:val="20"/>
                <w:szCs w:val="20"/>
                <w:lang w:val="uk-UA"/>
              </w:rPr>
              <w:t>Модель</w:t>
            </w:r>
          </w:p>
        </w:tc>
        <w:tc>
          <w:tcPr>
            <w:tcW w:w="1885" w:type="pct"/>
            <w:vAlign w:val="center"/>
          </w:tcPr>
          <w:p w14:paraId="0999CD23" w14:textId="77777777" w:rsidR="00730E43" w:rsidRPr="000E710C" w:rsidRDefault="00730E43" w:rsidP="005E180A">
            <w:pPr>
              <w:pStyle w:val="TableParagraph"/>
              <w:spacing w:line="210" w:lineRule="exact"/>
              <w:jc w:val="center"/>
              <w:rPr>
                <w:sz w:val="20"/>
                <w:szCs w:val="20"/>
                <w:lang w:val="uk-UA"/>
              </w:rPr>
            </w:pPr>
            <w:r w:rsidRPr="000E710C">
              <w:rPr>
                <w:sz w:val="20"/>
                <w:szCs w:val="20"/>
                <w:lang w:val="uk-UA"/>
              </w:rPr>
              <w:t>Структура</w:t>
            </w:r>
            <w:r w:rsidRPr="000E710C">
              <w:rPr>
                <w:spacing w:val="-4"/>
                <w:sz w:val="20"/>
                <w:szCs w:val="20"/>
                <w:lang w:val="uk-UA"/>
              </w:rPr>
              <w:t xml:space="preserve"> </w:t>
            </w:r>
            <w:r w:rsidRPr="000E710C">
              <w:rPr>
                <w:sz w:val="20"/>
                <w:szCs w:val="20"/>
                <w:lang w:val="uk-UA"/>
              </w:rPr>
              <w:t>моделі</w:t>
            </w:r>
          </w:p>
        </w:tc>
        <w:tc>
          <w:tcPr>
            <w:tcW w:w="1409" w:type="pct"/>
            <w:vAlign w:val="center"/>
          </w:tcPr>
          <w:p w14:paraId="6C5F765A" w14:textId="77777777" w:rsidR="00730E43" w:rsidRPr="000E710C" w:rsidRDefault="00730E43" w:rsidP="005E180A">
            <w:pPr>
              <w:pStyle w:val="TableParagraph"/>
              <w:spacing w:line="210" w:lineRule="exact"/>
              <w:jc w:val="center"/>
              <w:rPr>
                <w:sz w:val="20"/>
                <w:szCs w:val="20"/>
                <w:lang w:val="uk-UA"/>
              </w:rPr>
            </w:pPr>
            <w:r w:rsidRPr="000E710C">
              <w:rPr>
                <w:sz w:val="20"/>
                <w:szCs w:val="20"/>
                <w:lang w:val="uk-UA"/>
              </w:rPr>
              <w:t>Переваги</w:t>
            </w:r>
          </w:p>
        </w:tc>
        <w:tc>
          <w:tcPr>
            <w:tcW w:w="1331" w:type="pct"/>
            <w:vAlign w:val="center"/>
          </w:tcPr>
          <w:p w14:paraId="254C5534" w14:textId="77777777" w:rsidR="00730E43" w:rsidRPr="000E710C" w:rsidRDefault="00730E43" w:rsidP="005E180A">
            <w:pPr>
              <w:pStyle w:val="TableParagraph"/>
              <w:spacing w:line="210" w:lineRule="exact"/>
              <w:jc w:val="center"/>
              <w:rPr>
                <w:sz w:val="20"/>
                <w:szCs w:val="20"/>
                <w:lang w:val="uk-UA"/>
              </w:rPr>
            </w:pPr>
            <w:r w:rsidRPr="000E710C">
              <w:rPr>
                <w:sz w:val="20"/>
                <w:szCs w:val="20"/>
                <w:lang w:val="uk-UA"/>
              </w:rPr>
              <w:t>Недоліки</w:t>
            </w:r>
          </w:p>
        </w:tc>
      </w:tr>
      <w:tr w:rsidR="00730E43" w:rsidRPr="000E710C" w14:paraId="2076A048" w14:textId="77777777" w:rsidTr="00C32C29">
        <w:trPr>
          <w:trHeight w:val="227"/>
          <w:jc w:val="center"/>
        </w:trPr>
        <w:tc>
          <w:tcPr>
            <w:tcW w:w="375" w:type="pct"/>
            <w:vAlign w:val="center"/>
          </w:tcPr>
          <w:p w14:paraId="109929A5" w14:textId="77777777" w:rsidR="00730E43" w:rsidRPr="000E710C" w:rsidRDefault="00730E43" w:rsidP="005E180A">
            <w:pPr>
              <w:pStyle w:val="TableParagraph"/>
              <w:spacing w:line="210" w:lineRule="exact"/>
              <w:jc w:val="center"/>
              <w:rPr>
                <w:sz w:val="20"/>
                <w:szCs w:val="20"/>
                <w:lang w:val="uk-UA"/>
              </w:rPr>
            </w:pPr>
            <w:r w:rsidRPr="000E710C">
              <w:rPr>
                <w:w w:val="99"/>
                <w:sz w:val="20"/>
                <w:szCs w:val="20"/>
                <w:lang w:val="uk-UA"/>
              </w:rPr>
              <w:t>1</w:t>
            </w:r>
          </w:p>
        </w:tc>
        <w:tc>
          <w:tcPr>
            <w:tcW w:w="1885" w:type="pct"/>
            <w:vAlign w:val="center"/>
          </w:tcPr>
          <w:p w14:paraId="5EDF4CB9" w14:textId="77777777" w:rsidR="00730E43" w:rsidRPr="000E710C" w:rsidRDefault="00730E43" w:rsidP="005E180A">
            <w:pPr>
              <w:pStyle w:val="TableParagraph"/>
              <w:spacing w:line="210" w:lineRule="exact"/>
              <w:jc w:val="center"/>
              <w:rPr>
                <w:sz w:val="20"/>
                <w:szCs w:val="20"/>
                <w:lang w:val="uk-UA"/>
              </w:rPr>
            </w:pPr>
            <w:r w:rsidRPr="000E710C">
              <w:rPr>
                <w:w w:val="99"/>
                <w:sz w:val="20"/>
                <w:szCs w:val="20"/>
                <w:lang w:val="uk-UA"/>
              </w:rPr>
              <w:t>2</w:t>
            </w:r>
          </w:p>
        </w:tc>
        <w:tc>
          <w:tcPr>
            <w:tcW w:w="1409" w:type="pct"/>
            <w:vAlign w:val="center"/>
          </w:tcPr>
          <w:p w14:paraId="378F2E5F" w14:textId="77777777" w:rsidR="00730E43" w:rsidRPr="000E710C" w:rsidRDefault="00730E43" w:rsidP="005E180A">
            <w:pPr>
              <w:pStyle w:val="TableParagraph"/>
              <w:spacing w:line="210" w:lineRule="exact"/>
              <w:jc w:val="center"/>
              <w:rPr>
                <w:sz w:val="20"/>
                <w:szCs w:val="20"/>
                <w:lang w:val="uk-UA"/>
              </w:rPr>
            </w:pPr>
            <w:r w:rsidRPr="000E710C">
              <w:rPr>
                <w:w w:val="99"/>
                <w:sz w:val="20"/>
                <w:szCs w:val="20"/>
                <w:lang w:val="uk-UA"/>
              </w:rPr>
              <w:t>3</w:t>
            </w:r>
          </w:p>
        </w:tc>
        <w:tc>
          <w:tcPr>
            <w:tcW w:w="1331" w:type="pct"/>
            <w:vAlign w:val="center"/>
          </w:tcPr>
          <w:p w14:paraId="0AF2D233" w14:textId="77777777" w:rsidR="00730E43" w:rsidRPr="000E710C" w:rsidRDefault="00730E43" w:rsidP="005E180A">
            <w:pPr>
              <w:pStyle w:val="TableParagraph"/>
              <w:spacing w:line="210" w:lineRule="exact"/>
              <w:jc w:val="center"/>
              <w:rPr>
                <w:sz w:val="20"/>
                <w:szCs w:val="20"/>
                <w:lang w:val="uk-UA"/>
              </w:rPr>
            </w:pPr>
            <w:r w:rsidRPr="000E710C">
              <w:rPr>
                <w:w w:val="99"/>
                <w:sz w:val="20"/>
                <w:szCs w:val="20"/>
                <w:lang w:val="uk-UA"/>
              </w:rPr>
              <w:t>4</w:t>
            </w:r>
          </w:p>
        </w:tc>
      </w:tr>
      <w:tr w:rsidR="005E180A" w:rsidRPr="00BE6C60" w14:paraId="61254318" w14:textId="77777777" w:rsidTr="00D613C7">
        <w:trPr>
          <w:cantSplit/>
          <w:trHeight w:val="2608"/>
          <w:jc w:val="center"/>
        </w:trPr>
        <w:tc>
          <w:tcPr>
            <w:tcW w:w="375" w:type="pct"/>
            <w:textDirection w:val="btLr"/>
            <w:vAlign w:val="center"/>
          </w:tcPr>
          <w:p w14:paraId="01EFB504" w14:textId="77777777" w:rsidR="005E180A" w:rsidRPr="000E710C" w:rsidRDefault="005E180A" w:rsidP="001076E7">
            <w:pPr>
              <w:pStyle w:val="TableParagraph"/>
              <w:tabs>
                <w:tab w:val="left" w:pos="782"/>
              </w:tabs>
              <w:ind w:left="113" w:right="113"/>
              <w:jc w:val="center"/>
              <w:rPr>
                <w:sz w:val="20"/>
                <w:szCs w:val="20"/>
                <w:lang w:val="uk-UA"/>
              </w:rPr>
            </w:pPr>
            <w:r w:rsidRPr="000E710C">
              <w:rPr>
                <w:sz w:val="20"/>
                <w:szCs w:val="20"/>
                <w:lang w:val="uk-UA"/>
              </w:rPr>
              <w:t>Е. Альтмана</w:t>
            </w:r>
          </w:p>
        </w:tc>
        <w:tc>
          <w:tcPr>
            <w:tcW w:w="1885" w:type="pct"/>
            <w:vAlign w:val="center"/>
          </w:tcPr>
          <w:p w14:paraId="63FFF92C" w14:textId="77777777" w:rsidR="005E180A" w:rsidRPr="000E710C" w:rsidRDefault="005E180A" w:rsidP="00D613C7">
            <w:pPr>
              <w:pStyle w:val="TableParagraph"/>
              <w:spacing w:after="120" w:line="217" w:lineRule="exact"/>
              <w:jc w:val="center"/>
              <w:rPr>
                <w:color w:val="000000"/>
                <w:sz w:val="20"/>
                <w:szCs w:val="20"/>
                <w:lang w:val="uk-UA" w:eastAsia="uk-UA"/>
              </w:rPr>
            </w:pPr>
            <w:r w:rsidRPr="000E710C">
              <w:rPr>
                <w:color w:val="000000"/>
                <w:sz w:val="20"/>
                <w:szCs w:val="20"/>
                <w:lang w:val="uk-UA" w:eastAsia="uk-UA"/>
              </w:rPr>
              <w:t>Z=1,2К</w:t>
            </w:r>
            <w:r w:rsidRPr="000E710C">
              <w:rPr>
                <w:color w:val="000000"/>
                <w:sz w:val="20"/>
                <w:szCs w:val="20"/>
                <w:vertAlign w:val="subscript"/>
                <w:lang w:val="uk-UA" w:eastAsia="uk-UA"/>
              </w:rPr>
              <w:t>1</w:t>
            </w:r>
            <w:r w:rsidRPr="000E710C">
              <w:rPr>
                <w:color w:val="000000"/>
                <w:sz w:val="20"/>
                <w:szCs w:val="20"/>
                <w:lang w:val="uk-UA" w:eastAsia="uk-UA"/>
              </w:rPr>
              <w:t xml:space="preserve"> + 1,4К</w:t>
            </w:r>
            <w:r w:rsidRPr="000E710C">
              <w:rPr>
                <w:color w:val="000000"/>
                <w:sz w:val="20"/>
                <w:szCs w:val="20"/>
                <w:vertAlign w:val="subscript"/>
                <w:lang w:val="uk-UA" w:eastAsia="uk-UA"/>
              </w:rPr>
              <w:t>2</w:t>
            </w:r>
            <w:r w:rsidRPr="000E710C">
              <w:rPr>
                <w:color w:val="000000"/>
                <w:sz w:val="20"/>
                <w:szCs w:val="20"/>
                <w:lang w:val="uk-UA" w:eastAsia="uk-UA"/>
              </w:rPr>
              <w:t xml:space="preserve"> + 3,3К</w:t>
            </w:r>
            <w:r w:rsidRPr="000E710C">
              <w:rPr>
                <w:color w:val="000000"/>
                <w:sz w:val="20"/>
                <w:szCs w:val="20"/>
                <w:vertAlign w:val="subscript"/>
                <w:lang w:val="uk-UA" w:eastAsia="uk-UA"/>
              </w:rPr>
              <w:t>3</w:t>
            </w:r>
            <w:r w:rsidRPr="000E710C">
              <w:rPr>
                <w:color w:val="000000"/>
                <w:sz w:val="20"/>
                <w:szCs w:val="20"/>
                <w:lang w:val="uk-UA" w:eastAsia="uk-UA"/>
              </w:rPr>
              <w:t xml:space="preserve"> + 0,6К</w:t>
            </w:r>
            <w:r w:rsidRPr="000E710C">
              <w:rPr>
                <w:color w:val="000000"/>
                <w:sz w:val="20"/>
                <w:szCs w:val="20"/>
                <w:vertAlign w:val="subscript"/>
                <w:lang w:val="uk-UA" w:eastAsia="uk-UA"/>
              </w:rPr>
              <w:t>4</w:t>
            </w:r>
            <w:r w:rsidRPr="000E710C">
              <w:rPr>
                <w:color w:val="000000"/>
                <w:sz w:val="20"/>
                <w:szCs w:val="20"/>
                <w:lang w:val="uk-UA" w:eastAsia="uk-UA"/>
              </w:rPr>
              <w:t xml:space="preserve"> + К</w:t>
            </w:r>
            <w:r w:rsidRPr="000E710C">
              <w:rPr>
                <w:color w:val="000000"/>
                <w:sz w:val="20"/>
                <w:szCs w:val="20"/>
                <w:vertAlign w:val="subscript"/>
                <w:lang w:val="uk-UA" w:eastAsia="uk-UA"/>
              </w:rPr>
              <w:t>5</w:t>
            </w:r>
            <w:r w:rsidRPr="000E710C">
              <w:rPr>
                <w:color w:val="000000"/>
                <w:sz w:val="20"/>
                <w:szCs w:val="20"/>
                <w:lang w:val="uk-UA" w:eastAsia="uk-UA"/>
              </w:rPr>
              <w:t>,</w:t>
            </w:r>
          </w:p>
          <w:p w14:paraId="6E06F8F5" w14:textId="77777777" w:rsidR="005E180A" w:rsidRPr="000E710C" w:rsidRDefault="005E180A" w:rsidP="00B613D2">
            <w:pPr>
              <w:pStyle w:val="TableParagraph"/>
              <w:spacing w:line="217" w:lineRule="exact"/>
              <w:jc w:val="center"/>
              <w:rPr>
                <w:sz w:val="20"/>
                <w:szCs w:val="20"/>
                <w:lang w:val="uk-UA"/>
              </w:rPr>
            </w:pPr>
            <w:r w:rsidRPr="000E710C">
              <w:rPr>
                <w:sz w:val="20"/>
                <w:szCs w:val="20"/>
                <w:lang w:val="uk-UA"/>
              </w:rPr>
              <w:t>де К</w:t>
            </w:r>
            <w:r w:rsidRPr="000E710C">
              <w:rPr>
                <w:sz w:val="20"/>
                <w:szCs w:val="20"/>
                <w:vertAlign w:val="subscript"/>
                <w:lang w:val="uk-UA"/>
              </w:rPr>
              <w:t>1</w:t>
            </w:r>
            <w:r w:rsidRPr="000E710C">
              <w:rPr>
                <w:sz w:val="20"/>
                <w:szCs w:val="20"/>
                <w:lang w:val="uk-UA"/>
              </w:rPr>
              <w:t xml:space="preserve"> – робочий капітал/</w:t>
            </w:r>
            <w:r w:rsidR="00ED6138">
              <w:rPr>
                <w:sz w:val="20"/>
                <w:szCs w:val="20"/>
                <w:lang w:val="uk-UA"/>
              </w:rPr>
              <w:t xml:space="preserve">сукупна </w:t>
            </w:r>
            <w:r w:rsidR="00ED6138" w:rsidRPr="00ED6138">
              <w:rPr>
                <w:sz w:val="20"/>
                <w:szCs w:val="20"/>
                <w:lang w:val="uk-UA"/>
              </w:rPr>
              <w:t>цінність</w:t>
            </w:r>
            <w:r w:rsidR="00331B6D">
              <w:rPr>
                <w:sz w:val="20"/>
                <w:szCs w:val="20"/>
                <w:lang w:val="uk-UA"/>
              </w:rPr>
              <w:t xml:space="preserve"> </w:t>
            </w:r>
            <w:r w:rsidRPr="000E710C">
              <w:rPr>
                <w:sz w:val="20"/>
                <w:szCs w:val="20"/>
                <w:lang w:val="uk-UA"/>
              </w:rPr>
              <w:t>актив</w:t>
            </w:r>
            <w:r w:rsidR="00ED6138">
              <w:rPr>
                <w:sz w:val="20"/>
                <w:szCs w:val="20"/>
                <w:lang w:val="uk-UA"/>
              </w:rPr>
              <w:t>ів</w:t>
            </w:r>
            <w:r w:rsidR="00B613D2" w:rsidRPr="000E710C">
              <w:rPr>
                <w:sz w:val="20"/>
                <w:szCs w:val="20"/>
                <w:lang w:val="uk-UA"/>
              </w:rPr>
              <w:t xml:space="preserve">; </w:t>
            </w:r>
            <w:r w:rsidRPr="000E710C">
              <w:rPr>
                <w:sz w:val="20"/>
                <w:szCs w:val="20"/>
                <w:lang w:val="uk-UA"/>
              </w:rPr>
              <w:t>К</w:t>
            </w:r>
            <w:r w:rsidRPr="000E710C">
              <w:rPr>
                <w:sz w:val="20"/>
                <w:szCs w:val="20"/>
                <w:vertAlign w:val="subscript"/>
                <w:lang w:val="uk-UA"/>
              </w:rPr>
              <w:t>2</w:t>
            </w:r>
            <w:r w:rsidRPr="000E710C">
              <w:rPr>
                <w:sz w:val="20"/>
                <w:szCs w:val="20"/>
                <w:lang w:val="uk-UA"/>
              </w:rPr>
              <w:t xml:space="preserve"> – нерозподілений </w:t>
            </w:r>
            <w:r w:rsidR="000F2197">
              <w:rPr>
                <w:sz w:val="20"/>
                <w:szCs w:val="20"/>
                <w:lang w:val="uk-UA"/>
              </w:rPr>
              <w:t>дохід</w:t>
            </w:r>
            <w:r w:rsidRPr="000E710C">
              <w:rPr>
                <w:sz w:val="20"/>
                <w:szCs w:val="20"/>
                <w:lang w:val="uk-UA"/>
              </w:rPr>
              <w:t>/</w:t>
            </w:r>
            <w:r w:rsidR="00331B6D" w:rsidRPr="000E710C">
              <w:rPr>
                <w:sz w:val="20"/>
                <w:szCs w:val="20"/>
                <w:lang w:val="uk-UA"/>
              </w:rPr>
              <w:t xml:space="preserve"> </w:t>
            </w:r>
            <w:r w:rsidR="00ED6138">
              <w:rPr>
                <w:sz w:val="20"/>
                <w:szCs w:val="20"/>
                <w:lang w:val="uk-UA"/>
              </w:rPr>
              <w:t xml:space="preserve">сукупна </w:t>
            </w:r>
            <w:r w:rsidR="00ED6138" w:rsidRPr="00ED6138">
              <w:rPr>
                <w:sz w:val="20"/>
                <w:szCs w:val="20"/>
                <w:lang w:val="uk-UA"/>
              </w:rPr>
              <w:t>цінність</w:t>
            </w:r>
            <w:r w:rsidR="00ED6138">
              <w:rPr>
                <w:sz w:val="20"/>
                <w:szCs w:val="20"/>
                <w:lang w:val="uk-UA"/>
              </w:rPr>
              <w:t xml:space="preserve"> </w:t>
            </w:r>
            <w:r w:rsidR="00ED6138" w:rsidRPr="000E710C">
              <w:rPr>
                <w:sz w:val="20"/>
                <w:szCs w:val="20"/>
                <w:lang w:val="uk-UA"/>
              </w:rPr>
              <w:t>актив</w:t>
            </w:r>
            <w:r w:rsidR="00ED6138">
              <w:rPr>
                <w:sz w:val="20"/>
                <w:szCs w:val="20"/>
                <w:lang w:val="uk-UA"/>
              </w:rPr>
              <w:t>ів</w:t>
            </w:r>
            <w:r w:rsidR="00B613D2" w:rsidRPr="000E710C">
              <w:rPr>
                <w:sz w:val="20"/>
                <w:szCs w:val="20"/>
                <w:lang w:val="uk-UA"/>
              </w:rPr>
              <w:t xml:space="preserve">; </w:t>
            </w:r>
            <w:r w:rsidRPr="000E710C">
              <w:rPr>
                <w:sz w:val="20"/>
                <w:szCs w:val="20"/>
                <w:lang w:val="uk-UA"/>
              </w:rPr>
              <w:t>К</w:t>
            </w:r>
            <w:r w:rsidRPr="000E710C">
              <w:rPr>
                <w:sz w:val="20"/>
                <w:szCs w:val="20"/>
                <w:vertAlign w:val="subscript"/>
                <w:lang w:val="uk-UA"/>
              </w:rPr>
              <w:t>3</w:t>
            </w:r>
            <w:r w:rsidRPr="000E710C">
              <w:rPr>
                <w:sz w:val="20"/>
                <w:szCs w:val="20"/>
                <w:lang w:val="uk-UA"/>
              </w:rPr>
              <w:t xml:space="preserve"> – </w:t>
            </w:r>
            <w:r w:rsidR="000F0B24" w:rsidRPr="000F0B24">
              <w:rPr>
                <w:sz w:val="20"/>
                <w:szCs w:val="20"/>
                <w:lang w:val="uk-UA"/>
              </w:rPr>
              <w:t xml:space="preserve">EBIT </w:t>
            </w:r>
            <w:r w:rsidRPr="000E710C">
              <w:rPr>
                <w:sz w:val="20"/>
                <w:szCs w:val="20"/>
                <w:lang w:val="uk-UA"/>
              </w:rPr>
              <w:t>/</w:t>
            </w:r>
            <w:r w:rsidR="00ED6138">
              <w:rPr>
                <w:sz w:val="20"/>
                <w:szCs w:val="20"/>
                <w:lang w:val="uk-UA"/>
              </w:rPr>
              <w:t xml:space="preserve">сукупна </w:t>
            </w:r>
            <w:r w:rsidR="00ED6138" w:rsidRPr="00ED6138">
              <w:rPr>
                <w:sz w:val="20"/>
                <w:szCs w:val="20"/>
                <w:lang w:val="uk-UA"/>
              </w:rPr>
              <w:t>цінність</w:t>
            </w:r>
            <w:r w:rsidR="00ED6138">
              <w:rPr>
                <w:sz w:val="20"/>
                <w:szCs w:val="20"/>
                <w:lang w:val="uk-UA"/>
              </w:rPr>
              <w:t xml:space="preserve"> </w:t>
            </w:r>
            <w:r w:rsidR="00ED6138" w:rsidRPr="000E710C">
              <w:rPr>
                <w:sz w:val="20"/>
                <w:szCs w:val="20"/>
                <w:lang w:val="uk-UA"/>
              </w:rPr>
              <w:t>актив</w:t>
            </w:r>
            <w:r w:rsidR="00ED6138">
              <w:rPr>
                <w:sz w:val="20"/>
                <w:szCs w:val="20"/>
                <w:lang w:val="uk-UA"/>
              </w:rPr>
              <w:t>ів</w:t>
            </w:r>
            <w:r w:rsidR="00B613D2" w:rsidRPr="000E710C">
              <w:rPr>
                <w:sz w:val="20"/>
                <w:szCs w:val="20"/>
                <w:lang w:val="uk-UA"/>
              </w:rPr>
              <w:t xml:space="preserve">; </w:t>
            </w:r>
            <w:r w:rsidRPr="000E710C">
              <w:rPr>
                <w:sz w:val="20"/>
                <w:szCs w:val="20"/>
                <w:lang w:val="uk-UA"/>
              </w:rPr>
              <w:t>К</w:t>
            </w:r>
            <w:r w:rsidRPr="000E710C">
              <w:rPr>
                <w:sz w:val="20"/>
                <w:szCs w:val="20"/>
                <w:vertAlign w:val="subscript"/>
                <w:lang w:val="uk-UA"/>
              </w:rPr>
              <w:t>4</w:t>
            </w:r>
            <w:r w:rsidRPr="000E710C">
              <w:rPr>
                <w:sz w:val="20"/>
                <w:szCs w:val="20"/>
                <w:lang w:val="uk-UA"/>
              </w:rPr>
              <w:t xml:space="preserve"> – ринкова вартість акцій/заборгованість</w:t>
            </w:r>
            <w:r w:rsidR="00B613D2" w:rsidRPr="000E710C">
              <w:rPr>
                <w:sz w:val="20"/>
                <w:szCs w:val="20"/>
                <w:lang w:val="uk-UA"/>
              </w:rPr>
              <w:t xml:space="preserve">; </w:t>
            </w:r>
            <w:r w:rsidRPr="000E710C">
              <w:rPr>
                <w:sz w:val="20"/>
                <w:szCs w:val="20"/>
                <w:lang w:val="uk-UA"/>
              </w:rPr>
              <w:t>К</w:t>
            </w:r>
            <w:r w:rsidRPr="000E710C">
              <w:rPr>
                <w:sz w:val="20"/>
                <w:szCs w:val="20"/>
                <w:vertAlign w:val="subscript"/>
                <w:lang w:val="uk-UA"/>
              </w:rPr>
              <w:t>5</w:t>
            </w:r>
            <w:r w:rsidRPr="000E710C">
              <w:rPr>
                <w:sz w:val="20"/>
                <w:szCs w:val="20"/>
                <w:lang w:val="uk-UA"/>
              </w:rPr>
              <w:t xml:space="preserve"> – </w:t>
            </w:r>
            <w:r w:rsidR="000F2197">
              <w:rPr>
                <w:sz w:val="20"/>
                <w:szCs w:val="20"/>
                <w:lang w:val="uk-UA"/>
              </w:rPr>
              <w:t>дохід</w:t>
            </w:r>
            <w:r w:rsidR="00792741" w:rsidRPr="00792741">
              <w:rPr>
                <w:sz w:val="20"/>
                <w:szCs w:val="20"/>
                <w:lang w:val="uk-UA"/>
              </w:rPr>
              <w:t xml:space="preserve"> від реалізації </w:t>
            </w:r>
            <w:r w:rsidRPr="000E710C">
              <w:rPr>
                <w:sz w:val="20"/>
                <w:szCs w:val="20"/>
                <w:lang w:val="uk-UA"/>
              </w:rPr>
              <w:t>/</w:t>
            </w:r>
            <w:r w:rsidR="00ED6138">
              <w:rPr>
                <w:sz w:val="20"/>
                <w:szCs w:val="20"/>
                <w:lang w:val="uk-UA"/>
              </w:rPr>
              <w:t xml:space="preserve">сукупна </w:t>
            </w:r>
            <w:r w:rsidR="00ED6138" w:rsidRPr="00ED6138">
              <w:rPr>
                <w:sz w:val="20"/>
                <w:szCs w:val="20"/>
                <w:lang w:val="uk-UA"/>
              </w:rPr>
              <w:t>цінність</w:t>
            </w:r>
            <w:r w:rsidR="00ED6138">
              <w:rPr>
                <w:sz w:val="20"/>
                <w:szCs w:val="20"/>
                <w:lang w:val="uk-UA"/>
              </w:rPr>
              <w:t xml:space="preserve"> </w:t>
            </w:r>
            <w:r w:rsidR="00ED6138" w:rsidRPr="000E710C">
              <w:rPr>
                <w:sz w:val="20"/>
                <w:szCs w:val="20"/>
                <w:lang w:val="uk-UA"/>
              </w:rPr>
              <w:t>актив</w:t>
            </w:r>
            <w:r w:rsidR="00ED6138">
              <w:rPr>
                <w:sz w:val="20"/>
                <w:szCs w:val="20"/>
                <w:lang w:val="uk-UA"/>
              </w:rPr>
              <w:t>ів</w:t>
            </w:r>
            <w:r w:rsidR="00B613D2" w:rsidRPr="000E710C">
              <w:rPr>
                <w:sz w:val="20"/>
                <w:szCs w:val="20"/>
                <w:lang w:val="uk-UA"/>
              </w:rPr>
              <w:t>.</w:t>
            </w:r>
          </w:p>
        </w:tc>
        <w:tc>
          <w:tcPr>
            <w:tcW w:w="1409" w:type="pct"/>
            <w:vAlign w:val="center"/>
          </w:tcPr>
          <w:p w14:paraId="1C89B608"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Простота та можливість застосування навіть з обмеженою інформацією, порівнянність показників, можливість класифікувати аналізовані підприємства як потенційних банкрутів чи не банкрутів, висока точність розрахунків.</w:t>
            </w:r>
          </w:p>
        </w:tc>
        <w:tc>
          <w:tcPr>
            <w:tcW w:w="1331" w:type="pct"/>
            <w:vAlign w:val="center"/>
          </w:tcPr>
          <w:p w14:paraId="6A192174"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Не підходить для українських умов (ігнорує економічні особливості України), складна інтерпретація кінцевого значення, точність розрахунку залежить від вихідної інформації, обмежена застосовність, спирається на застарілі дані та виключає врахування показників прибутковості.</w:t>
            </w:r>
          </w:p>
        </w:tc>
      </w:tr>
      <w:tr w:rsidR="005E180A" w:rsidRPr="00BE6C60" w14:paraId="6D19DD9B" w14:textId="77777777" w:rsidTr="000E710C">
        <w:trPr>
          <w:cantSplit/>
          <w:trHeight w:val="1928"/>
          <w:jc w:val="center"/>
        </w:trPr>
        <w:tc>
          <w:tcPr>
            <w:tcW w:w="375" w:type="pct"/>
            <w:textDirection w:val="btLr"/>
            <w:vAlign w:val="center"/>
          </w:tcPr>
          <w:p w14:paraId="6D8BD565" w14:textId="77777777" w:rsidR="005E180A" w:rsidRPr="000E710C" w:rsidRDefault="005E180A" w:rsidP="001076E7">
            <w:pPr>
              <w:pStyle w:val="TableParagraph"/>
              <w:ind w:left="113" w:right="113"/>
              <w:jc w:val="center"/>
              <w:rPr>
                <w:sz w:val="20"/>
                <w:szCs w:val="20"/>
                <w:lang w:val="uk-UA"/>
              </w:rPr>
            </w:pPr>
            <w:r w:rsidRPr="000E710C">
              <w:rPr>
                <w:spacing w:val="-1"/>
                <w:sz w:val="20"/>
                <w:szCs w:val="20"/>
                <w:lang w:val="uk-UA"/>
              </w:rPr>
              <w:t>Г. Спрінгейта</w:t>
            </w:r>
          </w:p>
        </w:tc>
        <w:tc>
          <w:tcPr>
            <w:tcW w:w="1885" w:type="pct"/>
            <w:vAlign w:val="center"/>
          </w:tcPr>
          <w:p w14:paraId="28867030" w14:textId="77777777" w:rsidR="005E180A" w:rsidRPr="000E710C" w:rsidRDefault="005E180A" w:rsidP="00D613C7">
            <w:pPr>
              <w:pStyle w:val="TableParagraph"/>
              <w:spacing w:after="120" w:line="225" w:lineRule="exact"/>
              <w:jc w:val="center"/>
              <w:rPr>
                <w:position w:val="2"/>
                <w:sz w:val="20"/>
                <w:szCs w:val="20"/>
                <w:lang w:val="uk-UA"/>
              </w:rPr>
            </w:pPr>
            <w:r w:rsidRPr="000E710C">
              <w:rPr>
                <w:color w:val="000000"/>
                <w:sz w:val="20"/>
                <w:szCs w:val="20"/>
                <w:lang w:val="uk-UA" w:eastAsia="uk-UA"/>
              </w:rPr>
              <w:t>Z = 1,03K</w:t>
            </w:r>
            <w:r w:rsidRPr="000E710C">
              <w:rPr>
                <w:color w:val="000000"/>
                <w:sz w:val="20"/>
                <w:szCs w:val="20"/>
                <w:vertAlign w:val="subscript"/>
                <w:lang w:val="uk-UA" w:eastAsia="uk-UA"/>
              </w:rPr>
              <w:t>1</w:t>
            </w:r>
            <w:r w:rsidRPr="000E710C">
              <w:rPr>
                <w:color w:val="000000"/>
                <w:sz w:val="20"/>
                <w:szCs w:val="20"/>
                <w:lang w:val="uk-UA" w:eastAsia="uk-UA"/>
              </w:rPr>
              <w:t xml:space="preserve"> + 3,07K</w:t>
            </w:r>
            <w:r w:rsidRPr="000E710C">
              <w:rPr>
                <w:color w:val="000000"/>
                <w:sz w:val="20"/>
                <w:szCs w:val="20"/>
                <w:vertAlign w:val="subscript"/>
                <w:lang w:val="uk-UA" w:eastAsia="uk-UA"/>
              </w:rPr>
              <w:t>2</w:t>
            </w:r>
            <w:r w:rsidRPr="000E710C">
              <w:rPr>
                <w:color w:val="000000"/>
                <w:sz w:val="20"/>
                <w:szCs w:val="20"/>
                <w:lang w:val="uk-UA" w:eastAsia="uk-UA"/>
              </w:rPr>
              <w:t xml:space="preserve"> + 0,66K</w:t>
            </w:r>
            <w:r w:rsidRPr="000E710C">
              <w:rPr>
                <w:color w:val="000000"/>
                <w:sz w:val="20"/>
                <w:szCs w:val="20"/>
                <w:vertAlign w:val="subscript"/>
                <w:lang w:val="uk-UA" w:eastAsia="uk-UA"/>
              </w:rPr>
              <w:t>3</w:t>
            </w:r>
            <w:r w:rsidRPr="000E710C">
              <w:rPr>
                <w:color w:val="000000"/>
                <w:sz w:val="20"/>
                <w:szCs w:val="20"/>
                <w:lang w:val="uk-UA" w:eastAsia="uk-UA"/>
              </w:rPr>
              <w:t xml:space="preserve"> + 0,4K</w:t>
            </w:r>
            <w:r w:rsidRPr="000E710C">
              <w:rPr>
                <w:color w:val="000000"/>
                <w:sz w:val="20"/>
                <w:szCs w:val="20"/>
                <w:vertAlign w:val="subscript"/>
                <w:lang w:val="uk-UA" w:eastAsia="uk-UA"/>
              </w:rPr>
              <w:t>4</w:t>
            </w:r>
            <w:r w:rsidRPr="000E710C">
              <w:rPr>
                <w:position w:val="2"/>
                <w:sz w:val="20"/>
                <w:szCs w:val="20"/>
                <w:lang w:val="uk-UA"/>
              </w:rPr>
              <w:t>,</w:t>
            </w:r>
          </w:p>
          <w:p w14:paraId="488ABBE0" w14:textId="77777777" w:rsidR="005E180A" w:rsidRPr="008253D0" w:rsidRDefault="005E180A" w:rsidP="00B613D2">
            <w:pPr>
              <w:pStyle w:val="TableParagraph"/>
              <w:spacing w:line="230" w:lineRule="exact"/>
              <w:jc w:val="center"/>
              <w:rPr>
                <w:sz w:val="20"/>
                <w:szCs w:val="20"/>
                <w:lang w:val="uk-UA"/>
              </w:rPr>
            </w:pPr>
            <w:r w:rsidRPr="000E710C">
              <w:rPr>
                <w:position w:val="2"/>
                <w:sz w:val="20"/>
                <w:szCs w:val="20"/>
                <w:lang w:val="uk-UA"/>
              </w:rPr>
              <w:t>де</w:t>
            </w:r>
            <w:r w:rsidRPr="000E710C">
              <w:rPr>
                <w:spacing w:val="-4"/>
                <w:position w:val="2"/>
                <w:sz w:val="20"/>
                <w:szCs w:val="20"/>
                <w:lang w:val="uk-UA"/>
              </w:rPr>
              <w:t xml:space="preserve"> </w:t>
            </w:r>
            <w:r w:rsidRPr="000E710C">
              <w:rPr>
                <w:position w:val="2"/>
                <w:sz w:val="20"/>
                <w:szCs w:val="20"/>
                <w:lang w:val="uk-UA"/>
              </w:rPr>
              <w:t>К</w:t>
            </w:r>
            <w:r w:rsidRPr="000E710C">
              <w:rPr>
                <w:sz w:val="20"/>
                <w:szCs w:val="20"/>
                <w:vertAlign w:val="subscript"/>
                <w:lang w:val="uk-UA"/>
              </w:rPr>
              <w:t>1</w:t>
            </w:r>
            <w:r w:rsidRPr="000E710C">
              <w:rPr>
                <w:spacing w:val="15"/>
                <w:sz w:val="20"/>
                <w:szCs w:val="20"/>
                <w:lang w:val="uk-UA"/>
              </w:rPr>
              <w:t xml:space="preserve"> </w:t>
            </w:r>
            <w:r w:rsidRPr="000E710C">
              <w:rPr>
                <w:position w:val="2"/>
                <w:sz w:val="20"/>
                <w:szCs w:val="20"/>
                <w:lang w:val="uk-UA"/>
              </w:rPr>
              <w:t>–</w:t>
            </w:r>
            <w:r w:rsidRPr="000E710C">
              <w:rPr>
                <w:spacing w:val="-1"/>
                <w:position w:val="2"/>
                <w:sz w:val="20"/>
                <w:szCs w:val="20"/>
                <w:lang w:val="uk-UA"/>
              </w:rPr>
              <w:t xml:space="preserve"> </w:t>
            </w:r>
            <w:r w:rsidRPr="000E710C">
              <w:rPr>
                <w:position w:val="2"/>
                <w:sz w:val="20"/>
                <w:szCs w:val="20"/>
                <w:lang w:val="uk-UA"/>
              </w:rPr>
              <w:t>робочий</w:t>
            </w:r>
            <w:r w:rsidRPr="000E710C">
              <w:rPr>
                <w:spacing w:val="-4"/>
                <w:position w:val="2"/>
                <w:sz w:val="20"/>
                <w:szCs w:val="20"/>
                <w:lang w:val="uk-UA"/>
              </w:rPr>
              <w:t xml:space="preserve"> </w:t>
            </w:r>
            <w:r w:rsidRPr="000E710C">
              <w:rPr>
                <w:position w:val="2"/>
                <w:sz w:val="20"/>
                <w:szCs w:val="20"/>
                <w:lang w:val="uk-UA"/>
              </w:rPr>
              <w:t>капітал/</w:t>
            </w:r>
            <w:r w:rsidR="008253D0" w:rsidRPr="008253D0">
              <w:rPr>
                <w:position w:val="2"/>
                <w:sz w:val="20"/>
                <w:szCs w:val="20"/>
                <w:lang w:val="uk-UA"/>
              </w:rPr>
              <w:t>сукупна цінність активів</w:t>
            </w:r>
            <w:r w:rsidRPr="000E710C">
              <w:rPr>
                <w:position w:val="2"/>
                <w:sz w:val="20"/>
                <w:szCs w:val="20"/>
                <w:lang w:val="uk-UA"/>
              </w:rPr>
              <w:t>;</w:t>
            </w:r>
            <w:r w:rsidR="00B613D2" w:rsidRPr="000E710C">
              <w:rPr>
                <w:position w:val="2"/>
                <w:sz w:val="20"/>
                <w:szCs w:val="20"/>
                <w:lang w:val="uk-UA"/>
              </w:rPr>
              <w:t xml:space="preserve"> </w:t>
            </w:r>
            <w:r w:rsidRPr="000E710C">
              <w:rPr>
                <w:position w:val="2"/>
                <w:sz w:val="20"/>
                <w:szCs w:val="20"/>
                <w:lang w:val="uk-UA"/>
              </w:rPr>
              <w:t>К</w:t>
            </w:r>
            <w:r w:rsidRPr="000E710C">
              <w:rPr>
                <w:sz w:val="20"/>
                <w:szCs w:val="20"/>
                <w:vertAlign w:val="subscript"/>
                <w:lang w:val="uk-UA"/>
              </w:rPr>
              <w:t>2</w:t>
            </w:r>
            <w:r w:rsidRPr="000E710C">
              <w:rPr>
                <w:spacing w:val="14"/>
                <w:sz w:val="20"/>
                <w:szCs w:val="20"/>
                <w:lang w:val="uk-UA"/>
              </w:rPr>
              <w:t xml:space="preserve"> </w:t>
            </w:r>
            <w:r w:rsidRPr="000E710C">
              <w:rPr>
                <w:position w:val="2"/>
                <w:sz w:val="20"/>
                <w:szCs w:val="20"/>
                <w:lang w:val="uk-UA"/>
              </w:rPr>
              <w:t>–</w:t>
            </w:r>
            <w:r w:rsidRPr="000E710C">
              <w:rPr>
                <w:spacing w:val="-2"/>
                <w:position w:val="2"/>
                <w:sz w:val="20"/>
                <w:szCs w:val="20"/>
                <w:lang w:val="uk-UA"/>
              </w:rPr>
              <w:t xml:space="preserve"> </w:t>
            </w:r>
            <w:r w:rsidRPr="000E710C">
              <w:rPr>
                <w:position w:val="2"/>
                <w:sz w:val="20"/>
                <w:szCs w:val="20"/>
                <w:lang w:val="uk-UA"/>
              </w:rPr>
              <w:t>прибуток</w:t>
            </w:r>
            <w:r w:rsidRPr="000E710C">
              <w:rPr>
                <w:spacing w:val="-4"/>
                <w:position w:val="2"/>
                <w:sz w:val="20"/>
                <w:szCs w:val="20"/>
                <w:lang w:val="uk-UA"/>
              </w:rPr>
              <w:t xml:space="preserve"> </w:t>
            </w:r>
            <w:r w:rsidRPr="000E710C">
              <w:rPr>
                <w:position w:val="2"/>
                <w:sz w:val="20"/>
                <w:szCs w:val="20"/>
                <w:lang w:val="uk-UA"/>
              </w:rPr>
              <w:t>від</w:t>
            </w:r>
            <w:r w:rsidRPr="000E710C">
              <w:rPr>
                <w:spacing w:val="-4"/>
                <w:position w:val="2"/>
                <w:sz w:val="20"/>
                <w:szCs w:val="20"/>
                <w:lang w:val="uk-UA"/>
              </w:rPr>
              <w:t xml:space="preserve"> </w:t>
            </w:r>
            <w:r w:rsidRPr="000E710C">
              <w:rPr>
                <w:position w:val="2"/>
                <w:sz w:val="20"/>
                <w:szCs w:val="20"/>
                <w:lang w:val="uk-UA"/>
              </w:rPr>
              <w:t>реалізації/</w:t>
            </w:r>
            <w:r w:rsidR="008253D0" w:rsidRPr="008253D0">
              <w:rPr>
                <w:lang w:val="uk-UA"/>
              </w:rPr>
              <w:t xml:space="preserve"> </w:t>
            </w:r>
            <w:r w:rsidR="008253D0" w:rsidRPr="008253D0">
              <w:rPr>
                <w:position w:val="2"/>
                <w:sz w:val="20"/>
                <w:szCs w:val="20"/>
                <w:lang w:val="uk-UA"/>
              </w:rPr>
              <w:t>сукупна цінність активів</w:t>
            </w:r>
            <w:r w:rsidRPr="000E710C">
              <w:rPr>
                <w:position w:val="2"/>
                <w:sz w:val="20"/>
                <w:szCs w:val="20"/>
                <w:lang w:val="uk-UA"/>
              </w:rPr>
              <w:t>;</w:t>
            </w:r>
            <w:r w:rsidR="00B613D2" w:rsidRPr="000E710C">
              <w:rPr>
                <w:position w:val="2"/>
                <w:sz w:val="20"/>
                <w:szCs w:val="20"/>
                <w:lang w:val="uk-UA"/>
              </w:rPr>
              <w:t xml:space="preserve"> </w:t>
            </w:r>
            <w:r w:rsidRPr="000E710C">
              <w:rPr>
                <w:position w:val="2"/>
                <w:sz w:val="20"/>
                <w:szCs w:val="20"/>
                <w:lang w:val="uk-UA"/>
              </w:rPr>
              <w:t>К</w:t>
            </w:r>
            <w:r w:rsidRPr="000E710C">
              <w:rPr>
                <w:sz w:val="20"/>
                <w:szCs w:val="20"/>
                <w:vertAlign w:val="subscript"/>
                <w:lang w:val="uk-UA"/>
              </w:rPr>
              <w:t>3</w:t>
            </w:r>
            <w:r w:rsidRPr="000E710C">
              <w:rPr>
                <w:sz w:val="20"/>
                <w:szCs w:val="20"/>
                <w:lang w:val="uk-UA"/>
              </w:rPr>
              <w:t xml:space="preserve"> </w:t>
            </w:r>
            <w:r w:rsidRPr="000E710C">
              <w:rPr>
                <w:position w:val="2"/>
                <w:sz w:val="20"/>
                <w:szCs w:val="20"/>
                <w:lang w:val="uk-UA"/>
              </w:rPr>
              <w:t xml:space="preserve">– прибуток </w:t>
            </w:r>
            <w:r w:rsidRPr="000E710C">
              <w:rPr>
                <w:spacing w:val="-2"/>
                <w:position w:val="2"/>
                <w:sz w:val="20"/>
                <w:szCs w:val="20"/>
                <w:lang w:val="uk-UA"/>
              </w:rPr>
              <w:t>ві</w:t>
            </w:r>
            <w:r w:rsidR="008253D0">
              <w:rPr>
                <w:spacing w:val="-2"/>
                <w:position w:val="2"/>
                <w:sz w:val="20"/>
                <w:szCs w:val="20"/>
                <w:lang w:val="uk-UA"/>
              </w:rPr>
              <w:t xml:space="preserve">д </w:t>
            </w:r>
            <w:r w:rsidR="008253D0" w:rsidRPr="008253D0">
              <w:rPr>
                <w:spacing w:val="-2"/>
                <w:position w:val="2"/>
                <w:sz w:val="20"/>
                <w:szCs w:val="20"/>
                <w:lang w:val="uk-UA"/>
              </w:rPr>
              <w:t>реалізації/коротк</w:t>
            </w:r>
            <w:r w:rsidR="00792741">
              <w:rPr>
                <w:spacing w:val="-2"/>
                <w:position w:val="2"/>
                <w:sz w:val="20"/>
                <w:szCs w:val="20"/>
                <w:lang w:val="uk-UA"/>
              </w:rPr>
              <w:t>а</w:t>
            </w:r>
            <w:r w:rsidR="008253D0" w:rsidRPr="008253D0">
              <w:rPr>
                <w:spacing w:val="-2"/>
                <w:position w:val="2"/>
                <w:sz w:val="20"/>
                <w:szCs w:val="20"/>
                <w:lang w:val="uk-UA"/>
              </w:rPr>
              <w:t xml:space="preserve"> заборгованість; К4 – </w:t>
            </w:r>
            <w:r w:rsidR="00F33419">
              <w:rPr>
                <w:spacing w:val="-2"/>
                <w:position w:val="2"/>
                <w:sz w:val="20"/>
                <w:szCs w:val="20"/>
                <w:lang w:val="uk-UA"/>
              </w:rPr>
              <w:t>прибуток</w:t>
            </w:r>
            <w:r w:rsidR="008253D0" w:rsidRPr="008253D0">
              <w:rPr>
                <w:spacing w:val="-2"/>
                <w:position w:val="2"/>
                <w:sz w:val="20"/>
                <w:szCs w:val="20"/>
                <w:lang w:val="uk-UA"/>
              </w:rPr>
              <w:t xml:space="preserve"> від реалізації/</w:t>
            </w:r>
            <w:r w:rsidR="00F33419" w:rsidRPr="008253D0">
              <w:rPr>
                <w:position w:val="2"/>
                <w:sz w:val="20"/>
                <w:szCs w:val="20"/>
                <w:lang w:val="uk-UA"/>
              </w:rPr>
              <w:t xml:space="preserve"> сукупна цінність активів</w:t>
            </w:r>
          </w:p>
        </w:tc>
        <w:tc>
          <w:tcPr>
            <w:tcW w:w="1409" w:type="pct"/>
            <w:vAlign w:val="center"/>
          </w:tcPr>
          <w:p w14:paraId="0D56636F"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Демонструє достатньо надійний рівень прогнозування з точністю приблизно 90%.</w:t>
            </w:r>
          </w:p>
        </w:tc>
        <w:tc>
          <w:tcPr>
            <w:tcW w:w="1331" w:type="pct"/>
            <w:vAlign w:val="center"/>
          </w:tcPr>
          <w:p w14:paraId="463151BF"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Розроблено для американських і канадських компаній для оцінки, не має галузевої та регіональної диференціації, демонструє відносно високі кореляції між змінними та не підходить для економіки України.</w:t>
            </w:r>
          </w:p>
        </w:tc>
      </w:tr>
    </w:tbl>
    <w:p w14:paraId="14577F9E" w14:textId="77777777" w:rsidR="00016ACF" w:rsidRPr="0029074C" w:rsidRDefault="00016ACF">
      <w:pPr>
        <w:rPr>
          <w:lang w:val="uk-UA"/>
        </w:rPr>
      </w:pPr>
      <w:r w:rsidRPr="0029074C">
        <w:rPr>
          <w:lang w:val="uk-UA"/>
        </w:rPr>
        <w:br w:type="page"/>
      </w:r>
    </w:p>
    <w:tbl>
      <w:tblPr>
        <w:tblStyle w:val="TableNormal"/>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44"/>
        <w:gridCol w:w="3736"/>
        <w:gridCol w:w="2793"/>
        <w:gridCol w:w="2638"/>
      </w:tblGrid>
      <w:tr w:rsidR="00C32C29" w:rsidRPr="000E710C" w14:paraId="3214E349" w14:textId="77777777" w:rsidTr="00016ACF">
        <w:trPr>
          <w:cantSplit/>
          <w:trHeight w:val="227"/>
          <w:jc w:val="center"/>
        </w:trPr>
        <w:tc>
          <w:tcPr>
            <w:tcW w:w="5000" w:type="pct"/>
            <w:gridSpan w:val="4"/>
            <w:tcBorders>
              <w:top w:val="nil"/>
              <w:left w:val="nil"/>
              <w:right w:val="nil"/>
            </w:tcBorders>
          </w:tcPr>
          <w:p w14:paraId="7BC7910F" w14:textId="77777777" w:rsidR="00C32C29" w:rsidRPr="00D00274" w:rsidRDefault="00C32C29" w:rsidP="00016ACF">
            <w:pPr>
              <w:ind w:firstLine="284"/>
              <w:jc w:val="right"/>
              <w:rPr>
                <w:rFonts w:ascii="Times New Roman" w:hAnsi="Times New Roman" w:cs="Times New Roman"/>
                <w:sz w:val="28"/>
                <w:szCs w:val="28"/>
                <w:lang w:val="uk-UA"/>
              </w:rPr>
            </w:pPr>
            <w:r w:rsidRPr="00D00274">
              <w:rPr>
                <w:rFonts w:ascii="Times New Roman" w:hAnsi="Times New Roman" w:cs="Times New Roman"/>
                <w:sz w:val="28"/>
                <w:szCs w:val="28"/>
                <w:lang w:val="uk-UA"/>
              </w:rPr>
              <w:lastRenderedPageBreak/>
              <w:t>Продовження таблиці 1.4</w:t>
            </w:r>
          </w:p>
        </w:tc>
      </w:tr>
      <w:tr w:rsidR="00DE06D0" w:rsidRPr="000E710C" w14:paraId="0C5AB30C" w14:textId="77777777" w:rsidTr="00016ACF">
        <w:trPr>
          <w:cantSplit/>
          <w:trHeight w:val="227"/>
          <w:jc w:val="center"/>
        </w:trPr>
        <w:tc>
          <w:tcPr>
            <w:tcW w:w="375" w:type="pct"/>
            <w:tcBorders>
              <w:bottom w:val="single" w:sz="4" w:space="0" w:color="000000"/>
            </w:tcBorders>
            <w:vAlign w:val="center"/>
          </w:tcPr>
          <w:p w14:paraId="666044A7" w14:textId="77777777" w:rsidR="00DE06D0" w:rsidRPr="000E710C" w:rsidRDefault="00E73ACF" w:rsidP="00DE06D0">
            <w:pPr>
              <w:pStyle w:val="TableParagraph"/>
              <w:jc w:val="center"/>
              <w:rPr>
                <w:sz w:val="20"/>
                <w:szCs w:val="20"/>
                <w:lang w:val="uk-UA"/>
              </w:rPr>
            </w:pPr>
            <w:r w:rsidRPr="000E710C">
              <w:rPr>
                <w:sz w:val="20"/>
                <w:szCs w:val="20"/>
                <w:lang w:val="uk-UA"/>
              </w:rPr>
              <w:t>1</w:t>
            </w:r>
          </w:p>
        </w:tc>
        <w:tc>
          <w:tcPr>
            <w:tcW w:w="1885" w:type="pct"/>
            <w:tcBorders>
              <w:bottom w:val="single" w:sz="4" w:space="0" w:color="000000"/>
            </w:tcBorders>
            <w:vAlign w:val="center"/>
          </w:tcPr>
          <w:p w14:paraId="1636B268" w14:textId="77777777" w:rsidR="00DE06D0" w:rsidRPr="000E710C" w:rsidRDefault="00E73ACF" w:rsidP="00DE06D0">
            <w:pPr>
              <w:pStyle w:val="TableParagraph"/>
              <w:jc w:val="center"/>
              <w:rPr>
                <w:color w:val="000000"/>
                <w:sz w:val="20"/>
                <w:szCs w:val="20"/>
                <w:lang w:val="uk-UA" w:eastAsia="uk-UA"/>
              </w:rPr>
            </w:pPr>
            <w:r w:rsidRPr="000E710C">
              <w:rPr>
                <w:color w:val="000000"/>
                <w:sz w:val="20"/>
                <w:szCs w:val="20"/>
                <w:lang w:val="uk-UA" w:eastAsia="uk-UA"/>
              </w:rPr>
              <w:t>2</w:t>
            </w:r>
          </w:p>
        </w:tc>
        <w:tc>
          <w:tcPr>
            <w:tcW w:w="1409" w:type="pct"/>
            <w:tcBorders>
              <w:bottom w:val="single" w:sz="4" w:space="0" w:color="000000"/>
            </w:tcBorders>
            <w:vAlign w:val="center"/>
          </w:tcPr>
          <w:p w14:paraId="4B66FD4C" w14:textId="77777777" w:rsidR="00DE06D0" w:rsidRPr="000E710C" w:rsidRDefault="00E73ACF"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3</w:t>
            </w:r>
          </w:p>
        </w:tc>
        <w:tc>
          <w:tcPr>
            <w:tcW w:w="1331" w:type="pct"/>
            <w:tcBorders>
              <w:bottom w:val="single" w:sz="4" w:space="0" w:color="000000"/>
            </w:tcBorders>
            <w:vAlign w:val="center"/>
          </w:tcPr>
          <w:p w14:paraId="49102B52" w14:textId="77777777" w:rsidR="00DE06D0" w:rsidRPr="000E710C" w:rsidRDefault="00E73ACF"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4</w:t>
            </w:r>
          </w:p>
        </w:tc>
      </w:tr>
      <w:tr w:rsidR="005E180A" w:rsidRPr="00BE6C60" w14:paraId="079BB9D8" w14:textId="77777777" w:rsidTr="00016ACF">
        <w:trPr>
          <w:cantSplit/>
          <w:trHeight w:val="20"/>
          <w:jc w:val="center"/>
        </w:trPr>
        <w:tc>
          <w:tcPr>
            <w:tcW w:w="375" w:type="pct"/>
            <w:tcBorders>
              <w:bottom w:val="single" w:sz="4" w:space="0" w:color="000000"/>
            </w:tcBorders>
            <w:textDirection w:val="btLr"/>
            <w:vAlign w:val="center"/>
          </w:tcPr>
          <w:p w14:paraId="0E938710" w14:textId="77777777" w:rsidR="005E180A" w:rsidRPr="000E710C" w:rsidRDefault="005E180A" w:rsidP="001076E7">
            <w:pPr>
              <w:pStyle w:val="TableParagraph"/>
              <w:ind w:left="113" w:right="113"/>
              <w:jc w:val="center"/>
              <w:rPr>
                <w:sz w:val="20"/>
                <w:szCs w:val="20"/>
                <w:lang w:val="uk-UA"/>
              </w:rPr>
            </w:pPr>
            <w:r w:rsidRPr="000E710C">
              <w:rPr>
                <w:sz w:val="20"/>
                <w:szCs w:val="20"/>
                <w:lang w:val="uk-UA"/>
              </w:rPr>
              <w:t>Р. Ліса</w:t>
            </w:r>
          </w:p>
        </w:tc>
        <w:tc>
          <w:tcPr>
            <w:tcW w:w="1885" w:type="pct"/>
            <w:tcBorders>
              <w:bottom w:val="single" w:sz="4" w:space="0" w:color="000000"/>
            </w:tcBorders>
            <w:vAlign w:val="center"/>
          </w:tcPr>
          <w:p w14:paraId="4CB13107" w14:textId="77777777" w:rsidR="005E180A" w:rsidRPr="000E710C" w:rsidRDefault="005E180A" w:rsidP="00D613C7">
            <w:pPr>
              <w:pStyle w:val="TableParagraph"/>
              <w:spacing w:after="120"/>
              <w:jc w:val="center"/>
              <w:rPr>
                <w:sz w:val="20"/>
                <w:szCs w:val="20"/>
                <w:lang w:val="uk-UA"/>
              </w:rPr>
            </w:pPr>
            <w:r w:rsidRPr="000E710C">
              <w:rPr>
                <w:color w:val="000000"/>
                <w:sz w:val="20"/>
                <w:szCs w:val="20"/>
                <w:lang w:val="uk-UA" w:eastAsia="uk-UA"/>
              </w:rPr>
              <w:t>Z=0,063K</w:t>
            </w:r>
            <w:r w:rsidRPr="000E710C">
              <w:rPr>
                <w:color w:val="000000"/>
                <w:sz w:val="20"/>
                <w:szCs w:val="20"/>
                <w:vertAlign w:val="subscript"/>
                <w:lang w:val="uk-UA" w:eastAsia="uk-UA"/>
              </w:rPr>
              <w:t>1</w:t>
            </w:r>
            <w:r w:rsidRPr="000E710C">
              <w:rPr>
                <w:color w:val="000000"/>
                <w:sz w:val="20"/>
                <w:szCs w:val="20"/>
                <w:lang w:val="uk-UA" w:eastAsia="uk-UA"/>
              </w:rPr>
              <w:t xml:space="preserve"> + 0,092K</w:t>
            </w:r>
            <w:r w:rsidRPr="000E710C">
              <w:rPr>
                <w:color w:val="000000"/>
                <w:sz w:val="20"/>
                <w:szCs w:val="20"/>
                <w:vertAlign w:val="subscript"/>
                <w:lang w:val="uk-UA" w:eastAsia="uk-UA"/>
              </w:rPr>
              <w:t>2</w:t>
            </w:r>
            <w:r w:rsidRPr="000E710C">
              <w:rPr>
                <w:color w:val="000000"/>
                <w:sz w:val="20"/>
                <w:szCs w:val="20"/>
                <w:lang w:val="uk-UA" w:eastAsia="uk-UA"/>
              </w:rPr>
              <w:t xml:space="preserve"> + 0,052K</w:t>
            </w:r>
            <w:r w:rsidRPr="000E710C">
              <w:rPr>
                <w:color w:val="000000"/>
                <w:sz w:val="20"/>
                <w:szCs w:val="20"/>
                <w:vertAlign w:val="subscript"/>
                <w:lang w:val="uk-UA" w:eastAsia="uk-UA"/>
              </w:rPr>
              <w:t>3</w:t>
            </w:r>
            <w:r w:rsidRPr="000E710C">
              <w:rPr>
                <w:color w:val="000000"/>
                <w:sz w:val="20"/>
                <w:szCs w:val="20"/>
                <w:lang w:val="uk-UA" w:eastAsia="uk-UA"/>
              </w:rPr>
              <w:t xml:space="preserve"> + 0,001K</w:t>
            </w:r>
            <w:r w:rsidRPr="000E710C">
              <w:rPr>
                <w:color w:val="000000"/>
                <w:sz w:val="20"/>
                <w:szCs w:val="20"/>
                <w:vertAlign w:val="subscript"/>
                <w:lang w:val="uk-UA" w:eastAsia="uk-UA"/>
              </w:rPr>
              <w:t>4</w:t>
            </w:r>
            <w:r w:rsidRPr="000E710C">
              <w:rPr>
                <w:sz w:val="20"/>
                <w:szCs w:val="20"/>
                <w:lang w:val="uk-UA"/>
              </w:rPr>
              <w:t>,</w:t>
            </w:r>
          </w:p>
          <w:p w14:paraId="44B2A692" w14:textId="77777777" w:rsidR="005E180A" w:rsidRPr="000E710C" w:rsidRDefault="005E180A" w:rsidP="00990761">
            <w:pPr>
              <w:pStyle w:val="TableParagraph"/>
              <w:jc w:val="center"/>
              <w:rPr>
                <w:sz w:val="20"/>
                <w:szCs w:val="20"/>
                <w:lang w:val="uk-UA"/>
              </w:rPr>
            </w:pPr>
            <w:r w:rsidRPr="000E710C">
              <w:rPr>
                <w:sz w:val="20"/>
                <w:szCs w:val="20"/>
                <w:lang w:val="uk-UA"/>
              </w:rPr>
              <w:t>де</w:t>
            </w:r>
            <w:r w:rsidRPr="000E710C">
              <w:rPr>
                <w:spacing w:val="17"/>
                <w:sz w:val="20"/>
                <w:szCs w:val="20"/>
                <w:lang w:val="uk-UA"/>
              </w:rPr>
              <w:t xml:space="preserve"> </w:t>
            </w:r>
            <w:r w:rsidRPr="000E710C">
              <w:rPr>
                <w:sz w:val="20"/>
                <w:szCs w:val="20"/>
                <w:lang w:val="uk-UA"/>
              </w:rPr>
              <w:t>К</w:t>
            </w:r>
            <w:r w:rsidRPr="000E710C">
              <w:rPr>
                <w:sz w:val="20"/>
                <w:szCs w:val="20"/>
                <w:vertAlign w:val="subscript"/>
                <w:lang w:val="uk-UA"/>
              </w:rPr>
              <w:t>1</w:t>
            </w:r>
            <w:r w:rsidRPr="000E710C">
              <w:rPr>
                <w:spacing w:val="15"/>
                <w:sz w:val="20"/>
                <w:szCs w:val="20"/>
                <w:lang w:val="uk-UA"/>
              </w:rPr>
              <w:t xml:space="preserve"> </w:t>
            </w:r>
            <w:r w:rsidRPr="000E710C">
              <w:rPr>
                <w:sz w:val="20"/>
                <w:szCs w:val="20"/>
                <w:lang w:val="uk-UA"/>
              </w:rPr>
              <w:t>–</w:t>
            </w:r>
            <w:r w:rsidRPr="000E710C">
              <w:rPr>
                <w:spacing w:val="18"/>
                <w:sz w:val="20"/>
                <w:szCs w:val="20"/>
                <w:lang w:val="uk-UA"/>
              </w:rPr>
              <w:t xml:space="preserve"> </w:t>
            </w:r>
            <w:r w:rsidRPr="000E710C">
              <w:rPr>
                <w:sz w:val="20"/>
                <w:szCs w:val="20"/>
                <w:lang w:val="uk-UA"/>
              </w:rPr>
              <w:t>об</w:t>
            </w:r>
            <w:r w:rsidR="000F0B24">
              <w:rPr>
                <w:sz w:val="20"/>
                <w:szCs w:val="20"/>
                <w:lang w:val="uk-UA"/>
              </w:rPr>
              <w:t>ігові</w:t>
            </w:r>
            <w:r w:rsidRPr="000E710C">
              <w:rPr>
                <w:spacing w:val="17"/>
                <w:sz w:val="20"/>
                <w:szCs w:val="20"/>
                <w:lang w:val="uk-UA"/>
              </w:rPr>
              <w:t xml:space="preserve"> </w:t>
            </w:r>
            <w:r w:rsidRPr="000E710C">
              <w:rPr>
                <w:sz w:val="20"/>
                <w:szCs w:val="20"/>
                <w:lang w:val="uk-UA"/>
              </w:rPr>
              <w:t>активи/</w:t>
            </w:r>
            <w:r w:rsidR="00F33419" w:rsidRPr="00F33419">
              <w:rPr>
                <w:sz w:val="20"/>
                <w:szCs w:val="20"/>
                <w:lang w:val="uk-UA"/>
              </w:rPr>
              <w:t>сукупна цінність активів</w:t>
            </w:r>
            <w:r w:rsidRPr="000E710C">
              <w:rPr>
                <w:sz w:val="20"/>
                <w:szCs w:val="20"/>
                <w:lang w:val="uk-UA"/>
              </w:rPr>
              <w:t>;</w:t>
            </w:r>
            <w:r w:rsidR="00990761" w:rsidRPr="000E710C">
              <w:rPr>
                <w:sz w:val="20"/>
                <w:szCs w:val="20"/>
                <w:lang w:val="uk-UA"/>
              </w:rPr>
              <w:t xml:space="preserve"> </w:t>
            </w:r>
            <w:r w:rsidRPr="000E710C">
              <w:rPr>
                <w:sz w:val="20"/>
                <w:szCs w:val="20"/>
                <w:lang w:val="uk-UA"/>
              </w:rPr>
              <w:t>К</w:t>
            </w:r>
            <w:r w:rsidRPr="000E710C">
              <w:rPr>
                <w:sz w:val="20"/>
                <w:szCs w:val="20"/>
                <w:vertAlign w:val="subscript"/>
                <w:lang w:val="uk-UA"/>
              </w:rPr>
              <w:t>2</w:t>
            </w:r>
            <w:r w:rsidRPr="000E710C">
              <w:rPr>
                <w:spacing w:val="32"/>
                <w:sz w:val="20"/>
                <w:szCs w:val="20"/>
                <w:lang w:val="uk-UA"/>
              </w:rPr>
              <w:t xml:space="preserve"> </w:t>
            </w:r>
            <w:r w:rsidRPr="000E710C">
              <w:rPr>
                <w:sz w:val="20"/>
                <w:szCs w:val="20"/>
                <w:lang w:val="uk-UA"/>
              </w:rPr>
              <w:t>–</w:t>
            </w:r>
            <w:r w:rsidRPr="000E710C">
              <w:rPr>
                <w:spacing w:val="32"/>
                <w:sz w:val="20"/>
                <w:szCs w:val="20"/>
                <w:lang w:val="uk-UA"/>
              </w:rPr>
              <w:t xml:space="preserve"> </w:t>
            </w:r>
            <w:r w:rsidR="000F0B24" w:rsidRPr="000F0B24">
              <w:rPr>
                <w:sz w:val="20"/>
                <w:szCs w:val="20"/>
                <w:lang w:val="uk-UA"/>
              </w:rPr>
              <w:t>EBIT</w:t>
            </w:r>
            <w:r w:rsidRPr="000E710C">
              <w:rPr>
                <w:spacing w:val="30"/>
                <w:sz w:val="20"/>
                <w:szCs w:val="20"/>
                <w:lang w:val="uk-UA"/>
              </w:rPr>
              <w:t xml:space="preserve"> </w:t>
            </w:r>
            <w:r w:rsidRPr="000E710C">
              <w:rPr>
                <w:sz w:val="20"/>
                <w:szCs w:val="20"/>
                <w:lang w:val="uk-UA"/>
              </w:rPr>
              <w:t>/</w:t>
            </w:r>
            <w:r w:rsidR="002F4A6E" w:rsidRPr="005B4424">
              <w:rPr>
                <w:lang w:val="uk-UA"/>
              </w:rPr>
              <w:t xml:space="preserve"> </w:t>
            </w:r>
            <w:r w:rsidR="002F4A6E" w:rsidRPr="002F4A6E">
              <w:rPr>
                <w:sz w:val="20"/>
                <w:szCs w:val="20"/>
                <w:lang w:val="uk-UA"/>
              </w:rPr>
              <w:t>сукупна цінність активів</w:t>
            </w:r>
            <w:r w:rsidRPr="000E710C">
              <w:rPr>
                <w:sz w:val="20"/>
                <w:szCs w:val="20"/>
                <w:lang w:val="uk-UA"/>
              </w:rPr>
              <w:t>;</w:t>
            </w:r>
            <w:r w:rsidR="00990761" w:rsidRPr="000E710C">
              <w:rPr>
                <w:sz w:val="20"/>
                <w:szCs w:val="20"/>
                <w:lang w:val="uk-UA"/>
              </w:rPr>
              <w:t xml:space="preserve"> </w:t>
            </w:r>
            <w:r w:rsidRPr="000E710C">
              <w:rPr>
                <w:sz w:val="20"/>
                <w:szCs w:val="20"/>
                <w:lang w:val="uk-UA"/>
              </w:rPr>
              <w:t>К</w:t>
            </w:r>
            <w:r w:rsidRPr="000E710C">
              <w:rPr>
                <w:sz w:val="20"/>
                <w:szCs w:val="20"/>
                <w:vertAlign w:val="subscript"/>
                <w:lang w:val="uk-UA"/>
              </w:rPr>
              <w:t>3</w:t>
            </w:r>
            <w:r w:rsidRPr="000E710C">
              <w:rPr>
                <w:spacing w:val="43"/>
                <w:sz w:val="20"/>
                <w:szCs w:val="20"/>
                <w:lang w:val="uk-UA"/>
              </w:rPr>
              <w:t xml:space="preserve"> </w:t>
            </w:r>
            <w:r w:rsidRPr="000E710C">
              <w:rPr>
                <w:sz w:val="20"/>
                <w:szCs w:val="20"/>
                <w:lang w:val="uk-UA"/>
              </w:rPr>
              <w:t>–</w:t>
            </w:r>
            <w:r w:rsidRPr="000E710C">
              <w:rPr>
                <w:spacing w:val="47"/>
                <w:sz w:val="20"/>
                <w:szCs w:val="20"/>
                <w:lang w:val="uk-UA"/>
              </w:rPr>
              <w:t xml:space="preserve"> </w:t>
            </w:r>
            <w:r w:rsidRPr="000E710C">
              <w:rPr>
                <w:sz w:val="20"/>
                <w:szCs w:val="20"/>
                <w:lang w:val="uk-UA"/>
              </w:rPr>
              <w:t>нерозподілений</w:t>
            </w:r>
            <w:r w:rsidRPr="000E710C">
              <w:rPr>
                <w:spacing w:val="45"/>
                <w:sz w:val="20"/>
                <w:szCs w:val="20"/>
                <w:lang w:val="uk-UA"/>
              </w:rPr>
              <w:t xml:space="preserve"> </w:t>
            </w:r>
            <w:r w:rsidR="000F2197">
              <w:rPr>
                <w:sz w:val="20"/>
                <w:szCs w:val="20"/>
                <w:lang w:val="uk-UA"/>
              </w:rPr>
              <w:t>дохід</w:t>
            </w:r>
            <w:r w:rsidRPr="000E710C">
              <w:rPr>
                <w:sz w:val="20"/>
                <w:szCs w:val="20"/>
                <w:lang w:val="uk-UA"/>
              </w:rPr>
              <w:t>/</w:t>
            </w:r>
            <w:r w:rsidR="005B4424" w:rsidRPr="005B4424">
              <w:rPr>
                <w:lang w:val="uk-UA"/>
              </w:rPr>
              <w:t xml:space="preserve"> </w:t>
            </w:r>
            <w:r w:rsidR="005B4424" w:rsidRPr="005B4424">
              <w:rPr>
                <w:sz w:val="20"/>
                <w:szCs w:val="20"/>
                <w:lang w:val="uk-UA"/>
              </w:rPr>
              <w:t>сукупна цінність активів</w:t>
            </w:r>
            <w:r w:rsidRPr="000E710C">
              <w:rPr>
                <w:sz w:val="20"/>
                <w:szCs w:val="20"/>
                <w:lang w:val="uk-UA"/>
              </w:rPr>
              <w:t>;</w:t>
            </w:r>
            <w:r w:rsidR="00990761" w:rsidRPr="000E710C">
              <w:rPr>
                <w:sz w:val="20"/>
                <w:szCs w:val="20"/>
                <w:lang w:val="uk-UA"/>
              </w:rPr>
              <w:t xml:space="preserve"> </w:t>
            </w:r>
            <w:r w:rsidRPr="000E710C">
              <w:rPr>
                <w:sz w:val="20"/>
                <w:szCs w:val="20"/>
                <w:lang w:val="uk-UA"/>
              </w:rPr>
              <w:t>К</w:t>
            </w:r>
            <w:r w:rsidRPr="000E710C">
              <w:rPr>
                <w:sz w:val="20"/>
                <w:szCs w:val="20"/>
                <w:vertAlign w:val="subscript"/>
                <w:lang w:val="uk-UA"/>
              </w:rPr>
              <w:t>4</w:t>
            </w:r>
            <w:r w:rsidRPr="000E710C">
              <w:rPr>
                <w:spacing w:val="-3"/>
                <w:sz w:val="20"/>
                <w:szCs w:val="20"/>
                <w:lang w:val="uk-UA"/>
              </w:rPr>
              <w:t xml:space="preserve"> </w:t>
            </w:r>
            <w:r w:rsidRPr="000E710C">
              <w:rPr>
                <w:sz w:val="20"/>
                <w:szCs w:val="20"/>
                <w:lang w:val="uk-UA"/>
              </w:rPr>
              <w:t>–</w:t>
            </w:r>
            <w:r w:rsidRPr="000E710C">
              <w:rPr>
                <w:spacing w:val="-2"/>
                <w:sz w:val="20"/>
                <w:szCs w:val="20"/>
                <w:lang w:val="uk-UA"/>
              </w:rPr>
              <w:t xml:space="preserve"> </w:t>
            </w:r>
            <w:r w:rsidR="0062127D">
              <w:rPr>
                <w:sz w:val="20"/>
                <w:szCs w:val="20"/>
                <w:lang w:val="uk-UA"/>
              </w:rPr>
              <w:t>особистий</w:t>
            </w:r>
            <w:r w:rsidRPr="000E710C">
              <w:rPr>
                <w:spacing w:val="-2"/>
                <w:sz w:val="20"/>
                <w:szCs w:val="20"/>
                <w:lang w:val="uk-UA"/>
              </w:rPr>
              <w:t xml:space="preserve"> </w:t>
            </w:r>
            <w:r w:rsidRPr="000E710C">
              <w:rPr>
                <w:sz w:val="20"/>
                <w:szCs w:val="20"/>
                <w:lang w:val="uk-UA"/>
              </w:rPr>
              <w:t>капітал</w:t>
            </w:r>
            <w:r w:rsidRPr="000E710C">
              <w:rPr>
                <w:spacing w:val="-4"/>
                <w:sz w:val="20"/>
                <w:szCs w:val="20"/>
                <w:lang w:val="uk-UA"/>
              </w:rPr>
              <w:t xml:space="preserve"> </w:t>
            </w:r>
            <w:r w:rsidRPr="000E710C">
              <w:rPr>
                <w:sz w:val="20"/>
                <w:szCs w:val="20"/>
                <w:lang w:val="uk-UA"/>
              </w:rPr>
              <w:t>/</w:t>
            </w:r>
            <w:r w:rsidRPr="000E710C">
              <w:rPr>
                <w:spacing w:val="-1"/>
                <w:sz w:val="20"/>
                <w:szCs w:val="20"/>
                <w:lang w:val="uk-UA"/>
              </w:rPr>
              <w:t xml:space="preserve"> </w:t>
            </w:r>
            <w:r w:rsidR="000F2197">
              <w:rPr>
                <w:sz w:val="20"/>
                <w:szCs w:val="20"/>
                <w:lang w:val="uk-UA"/>
              </w:rPr>
              <w:t>запозичений</w:t>
            </w:r>
            <w:r w:rsidRPr="000E710C">
              <w:rPr>
                <w:spacing w:val="-2"/>
                <w:sz w:val="20"/>
                <w:szCs w:val="20"/>
                <w:lang w:val="uk-UA"/>
              </w:rPr>
              <w:t xml:space="preserve"> </w:t>
            </w:r>
            <w:r w:rsidRPr="000E710C">
              <w:rPr>
                <w:sz w:val="20"/>
                <w:szCs w:val="20"/>
                <w:lang w:val="uk-UA"/>
              </w:rPr>
              <w:t>капітал.</w:t>
            </w:r>
          </w:p>
        </w:tc>
        <w:tc>
          <w:tcPr>
            <w:tcW w:w="1409" w:type="pct"/>
            <w:tcBorders>
              <w:bottom w:val="single" w:sz="4" w:space="0" w:color="000000"/>
            </w:tcBorders>
            <w:vAlign w:val="center"/>
          </w:tcPr>
          <w:p w14:paraId="14ACFE64"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Прості розрахунки та висока точність прогнозування ймовірності банкрутства компанії, особливо з огляду на значну кількість проаналізованих компаній.</w:t>
            </w:r>
          </w:p>
        </w:tc>
        <w:tc>
          <w:tcPr>
            <w:tcW w:w="1331" w:type="pct"/>
            <w:tcBorders>
              <w:bottom w:val="single" w:sz="4" w:space="0" w:color="000000"/>
            </w:tcBorders>
            <w:vAlign w:val="center"/>
          </w:tcPr>
          <w:p w14:paraId="4BA80384"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Обмежена застосовність (тільки для публічних акціонерних компаній), складна інтерпретація кінцевої вартості, незастосовна до українських умов, точність, що залежить від вихідної інформації, та використання застарілих даних.</w:t>
            </w:r>
          </w:p>
        </w:tc>
      </w:tr>
      <w:tr w:rsidR="005E180A" w:rsidRPr="00BE6C60" w14:paraId="7412D66F" w14:textId="77777777" w:rsidTr="00016ACF">
        <w:trPr>
          <w:cantSplit/>
          <w:trHeight w:val="20"/>
          <w:jc w:val="center"/>
        </w:trPr>
        <w:tc>
          <w:tcPr>
            <w:tcW w:w="375" w:type="pct"/>
            <w:tcBorders>
              <w:bottom w:val="single" w:sz="4" w:space="0" w:color="000000"/>
            </w:tcBorders>
            <w:textDirection w:val="btLr"/>
            <w:vAlign w:val="center"/>
          </w:tcPr>
          <w:p w14:paraId="7C35539B" w14:textId="77777777" w:rsidR="005E180A" w:rsidRPr="000E710C" w:rsidRDefault="005E180A" w:rsidP="001076E7">
            <w:pPr>
              <w:pStyle w:val="TableParagraph"/>
              <w:ind w:left="113" w:right="113"/>
              <w:jc w:val="center"/>
              <w:rPr>
                <w:sz w:val="20"/>
                <w:szCs w:val="20"/>
                <w:lang w:val="uk-UA"/>
              </w:rPr>
            </w:pPr>
            <w:r w:rsidRPr="000E710C">
              <w:rPr>
                <w:sz w:val="20"/>
                <w:szCs w:val="20"/>
                <w:lang w:val="uk-UA"/>
              </w:rPr>
              <w:t>Р. Таффлера</w:t>
            </w:r>
          </w:p>
        </w:tc>
        <w:tc>
          <w:tcPr>
            <w:tcW w:w="1885" w:type="pct"/>
            <w:tcBorders>
              <w:bottom w:val="single" w:sz="4" w:space="0" w:color="000000"/>
            </w:tcBorders>
            <w:vAlign w:val="center"/>
          </w:tcPr>
          <w:p w14:paraId="24D54DBB" w14:textId="77777777" w:rsidR="005E180A" w:rsidRPr="000E710C" w:rsidRDefault="005E180A" w:rsidP="00D613C7">
            <w:pPr>
              <w:pStyle w:val="TableParagraph"/>
              <w:spacing w:after="120"/>
              <w:jc w:val="center"/>
              <w:rPr>
                <w:sz w:val="20"/>
                <w:szCs w:val="20"/>
                <w:lang w:val="uk-UA"/>
              </w:rPr>
            </w:pPr>
            <w:r w:rsidRPr="000E710C">
              <w:rPr>
                <w:color w:val="000000"/>
                <w:sz w:val="20"/>
                <w:szCs w:val="20"/>
                <w:lang w:val="uk-UA" w:eastAsia="uk-UA"/>
              </w:rPr>
              <w:t>Z=0,53K</w:t>
            </w:r>
            <w:r w:rsidRPr="000E710C">
              <w:rPr>
                <w:color w:val="000000"/>
                <w:sz w:val="20"/>
                <w:szCs w:val="20"/>
                <w:vertAlign w:val="subscript"/>
                <w:lang w:val="uk-UA" w:eastAsia="uk-UA"/>
              </w:rPr>
              <w:t>1</w:t>
            </w:r>
            <w:r w:rsidRPr="000E710C">
              <w:rPr>
                <w:color w:val="000000"/>
                <w:sz w:val="20"/>
                <w:szCs w:val="20"/>
                <w:lang w:val="uk-UA" w:eastAsia="uk-UA"/>
              </w:rPr>
              <w:t xml:space="preserve"> + 0,13K</w:t>
            </w:r>
            <w:r w:rsidRPr="000E710C">
              <w:rPr>
                <w:color w:val="000000"/>
                <w:sz w:val="20"/>
                <w:szCs w:val="20"/>
                <w:vertAlign w:val="subscript"/>
                <w:lang w:val="uk-UA" w:eastAsia="uk-UA"/>
              </w:rPr>
              <w:t>2</w:t>
            </w:r>
            <w:r w:rsidRPr="000E710C">
              <w:rPr>
                <w:color w:val="000000"/>
                <w:sz w:val="20"/>
                <w:szCs w:val="20"/>
                <w:lang w:val="uk-UA" w:eastAsia="uk-UA"/>
              </w:rPr>
              <w:t xml:space="preserve"> + 0,18K</w:t>
            </w:r>
            <w:r w:rsidRPr="000E710C">
              <w:rPr>
                <w:color w:val="000000"/>
                <w:sz w:val="20"/>
                <w:szCs w:val="20"/>
                <w:vertAlign w:val="subscript"/>
                <w:lang w:val="uk-UA" w:eastAsia="uk-UA"/>
              </w:rPr>
              <w:t xml:space="preserve">3 </w:t>
            </w:r>
            <w:r w:rsidRPr="000E710C">
              <w:rPr>
                <w:color w:val="000000"/>
                <w:sz w:val="20"/>
                <w:szCs w:val="20"/>
                <w:lang w:val="uk-UA" w:eastAsia="uk-UA"/>
              </w:rPr>
              <w:t>+ 0,16K</w:t>
            </w:r>
            <w:r w:rsidRPr="000E710C">
              <w:rPr>
                <w:color w:val="000000"/>
                <w:sz w:val="20"/>
                <w:szCs w:val="20"/>
                <w:vertAlign w:val="subscript"/>
                <w:lang w:val="uk-UA" w:eastAsia="uk-UA"/>
              </w:rPr>
              <w:t>4</w:t>
            </w:r>
            <w:r w:rsidRPr="000E710C">
              <w:rPr>
                <w:sz w:val="20"/>
                <w:szCs w:val="20"/>
                <w:lang w:val="uk-UA"/>
              </w:rPr>
              <w:t>,</w:t>
            </w:r>
          </w:p>
          <w:p w14:paraId="2613D27B" w14:textId="77777777" w:rsidR="005E180A" w:rsidRPr="000E710C" w:rsidRDefault="005E180A" w:rsidP="00990761">
            <w:pPr>
              <w:pStyle w:val="TableParagraph"/>
              <w:tabs>
                <w:tab w:val="left" w:pos="611"/>
                <w:tab w:val="left" w:pos="1068"/>
                <w:tab w:val="left" w:pos="1483"/>
                <w:tab w:val="left" w:pos="2872"/>
              </w:tabs>
              <w:jc w:val="center"/>
              <w:rPr>
                <w:sz w:val="20"/>
                <w:szCs w:val="20"/>
                <w:lang w:val="uk-UA"/>
              </w:rPr>
            </w:pPr>
            <w:r w:rsidRPr="000E710C">
              <w:rPr>
                <w:sz w:val="20"/>
                <w:szCs w:val="20"/>
                <w:lang w:val="uk-UA"/>
              </w:rPr>
              <w:t>де К</w:t>
            </w:r>
            <w:r w:rsidRPr="000E710C">
              <w:rPr>
                <w:sz w:val="20"/>
                <w:szCs w:val="20"/>
                <w:vertAlign w:val="subscript"/>
                <w:lang w:val="uk-UA"/>
              </w:rPr>
              <w:t>1</w:t>
            </w:r>
            <w:r w:rsidRPr="000E710C">
              <w:rPr>
                <w:sz w:val="20"/>
                <w:szCs w:val="20"/>
                <w:lang w:val="uk-UA"/>
              </w:rPr>
              <w:t xml:space="preserve"> – </w:t>
            </w:r>
            <w:r w:rsidR="000F0B24" w:rsidRPr="000F0B24">
              <w:rPr>
                <w:sz w:val="20"/>
                <w:szCs w:val="20"/>
                <w:lang w:val="uk-UA"/>
              </w:rPr>
              <w:t xml:space="preserve">EBIT </w:t>
            </w:r>
            <w:r w:rsidRPr="000E710C">
              <w:rPr>
                <w:spacing w:val="-1"/>
                <w:sz w:val="20"/>
                <w:szCs w:val="20"/>
                <w:lang w:val="uk-UA"/>
              </w:rPr>
              <w:t>/</w:t>
            </w:r>
            <w:r w:rsidRPr="000E710C">
              <w:rPr>
                <w:spacing w:val="-47"/>
                <w:sz w:val="20"/>
                <w:szCs w:val="20"/>
                <w:lang w:val="uk-UA"/>
              </w:rPr>
              <w:t xml:space="preserve"> </w:t>
            </w:r>
            <w:r w:rsidR="00133248">
              <w:rPr>
                <w:sz w:val="20"/>
                <w:szCs w:val="20"/>
                <w:lang w:val="uk-UA"/>
              </w:rPr>
              <w:t>поточні</w:t>
            </w:r>
            <w:r w:rsidRPr="000E710C">
              <w:rPr>
                <w:spacing w:val="-2"/>
                <w:sz w:val="20"/>
                <w:szCs w:val="20"/>
                <w:lang w:val="uk-UA"/>
              </w:rPr>
              <w:t xml:space="preserve"> </w:t>
            </w:r>
            <w:r w:rsidRPr="000E710C">
              <w:rPr>
                <w:sz w:val="20"/>
                <w:szCs w:val="20"/>
                <w:lang w:val="uk-UA"/>
              </w:rPr>
              <w:t>зобов’язання;</w:t>
            </w:r>
            <w:r w:rsidR="00990761" w:rsidRPr="000E710C">
              <w:rPr>
                <w:sz w:val="20"/>
                <w:szCs w:val="20"/>
                <w:lang w:val="uk-UA"/>
              </w:rPr>
              <w:t xml:space="preserve"> </w:t>
            </w:r>
            <w:r w:rsidRPr="000E710C">
              <w:rPr>
                <w:sz w:val="20"/>
                <w:szCs w:val="20"/>
                <w:lang w:val="uk-UA"/>
              </w:rPr>
              <w:t>К</w:t>
            </w:r>
            <w:r w:rsidRPr="000E710C">
              <w:rPr>
                <w:sz w:val="20"/>
                <w:szCs w:val="20"/>
                <w:vertAlign w:val="subscript"/>
                <w:lang w:val="uk-UA"/>
              </w:rPr>
              <w:t>2</w:t>
            </w:r>
            <w:r w:rsidRPr="000E710C">
              <w:rPr>
                <w:spacing w:val="43"/>
                <w:sz w:val="20"/>
                <w:szCs w:val="20"/>
                <w:lang w:val="uk-UA"/>
              </w:rPr>
              <w:t xml:space="preserve"> </w:t>
            </w:r>
            <w:r w:rsidRPr="000E710C">
              <w:rPr>
                <w:sz w:val="20"/>
                <w:szCs w:val="20"/>
                <w:lang w:val="uk-UA"/>
              </w:rPr>
              <w:t>–</w:t>
            </w:r>
            <w:r w:rsidRPr="000E710C">
              <w:rPr>
                <w:spacing w:val="43"/>
                <w:sz w:val="20"/>
                <w:szCs w:val="20"/>
                <w:lang w:val="uk-UA"/>
              </w:rPr>
              <w:t xml:space="preserve"> </w:t>
            </w:r>
            <w:r w:rsidRPr="000E710C">
              <w:rPr>
                <w:sz w:val="20"/>
                <w:szCs w:val="20"/>
                <w:lang w:val="uk-UA"/>
              </w:rPr>
              <w:t>об</w:t>
            </w:r>
            <w:r w:rsidR="005B4424">
              <w:rPr>
                <w:sz w:val="20"/>
                <w:szCs w:val="20"/>
                <w:lang w:val="uk-UA"/>
              </w:rPr>
              <w:t>ігові</w:t>
            </w:r>
            <w:r w:rsidRPr="000E710C">
              <w:rPr>
                <w:spacing w:val="41"/>
                <w:sz w:val="20"/>
                <w:szCs w:val="20"/>
                <w:lang w:val="uk-UA"/>
              </w:rPr>
              <w:t xml:space="preserve"> </w:t>
            </w:r>
            <w:r w:rsidRPr="000E710C">
              <w:rPr>
                <w:sz w:val="20"/>
                <w:szCs w:val="20"/>
                <w:lang w:val="uk-UA"/>
              </w:rPr>
              <w:t>активи</w:t>
            </w:r>
            <w:r w:rsidRPr="000E710C">
              <w:rPr>
                <w:spacing w:val="43"/>
                <w:sz w:val="20"/>
                <w:szCs w:val="20"/>
                <w:lang w:val="uk-UA"/>
              </w:rPr>
              <w:t xml:space="preserve"> </w:t>
            </w:r>
            <w:r w:rsidRPr="000E710C">
              <w:rPr>
                <w:sz w:val="20"/>
                <w:szCs w:val="20"/>
                <w:lang w:val="uk-UA"/>
              </w:rPr>
              <w:t>/</w:t>
            </w:r>
            <w:r w:rsidRPr="000E710C">
              <w:rPr>
                <w:spacing w:val="41"/>
                <w:sz w:val="20"/>
                <w:szCs w:val="20"/>
                <w:lang w:val="uk-UA"/>
              </w:rPr>
              <w:t xml:space="preserve"> </w:t>
            </w:r>
            <w:r w:rsidRPr="000E710C">
              <w:rPr>
                <w:sz w:val="20"/>
                <w:szCs w:val="20"/>
                <w:lang w:val="uk-UA"/>
              </w:rPr>
              <w:t>загальна</w:t>
            </w:r>
            <w:r w:rsidRPr="000E710C">
              <w:rPr>
                <w:spacing w:val="44"/>
                <w:sz w:val="20"/>
                <w:szCs w:val="20"/>
                <w:lang w:val="uk-UA"/>
              </w:rPr>
              <w:t xml:space="preserve"> </w:t>
            </w:r>
            <w:r w:rsidRPr="000E710C">
              <w:rPr>
                <w:sz w:val="20"/>
                <w:szCs w:val="20"/>
                <w:lang w:val="uk-UA"/>
              </w:rPr>
              <w:t>сума</w:t>
            </w:r>
            <w:r w:rsidR="001E1916">
              <w:rPr>
                <w:sz w:val="20"/>
                <w:szCs w:val="20"/>
                <w:lang w:val="uk-UA"/>
              </w:rPr>
              <w:t xml:space="preserve"> </w:t>
            </w:r>
            <w:r w:rsidRPr="000E710C">
              <w:rPr>
                <w:spacing w:val="-47"/>
                <w:sz w:val="20"/>
                <w:szCs w:val="20"/>
                <w:lang w:val="uk-UA"/>
              </w:rPr>
              <w:t xml:space="preserve"> </w:t>
            </w:r>
            <w:r w:rsidRPr="000E710C">
              <w:rPr>
                <w:sz w:val="20"/>
                <w:szCs w:val="20"/>
                <w:lang w:val="uk-UA"/>
              </w:rPr>
              <w:t>зобов’язань;</w:t>
            </w:r>
            <w:r w:rsidR="00990761" w:rsidRPr="000E710C">
              <w:rPr>
                <w:sz w:val="20"/>
                <w:szCs w:val="20"/>
                <w:lang w:val="uk-UA"/>
              </w:rPr>
              <w:t xml:space="preserve"> </w:t>
            </w:r>
            <w:r w:rsidRPr="000E710C">
              <w:rPr>
                <w:sz w:val="20"/>
                <w:szCs w:val="20"/>
                <w:lang w:val="uk-UA"/>
              </w:rPr>
              <w:t>К</w:t>
            </w:r>
            <w:r w:rsidRPr="000E710C">
              <w:rPr>
                <w:sz w:val="20"/>
                <w:szCs w:val="20"/>
                <w:vertAlign w:val="subscript"/>
                <w:lang w:val="uk-UA"/>
              </w:rPr>
              <w:t>3</w:t>
            </w:r>
            <w:r w:rsidRPr="000E710C">
              <w:rPr>
                <w:sz w:val="20"/>
                <w:szCs w:val="20"/>
                <w:lang w:val="uk-UA"/>
              </w:rPr>
              <w:t xml:space="preserve"> – </w:t>
            </w:r>
            <w:r w:rsidR="00133248">
              <w:rPr>
                <w:sz w:val="20"/>
                <w:szCs w:val="20"/>
                <w:lang w:val="uk-UA"/>
              </w:rPr>
              <w:t>поточні</w:t>
            </w:r>
            <w:r w:rsidRPr="000E710C">
              <w:rPr>
                <w:sz w:val="20"/>
                <w:szCs w:val="20"/>
                <w:lang w:val="uk-UA"/>
              </w:rPr>
              <w:t xml:space="preserve"> зобов’язання</w:t>
            </w:r>
            <w:r w:rsidR="0062127D">
              <w:rPr>
                <w:sz w:val="20"/>
                <w:szCs w:val="20"/>
                <w:lang w:val="uk-UA"/>
              </w:rPr>
              <w:t xml:space="preserve">/ </w:t>
            </w:r>
            <w:r w:rsidR="005B4424" w:rsidRPr="00F33419">
              <w:rPr>
                <w:sz w:val="20"/>
                <w:szCs w:val="20"/>
                <w:lang w:val="uk-UA"/>
              </w:rPr>
              <w:t>сукупна цінність активів</w:t>
            </w:r>
            <w:r w:rsidRPr="000E710C">
              <w:rPr>
                <w:sz w:val="20"/>
                <w:szCs w:val="20"/>
                <w:lang w:val="uk-UA"/>
              </w:rPr>
              <w:t>;</w:t>
            </w:r>
            <w:r w:rsidR="00990761" w:rsidRPr="000E710C">
              <w:rPr>
                <w:sz w:val="20"/>
                <w:szCs w:val="20"/>
                <w:lang w:val="uk-UA"/>
              </w:rPr>
              <w:t xml:space="preserve"> </w:t>
            </w:r>
            <w:r w:rsidRPr="000E710C">
              <w:rPr>
                <w:sz w:val="20"/>
                <w:szCs w:val="20"/>
                <w:lang w:val="uk-UA"/>
              </w:rPr>
              <w:t>К</w:t>
            </w:r>
            <w:r w:rsidRPr="000E710C">
              <w:rPr>
                <w:sz w:val="20"/>
                <w:szCs w:val="20"/>
                <w:vertAlign w:val="subscript"/>
                <w:lang w:val="uk-UA"/>
              </w:rPr>
              <w:t>4</w:t>
            </w:r>
            <w:r w:rsidRPr="000E710C">
              <w:rPr>
                <w:spacing w:val="7"/>
                <w:sz w:val="20"/>
                <w:szCs w:val="20"/>
                <w:lang w:val="uk-UA"/>
              </w:rPr>
              <w:t xml:space="preserve"> </w:t>
            </w:r>
            <w:r w:rsidRPr="000E710C">
              <w:rPr>
                <w:sz w:val="20"/>
                <w:szCs w:val="20"/>
                <w:lang w:val="uk-UA"/>
              </w:rPr>
              <w:t>–</w:t>
            </w:r>
            <w:r w:rsidRPr="000E710C">
              <w:rPr>
                <w:spacing w:val="8"/>
                <w:sz w:val="20"/>
                <w:szCs w:val="20"/>
                <w:lang w:val="uk-UA"/>
              </w:rPr>
              <w:t xml:space="preserve"> </w:t>
            </w:r>
            <w:r w:rsidR="00C51BE8">
              <w:rPr>
                <w:sz w:val="20"/>
                <w:szCs w:val="20"/>
                <w:lang w:val="uk-UA"/>
              </w:rPr>
              <w:t>дохід</w:t>
            </w:r>
            <w:r w:rsidRPr="000E710C">
              <w:rPr>
                <w:spacing w:val="7"/>
                <w:sz w:val="20"/>
                <w:szCs w:val="20"/>
                <w:lang w:val="uk-UA"/>
              </w:rPr>
              <w:t xml:space="preserve"> </w:t>
            </w:r>
            <w:r w:rsidRPr="000E710C">
              <w:rPr>
                <w:sz w:val="20"/>
                <w:szCs w:val="20"/>
                <w:lang w:val="uk-UA"/>
              </w:rPr>
              <w:t>від</w:t>
            </w:r>
            <w:r w:rsidRPr="000E710C">
              <w:rPr>
                <w:spacing w:val="8"/>
                <w:sz w:val="20"/>
                <w:szCs w:val="20"/>
                <w:lang w:val="uk-UA"/>
              </w:rPr>
              <w:t xml:space="preserve"> </w:t>
            </w:r>
            <w:r w:rsidRPr="000E710C">
              <w:rPr>
                <w:sz w:val="20"/>
                <w:szCs w:val="20"/>
                <w:lang w:val="uk-UA"/>
              </w:rPr>
              <w:t>реалізації</w:t>
            </w:r>
            <w:r w:rsidRPr="000E710C">
              <w:rPr>
                <w:spacing w:val="6"/>
                <w:sz w:val="20"/>
                <w:szCs w:val="20"/>
                <w:lang w:val="uk-UA"/>
              </w:rPr>
              <w:t xml:space="preserve"> </w:t>
            </w:r>
            <w:r w:rsidRPr="000E710C">
              <w:rPr>
                <w:sz w:val="20"/>
                <w:szCs w:val="20"/>
                <w:lang w:val="uk-UA"/>
              </w:rPr>
              <w:t>/</w:t>
            </w:r>
            <w:r w:rsidRPr="000E710C">
              <w:rPr>
                <w:spacing w:val="7"/>
                <w:sz w:val="20"/>
                <w:szCs w:val="20"/>
                <w:lang w:val="uk-UA"/>
              </w:rPr>
              <w:t xml:space="preserve"> </w:t>
            </w:r>
            <w:r w:rsidR="005B4424" w:rsidRPr="00F33419">
              <w:rPr>
                <w:sz w:val="20"/>
                <w:szCs w:val="20"/>
                <w:lang w:val="uk-UA"/>
              </w:rPr>
              <w:t>сукупна цінність активів</w:t>
            </w:r>
          </w:p>
        </w:tc>
        <w:tc>
          <w:tcPr>
            <w:tcW w:w="1409" w:type="pct"/>
            <w:tcBorders>
              <w:bottom w:val="single" w:sz="4" w:space="0" w:color="000000"/>
            </w:tcBorders>
            <w:vAlign w:val="center"/>
          </w:tcPr>
          <w:p w14:paraId="617E8077"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Прості та швидкі розрахунки, доступність даних для оцінки та можливість оцінити фінансовий стан і передбачити банкрутство.</w:t>
            </w:r>
          </w:p>
        </w:tc>
        <w:tc>
          <w:tcPr>
            <w:tcW w:w="1331" w:type="pct"/>
            <w:tcBorders>
              <w:bottom w:val="single" w:sz="4" w:space="0" w:color="000000"/>
            </w:tcBorders>
            <w:vAlign w:val="center"/>
          </w:tcPr>
          <w:p w14:paraId="4D132F85"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Неадаптований для українських підприємств, розроблений з урахуванням західних особливостей розвитку, непридатний для малого бізнесу, відсутність узгодженості методичних прийомів розрахунку фінансових показників.</w:t>
            </w:r>
          </w:p>
        </w:tc>
      </w:tr>
      <w:tr w:rsidR="005E180A" w:rsidRPr="000E710C" w14:paraId="4C087CCA" w14:textId="77777777" w:rsidTr="00016ACF">
        <w:trPr>
          <w:cantSplit/>
          <w:trHeight w:val="20"/>
          <w:jc w:val="center"/>
        </w:trPr>
        <w:tc>
          <w:tcPr>
            <w:tcW w:w="375" w:type="pct"/>
            <w:tcBorders>
              <w:top w:val="single" w:sz="4" w:space="0" w:color="000000"/>
              <w:left w:val="single" w:sz="4" w:space="0" w:color="000000"/>
              <w:bottom w:val="single" w:sz="4" w:space="0" w:color="000000"/>
              <w:right w:val="single" w:sz="4" w:space="0" w:color="000000"/>
            </w:tcBorders>
            <w:textDirection w:val="btLr"/>
            <w:vAlign w:val="center"/>
          </w:tcPr>
          <w:p w14:paraId="11B9475B" w14:textId="77777777" w:rsidR="005E180A" w:rsidRPr="000E710C" w:rsidRDefault="005E180A" w:rsidP="001076E7">
            <w:pPr>
              <w:pStyle w:val="TableParagraph"/>
              <w:tabs>
                <w:tab w:val="left" w:pos="781"/>
              </w:tabs>
              <w:ind w:left="113" w:right="113"/>
              <w:jc w:val="center"/>
              <w:rPr>
                <w:sz w:val="20"/>
                <w:szCs w:val="20"/>
                <w:lang w:val="uk-UA"/>
              </w:rPr>
            </w:pPr>
            <w:r w:rsidRPr="000E710C">
              <w:rPr>
                <w:sz w:val="20"/>
                <w:szCs w:val="20"/>
                <w:lang w:val="uk-UA"/>
              </w:rPr>
              <w:t>О. Терещенка</w:t>
            </w:r>
          </w:p>
        </w:tc>
        <w:tc>
          <w:tcPr>
            <w:tcW w:w="1885" w:type="pct"/>
            <w:tcBorders>
              <w:top w:val="single" w:sz="4" w:space="0" w:color="000000"/>
              <w:left w:val="single" w:sz="4" w:space="0" w:color="000000"/>
              <w:bottom w:val="single" w:sz="4" w:space="0" w:color="000000"/>
              <w:right w:val="single" w:sz="4" w:space="0" w:color="000000"/>
            </w:tcBorders>
            <w:vAlign w:val="center"/>
          </w:tcPr>
          <w:p w14:paraId="0BF3183F" w14:textId="77777777" w:rsidR="005E180A" w:rsidRPr="000E710C" w:rsidRDefault="005E180A" w:rsidP="00E73ACF">
            <w:pPr>
              <w:pStyle w:val="TableParagraph"/>
              <w:spacing w:before="120" w:after="120" w:line="229" w:lineRule="exact"/>
              <w:jc w:val="center"/>
              <w:rPr>
                <w:sz w:val="20"/>
                <w:szCs w:val="20"/>
                <w:lang w:val="uk-UA"/>
              </w:rPr>
            </w:pPr>
            <w:r w:rsidRPr="000E710C">
              <w:rPr>
                <w:color w:val="000000"/>
                <w:sz w:val="20"/>
                <w:szCs w:val="20"/>
                <w:lang w:val="uk-UA" w:eastAsia="uk-UA"/>
              </w:rPr>
              <w:t>Z=1,5К</w:t>
            </w:r>
            <w:r w:rsidRPr="000E710C">
              <w:rPr>
                <w:color w:val="000000"/>
                <w:sz w:val="20"/>
                <w:szCs w:val="20"/>
                <w:vertAlign w:val="subscript"/>
                <w:lang w:val="uk-UA" w:eastAsia="uk-UA"/>
              </w:rPr>
              <w:t>1</w:t>
            </w:r>
            <w:r w:rsidRPr="000E710C">
              <w:rPr>
                <w:color w:val="000000"/>
                <w:sz w:val="20"/>
                <w:szCs w:val="20"/>
                <w:lang w:val="uk-UA" w:eastAsia="uk-UA"/>
              </w:rPr>
              <w:t>+0,08К</w:t>
            </w:r>
            <w:r w:rsidRPr="000E710C">
              <w:rPr>
                <w:color w:val="000000"/>
                <w:sz w:val="20"/>
                <w:szCs w:val="20"/>
                <w:vertAlign w:val="subscript"/>
                <w:lang w:val="uk-UA" w:eastAsia="uk-UA"/>
              </w:rPr>
              <w:t>2</w:t>
            </w:r>
            <w:r w:rsidRPr="000E710C">
              <w:rPr>
                <w:color w:val="000000"/>
                <w:sz w:val="20"/>
                <w:szCs w:val="20"/>
                <w:lang w:val="uk-UA" w:eastAsia="uk-UA"/>
              </w:rPr>
              <w:t>+10К</w:t>
            </w:r>
            <w:r w:rsidRPr="000E710C">
              <w:rPr>
                <w:color w:val="000000"/>
                <w:sz w:val="20"/>
                <w:szCs w:val="20"/>
                <w:vertAlign w:val="subscript"/>
                <w:lang w:val="uk-UA" w:eastAsia="uk-UA"/>
              </w:rPr>
              <w:t>3</w:t>
            </w:r>
            <w:r w:rsidRPr="000E710C">
              <w:rPr>
                <w:color w:val="000000"/>
                <w:sz w:val="20"/>
                <w:szCs w:val="20"/>
                <w:lang w:val="uk-UA" w:eastAsia="uk-UA"/>
              </w:rPr>
              <w:t>+5К</w:t>
            </w:r>
            <w:r w:rsidRPr="000E710C">
              <w:rPr>
                <w:color w:val="000000"/>
                <w:sz w:val="20"/>
                <w:szCs w:val="20"/>
                <w:vertAlign w:val="subscript"/>
                <w:lang w:val="uk-UA" w:eastAsia="uk-UA"/>
              </w:rPr>
              <w:t>4</w:t>
            </w:r>
            <w:r w:rsidRPr="000E710C">
              <w:rPr>
                <w:color w:val="000000"/>
                <w:sz w:val="20"/>
                <w:szCs w:val="20"/>
                <w:lang w:val="uk-UA" w:eastAsia="uk-UA"/>
              </w:rPr>
              <w:t>+ 0,3К</w:t>
            </w:r>
            <w:r w:rsidRPr="000E710C">
              <w:rPr>
                <w:color w:val="000000"/>
                <w:sz w:val="20"/>
                <w:szCs w:val="20"/>
                <w:vertAlign w:val="subscript"/>
                <w:lang w:val="uk-UA" w:eastAsia="uk-UA"/>
              </w:rPr>
              <w:t>5</w:t>
            </w:r>
            <w:r w:rsidRPr="000E710C">
              <w:rPr>
                <w:color w:val="000000"/>
                <w:sz w:val="20"/>
                <w:szCs w:val="20"/>
                <w:lang w:val="uk-UA" w:eastAsia="uk-UA"/>
              </w:rPr>
              <w:t>+0,1К</w:t>
            </w:r>
            <w:r w:rsidRPr="000E710C">
              <w:rPr>
                <w:color w:val="000000"/>
                <w:sz w:val="20"/>
                <w:szCs w:val="20"/>
                <w:vertAlign w:val="subscript"/>
                <w:lang w:val="uk-UA" w:eastAsia="uk-UA"/>
              </w:rPr>
              <w:t>6</w:t>
            </w:r>
            <w:r w:rsidRPr="000E710C">
              <w:rPr>
                <w:position w:val="2"/>
                <w:sz w:val="20"/>
                <w:szCs w:val="20"/>
                <w:lang w:val="uk-UA"/>
              </w:rPr>
              <w:t>,</w:t>
            </w:r>
          </w:p>
          <w:p w14:paraId="07F5E67B" w14:textId="77777777" w:rsidR="005E180A" w:rsidRPr="000E710C" w:rsidRDefault="005D036A" w:rsidP="00990761">
            <w:pPr>
              <w:pStyle w:val="TableParagraph"/>
              <w:spacing w:line="235" w:lineRule="auto"/>
              <w:jc w:val="center"/>
              <w:rPr>
                <w:sz w:val="20"/>
                <w:szCs w:val="20"/>
                <w:lang w:val="uk-UA"/>
              </w:rPr>
            </w:pPr>
            <w:r w:rsidRPr="000E710C">
              <w:rPr>
                <w:sz w:val="20"/>
                <w:szCs w:val="20"/>
                <w:lang w:val="uk-UA"/>
              </w:rPr>
              <w:t>де К</w:t>
            </w:r>
            <w:r w:rsidRPr="000E710C">
              <w:rPr>
                <w:sz w:val="20"/>
                <w:szCs w:val="20"/>
                <w:vertAlign w:val="subscript"/>
                <w:lang w:val="uk-UA"/>
              </w:rPr>
              <w:t>1</w:t>
            </w:r>
            <w:r w:rsidRPr="000E710C">
              <w:rPr>
                <w:sz w:val="20"/>
                <w:szCs w:val="20"/>
                <w:lang w:val="uk-UA"/>
              </w:rPr>
              <w:t xml:space="preserve"> –</w:t>
            </w:r>
            <w:r w:rsidR="0062127D">
              <w:rPr>
                <w:sz w:val="20"/>
                <w:szCs w:val="20"/>
                <w:lang w:val="uk-UA"/>
              </w:rPr>
              <w:t xml:space="preserve"> </w:t>
            </w:r>
            <w:r w:rsidRPr="000E710C">
              <w:rPr>
                <w:sz w:val="20"/>
                <w:szCs w:val="20"/>
                <w:lang w:val="uk-UA"/>
              </w:rPr>
              <w:t>грошов</w:t>
            </w:r>
            <w:r w:rsidR="0062127D">
              <w:rPr>
                <w:sz w:val="20"/>
                <w:szCs w:val="20"/>
                <w:lang w:val="uk-UA"/>
              </w:rPr>
              <w:t>і</w:t>
            </w:r>
            <w:r w:rsidRPr="000E710C">
              <w:rPr>
                <w:sz w:val="20"/>
                <w:szCs w:val="20"/>
                <w:lang w:val="uk-UA"/>
              </w:rPr>
              <w:t xml:space="preserve"> надходже</w:t>
            </w:r>
            <w:r w:rsidR="00C33986">
              <w:rPr>
                <w:sz w:val="20"/>
                <w:szCs w:val="20"/>
                <w:lang w:val="uk-UA"/>
              </w:rPr>
              <w:t>н</w:t>
            </w:r>
            <w:r w:rsidRPr="000E710C">
              <w:rPr>
                <w:sz w:val="20"/>
                <w:szCs w:val="20"/>
                <w:lang w:val="uk-UA"/>
              </w:rPr>
              <w:t>н</w:t>
            </w:r>
            <w:r w:rsidR="00C33986">
              <w:rPr>
                <w:sz w:val="20"/>
                <w:szCs w:val="20"/>
                <w:lang w:val="uk-UA"/>
              </w:rPr>
              <w:t>я</w:t>
            </w:r>
            <w:r w:rsidRPr="000E710C">
              <w:rPr>
                <w:sz w:val="20"/>
                <w:szCs w:val="20"/>
                <w:lang w:val="uk-UA"/>
              </w:rPr>
              <w:t xml:space="preserve"> </w:t>
            </w:r>
            <w:r w:rsidR="00C33986">
              <w:rPr>
                <w:sz w:val="20"/>
                <w:szCs w:val="20"/>
                <w:lang w:val="uk-UA"/>
              </w:rPr>
              <w:t>/</w:t>
            </w:r>
            <w:r w:rsidRPr="000E710C">
              <w:rPr>
                <w:sz w:val="20"/>
                <w:szCs w:val="20"/>
                <w:lang w:val="uk-UA"/>
              </w:rPr>
              <w:t xml:space="preserve"> зобов’язан</w:t>
            </w:r>
            <w:r w:rsidR="00C33986">
              <w:rPr>
                <w:sz w:val="20"/>
                <w:szCs w:val="20"/>
                <w:lang w:val="uk-UA"/>
              </w:rPr>
              <w:t>ня</w:t>
            </w:r>
            <w:r w:rsidRPr="000E710C">
              <w:rPr>
                <w:sz w:val="20"/>
                <w:szCs w:val="20"/>
                <w:lang w:val="uk-UA"/>
              </w:rPr>
              <w:t>; К</w:t>
            </w:r>
            <w:r w:rsidRPr="000E710C">
              <w:rPr>
                <w:sz w:val="20"/>
                <w:szCs w:val="20"/>
                <w:vertAlign w:val="subscript"/>
                <w:lang w:val="uk-UA"/>
              </w:rPr>
              <w:t>2</w:t>
            </w:r>
            <w:r w:rsidRPr="000E710C">
              <w:rPr>
                <w:sz w:val="20"/>
                <w:szCs w:val="20"/>
                <w:lang w:val="uk-UA"/>
              </w:rPr>
              <w:t xml:space="preserve"> – валют</w:t>
            </w:r>
            <w:r w:rsidR="00C33986">
              <w:rPr>
                <w:sz w:val="20"/>
                <w:szCs w:val="20"/>
                <w:lang w:val="uk-UA"/>
              </w:rPr>
              <w:t>а</w:t>
            </w:r>
            <w:r w:rsidRPr="000E710C">
              <w:rPr>
                <w:sz w:val="20"/>
                <w:szCs w:val="20"/>
                <w:lang w:val="uk-UA"/>
              </w:rPr>
              <w:t xml:space="preserve"> балансу </w:t>
            </w:r>
            <w:r w:rsidR="00C33986">
              <w:rPr>
                <w:sz w:val="20"/>
                <w:szCs w:val="20"/>
                <w:lang w:val="uk-UA"/>
              </w:rPr>
              <w:t>/</w:t>
            </w:r>
            <w:r w:rsidRPr="000E710C">
              <w:rPr>
                <w:sz w:val="20"/>
                <w:szCs w:val="20"/>
                <w:lang w:val="uk-UA"/>
              </w:rPr>
              <w:t xml:space="preserve"> зобов’язан</w:t>
            </w:r>
            <w:r w:rsidR="00C33986">
              <w:rPr>
                <w:sz w:val="20"/>
                <w:szCs w:val="20"/>
                <w:lang w:val="uk-UA"/>
              </w:rPr>
              <w:t>ня</w:t>
            </w:r>
            <w:r w:rsidRPr="000E710C">
              <w:rPr>
                <w:sz w:val="20"/>
                <w:szCs w:val="20"/>
                <w:lang w:val="uk-UA"/>
              </w:rPr>
              <w:t>; К</w:t>
            </w:r>
            <w:r w:rsidRPr="000E710C">
              <w:rPr>
                <w:sz w:val="20"/>
                <w:szCs w:val="20"/>
                <w:vertAlign w:val="subscript"/>
                <w:lang w:val="uk-UA"/>
              </w:rPr>
              <w:t>3</w:t>
            </w:r>
            <w:r w:rsidRPr="000E710C">
              <w:rPr>
                <w:sz w:val="20"/>
                <w:szCs w:val="20"/>
                <w:lang w:val="uk-UA"/>
              </w:rPr>
              <w:t xml:space="preserve"> – чист</w:t>
            </w:r>
            <w:r w:rsidR="00C33986">
              <w:rPr>
                <w:sz w:val="20"/>
                <w:szCs w:val="20"/>
                <w:lang w:val="uk-UA"/>
              </w:rPr>
              <w:t>ий</w:t>
            </w:r>
            <w:r w:rsidRPr="000E710C">
              <w:rPr>
                <w:sz w:val="20"/>
                <w:szCs w:val="20"/>
                <w:lang w:val="uk-UA"/>
              </w:rPr>
              <w:t xml:space="preserve"> </w:t>
            </w:r>
            <w:r w:rsidR="00C51BE8">
              <w:rPr>
                <w:sz w:val="20"/>
                <w:szCs w:val="20"/>
                <w:lang w:val="uk-UA"/>
              </w:rPr>
              <w:t>дохід</w:t>
            </w:r>
            <w:r w:rsidRPr="000E710C">
              <w:rPr>
                <w:sz w:val="20"/>
                <w:szCs w:val="20"/>
                <w:lang w:val="uk-UA"/>
              </w:rPr>
              <w:t xml:space="preserve"> </w:t>
            </w:r>
            <w:r w:rsidR="00C33986">
              <w:rPr>
                <w:sz w:val="20"/>
                <w:szCs w:val="20"/>
                <w:lang w:val="uk-UA"/>
              </w:rPr>
              <w:t>/</w:t>
            </w:r>
            <w:r w:rsidRPr="000E710C">
              <w:rPr>
                <w:sz w:val="20"/>
                <w:szCs w:val="20"/>
                <w:lang w:val="uk-UA"/>
              </w:rPr>
              <w:t xml:space="preserve"> середн</w:t>
            </w:r>
            <w:r w:rsidR="00095EE0">
              <w:rPr>
                <w:sz w:val="20"/>
                <w:szCs w:val="20"/>
                <w:lang w:val="uk-UA"/>
              </w:rPr>
              <w:t>я</w:t>
            </w:r>
            <w:r w:rsidRPr="000E710C">
              <w:rPr>
                <w:sz w:val="20"/>
                <w:szCs w:val="20"/>
                <w:lang w:val="uk-UA"/>
              </w:rPr>
              <w:t xml:space="preserve"> сум</w:t>
            </w:r>
            <w:r w:rsidR="00AC250A">
              <w:rPr>
                <w:sz w:val="20"/>
                <w:szCs w:val="20"/>
                <w:lang w:val="uk-UA"/>
              </w:rPr>
              <w:t>а</w:t>
            </w:r>
            <w:r w:rsidRPr="000E710C">
              <w:rPr>
                <w:sz w:val="20"/>
                <w:szCs w:val="20"/>
                <w:lang w:val="uk-UA"/>
              </w:rPr>
              <w:t xml:space="preserve"> активів</w:t>
            </w:r>
            <w:r w:rsidR="00AB12F9">
              <w:rPr>
                <w:sz w:val="20"/>
                <w:szCs w:val="20"/>
                <w:lang w:val="uk-UA"/>
              </w:rPr>
              <w:t xml:space="preserve"> за рік</w:t>
            </w:r>
            <w:r w:rsidRPr="000E710C">
              <w:rPr>
                <w:sz w:val="20"/>
                <w:szCs w:val="20"/>
                <w:lang w:val="uk-UA"/>
              </w:rPr>
              <w:t>; К</w:t>
            </w:r>
            <w:r w:rsidRPr="000E710C">
              <w:rPr>
                <w:sz w:val="20"/>
                <w:szCs w:val="20"/>
                <w:vertAlign w:val="subscript"/>
                <w:lang w:val="uk-UA"/>
              </w:rPr>
              <w:t>4</w:t>
            </w:r>
            <w:r w:rsidRPr="000E710C">
              <w:rPr>
                <w:sz w:val="20"/>
                <w:szCs w:val="20"/>
                <w:lang w:val="uk-UA"/>
              </w:rPr>
              <w:t xml:space="preserve"> – </w:t>
            </w:r>
            <w:r w:rsidR="00C51BE8">
              <w:rPr>
                <w:sz w:val="20"/>
                <w:szCs w:val="20"/>
                <w:lang w:val="uk-UA"/>
              </w:rPr>
              <w:t>дохід</w:t>
            </w:r>
            <w:r w:rsidRPr="000E710C">
              <w:rPr>
                <w:sz w:val="20"/>
                <w:szCs w:val="20"/>
                <w:lang w:val="uk-UA"/>
              </w:rPr>
              <w:t xml:space="preserve"> </w:t>
            </w:r>
            <w:r w:rsidR="00AC250A">
              <w:rPr>
                <w:sz w:val="20"/>
                <w:szCs w:val="20"/>
                <w:lang w:val="uk-UA"/>
              </w:rPr>
              <w:t xml:space="preserve">/ </w:t>
            </w:r>
            <w:r w:rsidRPr="000E710C">
              <w:rPr>
                <w:sz w:val="20"/>
                <w:szCs w:val="20"/>
                <w:lang w:val="uk-UA"/>
              </w:rPr>
              <w:t>виторг; К</w:t>
            </w:r>
            <w:r w:rsidRPr="000E710C">
              <w:rPr>
                <w:sz w:val="20"/>
                <w:szCs w:val="20"/>
                <w:vertAlign w:val="subscript"/>
                <w:lang w:val="uk-UA"/>
              </w:rPr>
              <w:t>5</w:t>
            </w:r>
            <w:r w:rsidRPr="000E710C">
              <w:rPr>
                <w:sz w:val="20"/>
                <w:szCs w:val="20"/>
                <w:lang w:val="uk-UA"/>
              </w:rPr>
              <w:t xml:space="preserve"> –</w:t>
            </w:r>
            <w:r w:rsidR="00AC250A">
              <w:rPr>
                <w:sz w:val="20"/>
                <w:szCs w:val="20"/>
                <w:lang w:val="uk-UA"/>
              </w:rPr>
              <w:t xml:space="preserve"> </w:t>
            </w:r>
            <w:r w:rsidRPr="000E710C">
              <w:rPr>
                <w:sz w:val="20"/>
                <w:szCs w:val="20"/>
                <w:lang w:val="uk-UA"/>
              </w:rPr>
              <w:t>виробнич</w:t>
            </w:r>
            <w:r w:rsidR="00AC250A">
              <w:rPr>
                <w:sz w:val="20"/>
                <w:szCs w:val="20"/>
                <w:lang w:val="uk-UA"/>
              </w:rPr>
              <w:t>і</w:t>
            </w:r>
            <w:r w:rsidRPr="000E710C">
              <w:rPr>
                <w:sz w:val="20"/>
                <w:szCs w:val="20"/>
                <w:lang w:val="uk-UA"/>
              </w:rPr>
              <w:t xml:space="preserve"> запас</w:t>
            </w:r>
            <w:r w:rsidR="00AC250A">
              <w:rPr>
                <w:sz w:val="20"/>
                <w:szCs w:val="20"/>
                <w:lang w:val="uk-UA"/>
              </w:rPr>
              <w:t>и</w:t>
            </w:r>
            <w:r w:rsidRPr="000E710C">
              <w:rPr>
                <w:sz w:val="20"/>
                <w:szCs w:val="20"/>
                <w:lang w:val="uk-UA"/>
              </w:rPr>
              <w:t xml:space="preserve"> </w:t>
            </w:r>
            <w:r w:rsidR="00AC250A">
              <w:rPr>
                <w:sz w:val="20"/>
                <w:szCs w:val="20"/>
                <w:lang w:val="uk-UA"/>
              </w:rPr>
              <w:t>/</w:t>
            </w:r>
            <w:r w:rsidRPr="000E710C">
              <w:rPr>
                <w:sz w:val="20"/>
                <w:szCs w:val="20"/>
                <w:lang w:val="uk-UA"/>
              </w:rPr>
              <w:t xml:space="preserve"> виторг; К</w:t>
            </w:r>
            <w:r w:rsidRPr="000E710C">
              <w:rPr>
                <w:sz w:val="20"/>
                <w:szCs w:val="20"/>
                <w:vertAlign w:val="subscript"/>
                <w:lang w:val="uk-UA"/>
              </w:rPr>
              <w:t>6</w:t>
            </w:r>
            <w:r w:rsidRPr="000E710C">
              <w:rPr>
                <w:sz w:val="20"/>
                <w:szCs w:val="20"/>
                <w:lang w:val="uk-UA"/>
              </w:rPr>
              <w:t xml:space="preserve"> – виторг </w:t>
            </w:r>
            <w:r w:rsidR="00235A6A">
              <w:rPr>
                <w:sz w:val="20"/>
                <w:szCs w:val="20"/>
                <w:lang w:val="uk-UA"/>
              </w:rPr>
              <w:t>/</w:t>
            </w:r>
            <w:r w:rsidRPr="000E710C">
              <w:rPr>
                <w:sz w:val="20"/>
                <w:szCs w:val="20"/>
                <w:lang w:val="uk-UA"/>
              </w:rPr>
              <w:t xml:space="preserve"> </w:t>
            </w:r>
            <w:r w:rsidR="00C51BE8">
              <w:rPr>
                <w:sz w:val="20"/>
                <w:szCs w:val="20"/>
                <w:lang w:val="uk-UA"/>
              </w:rPr>
              <w:t>головний</w:t>
            </w:r>
            <w:r w:rsidRPr="000E710C">
              <w:rPr>
                <w:sz w:val="20"/>
                <w:szCs w:val="20"/>
                <w:lang w:val="uk-UA"/>
              </w:rPr>
              <w:t xml:space="preserve"> капітал</w:t>
            </w:r>
          </w:p>
        </w:tc>
        <w:tc>
          <w:tcPr>
            <w:tcW w:w="1409" w:type="pct"/>
            <w:tcBorders>
              <w:top w:val="single" w:sz="4" w:space="0" w:color="000000"/>
              <w:left w:val="single" w:sz="4" w:space="0" w:color="000000"/>
              <w:bottom w:val="single" w:sz="4" w:space="0" w:color="000000"/>
              <w:right w:val="single" w:sz="4" w:space="0" w:color="000000"/>
            </w:tcBorders>
            <w:vAlign w:val="center"/>
          </w:tcPr>
          <w:p w14:paraId="7F97BBFF"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Враховує конкретну діяльність суб’єктів, оцінює невеликий набір показників і використовує доступну інформацію для розрахунків параметрів моделі.</w:t>
            </w:r>
          </w:p>
        </w:tc>
        <w:tc>
          <w:tcPr>
            <w:tcW w:w="1331" w:type="pct"/>
            <w:tcBorders>
              <w:top w:val="single" w:sz="4" w:space="0" w:color="000000"/>
              <w:left w:val="single" w:sz="4" w:space="0" w:color="000000"/>
              <w:bottom w:val="single" w:sz="4" w:space="0" w:color="000000"/>
              <w:right w:val="single" w:sz="4" w:space="0" w:color="000000"/>
            </w:tcBorders>
            <w:vAlign w:val="center"/>
          </w:tcPr>
          <w:p w14:paraId="7B141221"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Обмежена валідність показників та їх нормативних значень, застосовних лише до окремих підприємств, а також значні інтервали невизначеності.</w:t>
            </w:r>
          </w:p>
        </w:tc>
      </w:tr>
      <w:tr w:rsidR="005E180A" w:rsidRPr="000E710C" w14:paraId="36A8DD94" w14:textId="77777777" w:rsidTr="00016ACF">
        <w:trPr>
          <w:cantSplit/>
          <w:trHeight w:val="3685"/>
          <w:jc w:val="center"/>
        </w:trPr>
        <w:tc>
          <w:tcPr>
            <w:tcW w:w="375" w:type="pct"/>
            <w:tcBorders>
              <w:top w:val="single" w:sz="4" w:space="0" w:color="000000"/>
            </w:tcBorders>
            <w:textDirection w:val="btLr"/>
            <w:vAlign w:val="center"/>
          </w:tcPr>
          <w:p w14:paraId="7CA83482" w14:textId="77777777" w:rsidR="005E180A" w:rsidRPr="000E710C" w:rsidRDefault="005E180A" w:rsidP="001076E7">
            <w:pPr>
              <w:pStyle w:val="TableParagraph"/>
              <w:ind w:left="113" w:right="113"/>
              <w:jc w:val="center"/>
              <w:rPr>
                <w:sz w:val="20"/>
                <w:szCs w:val="20"/>
                <w:lang w:val="uk-UA"/>
              </w:rPr>
            </w:pPr>
            <w:r w:rsidRPr="000E710C">
              <w:rPr>
                <w:sz w:val="20"/>
                <w:szCs w:val="20"/>
                <w:lang w:val="uk-UA"/>
              </w:rPr>
              <w:t>А. Матвійчука</w:t>
            </w:r>
          </w:p>
        </w:tc>
        <w:tc>
          <w:tcPr>
            <w:tcW w:w="1885" w:type="pct"/>
            <w:tcBorders>
              <w:top w:val="single" w:sz="4" w:space="0" w:color="000000"/>
            </w:tcBorders>
            <w:vAlign w:val="center"/>
          </w:tcPr>
          <w:p w14:paraId="5BF36B57" w14:textId="77777777" w:rsidR="005E180A" w:rsidRPr="000E710C" w:rsidRDefault="005E180A" w:rsidP="00E73ACF">
            <w:pPr>
              <w:pStyle w:val="TableParagraph"/>
              <w:spacing w:before="120" w:after="120" w:line="230" w:lineRule="atLeast"/>
              <w:jc w:val="center"/>
              <w:rPr>
                <w:color w:val="000000"/>
                <w:sz w:val="20"/>
                <w:szCs w:val="20"/>
                <w:lang w:val="uk-UA" w:eastAsia="uk-UA"/>
              </w:rPr>
            </w:pPr>
            <w:r w:rsidRPr="000E710C">
              <w:rPr>
                <w:color w:val="000000"/>
                <w:sz w:val="20"/>
                <w:szCs w:val="20"/>
                <w:lang w:val="uk-UA" w:eastAsia="uk-UA"/>
              </w:rPr>
              <w:t>Z = 0,33К</w:t>
            </w:r>
            <w:r w:rsidRPr="000E710C">
              <w:rPr>
                <w:color w:val="000000"/>
                <w:sz w:val="20"/>
                <w:szCs w:val="20"/>
                <w:vertAlign w:val="subscript"/>
                <w:lang w:val="uk-UA" w:eastAsia="uk-UA"/>
              </w:rPr>
              <w:t>1</w:t>
            </w:r>
            <w:r w:rsidRPr="000E710C">
              <w:rPr>
                <w:color w:val="000000"/>
                <w:sz w:val="20"/>
                <w:szCs w:val="20"/>
                <w:lang w:val="uk-UA" w:eastAsia="uk-UA"/>
              </w:rPr>
              <w:t>+0,268К</w:t>
            </w:r>
            <w:r w:rsidRPr="000E710C">
              <w:rPr>
                <w:color w:val="000000"/>
                <w:sz w:val="20"/>
                <w:szCs w:val="20"/>
                <w:vertAlign w:val="subscript"/>
                <w:lang w:val="uk-UA" w:eastAsia="uk-UA"/>
              </w:rPr>
              <w:t>2</w:t>
            </w:r>
            <w:r w:rsidRPr="000E710C">
              <w:rPr>
                <w:color w:val="000000"/>
                <w:sz w:val="20"/>
                <w:szCs w:val="20"/>
                <w:lang w:val="uk-UA" w:eastAsia="uk-UA"/>
              </w:rPr>
              <w:t>+0,045К</w:t>
            </w:r>
            <w:r w:rsidRPr="000E710C">
              <w:rPr>
                <w:color w:val="000000"/>
                <w:sz w:val="20"/>
                <w:szCs w:val="20"/>
                <w:vertAlign w:val="subscript"/>
                <w:lang w:val="uk-UA" w:eastAsia="uk-UA"/>
              </w:rPr>
              <w:t>3</w:t>
            </w:r>
            <w:r w:rsidRPr="000E710C">
              <w:rPr>
                <w:color w:val="000000"/>
                <w:sz w:val="20"/>
                <w:szCs w:val="20"/>
                <w:lang w:val="uk-UA" w:eastAsia="uk-UA"/>
              </w:rPr>
              <w:t>-0,018К</w:t>
            </w:r>
            <w:r w:rsidRPr="000E710C">
              <w:rPr>
                <w:color w:val="000000"/>
                <w:sz w:val="20"/>
                <w:szCs w:val="20"/>
                <w:vertAlign w:val="subscript"/>
                <w:lang w:val="uk-UA" w:eastAsia="uk-UA"/>
              </w:rPr>
              <w:t>4</w:t>
            </w:r>
            <w:r w:rsidRPr="000E710C">
              <w:rPr>
                <w:color w:val="000000"/>
                <w:sz w:val="20"/>
                <w:szCs w:val="20"/>
                <w:lang w:val="uk-UA" w:eastAsia="uk-UA"/>
              </w:rPr>
              <w:t>-0,004К</w:t>
            </w:r>
            <w:r w:rsidRPr="000E710C">
              <w:rPr>
                <w:color w:val="000000"/>
                <w:sz w:val="20"/>
                <w:szCs w:val="20"/>
                <w:vertAlign w:val="subscript"/>
                <w:lang w:val="uk-UA" w:eastAsia="uk-UA"/>
              </w:rPr>
              <w:t>5</w:t>
            </w:r>
            <w:r w:rsidRPr="000E710C">
              <w:rPr>
                <w:color w:val="000000"/>
                <w:sz w:val="20"/>
                <w:szCs w:val="20"/>
                <w:lang w:val="uk-UA" w:eastAsia="uk-UA"/>
              </w:rPr>
              <w:t>-0,015К</w:t>
            </w:r>
            <w:r w:rsidRPr="000E710C">
              <w:rPr>
                <w:color w:val="000000"/>
                <w:sz w:val="20"/>
                <w:szCs w:val="20"/>
                <w:vertAlign w:val="subscript"/>
                <w:lang w:val="uk-UA" w:eastAsia="uk-UA"/>
              </w:rPr>
              <w:t>6</w:t>
            </w:r>
            <w:r w:rsidRPr="000E710C">
              <w:rPr>
                <w:color w:val="000000"/>
                <w:sz w:val="20"/>
                <w:szCs w:val="20"/>
                <w:lang w:val="uk-UA" w:eastAsia="uk-UA"/>
              </w:rPr>
              <w:t>+0,702К</w:t>
            </w:r>
            <w:r w:rsidRPr="000E710C">
              <w:rPr>
                <w:color w:val="000000"/>
                <w:sz w:val="20"/>
                <w:szCs w:val="20"/>
                <w:vertAlign w:val="subscript"/>
                <w:lang w:val="uk-UA" w:eastAsia="uk-UA"/>
              </w:rPr>
              <w:t>7</w:t>
            </w:r>
            <w:r w:rsidRPr="000E710C">
              <w:rPr>
                <w:color w:val="000000"/>
                <w:sz w:val="20"/>
                <w:szCs w:val="20"/>
                <w:lang w:val="uk-UA" w:eastAsia="uk-UA"/>
              </w:rPr>
              <w:t>,</w:t>
            </w:r>
          </w:p>
          <w:p w14:paraId="2469DC39" w14:textId="77777777" w:rsidR="005E180A" w:rsidRPr="000E710C" w:rsidRDefault="005E180A" w:rsidP="00C32C29">
            <w:pPr>
              <w:pStyle w:val="TableParagraph"/>
              <w:spacing w:line="230" w:lineRule="atLeast"/>
              <w:jc w:val="center"/>
              <w:rPr>
                <w:sz w:val="20"/>
                <w:szCs w:val="20"/>
                <w:lang w:val="uk-UA"/>
              </w:rPr>
            </w:pPr>
            <w:r w:rsidRPr="000E710C">
              <w:rPr>
                <w:sz w:val="20"/>
                <w:szCs w:val="20"/>
                <w:lang w:val="uk-UA"/>
              </w:rPr>
              <w:t>де К</w:t>
            </w:r>
            <w:r w:rsidRPr="000E710C">
              <w:rPr>
                <w:sz w:val="20"/>
                <w:szCs w:val="20"/>
                <w:vertAlign w:val="subscript"/>
                <w:lang w:val="uk-UA"/>
              </w:rPr>
              <w:t>1</w:t>
            </w:r>
            <w:r w:rsidRPr="000E710C">
              <w:rPr>
                <w:sz w:val="20"/>
                <w:szCs w:val="20"/>
                <w:lang w:val="uk-UA"/>
              </w:rPr>
              <w:t xml:space="preserve"> – </w:t>
            </w:r>
            <w:r w:rsidR="00AB12F9" w:rsidRPr="00AB12F9">
              <w:rPr>
                <w:sz w:val="20"/>
                <w:szCs w:val="20"/>
                <w:lang w:val="uk-UA"/>
              </w:rPr>
              <w:t>обігові</w:t>
            </w:r>
            <w:r w:rsidRPr="000E710C">
              <w:rPr>
                <w:sz w:val="20"/>
                <w:szCs w:val="20"/>
                <w:lang w:val="uk-UA"/>
              </w:rPr>
              <w:t xml:space="preserve"> активи/не</w:t>
            </w:r>
            <w:r w:rsidR="00AB12F9" w:rsidRPr="00AB12F9">
              <w:rPr>
                <w:sz w:val="20"/>
                <w:szCs w:val="20"/>
                <w:lang w:val="uk-UA"/>
              </w:rPr>
              <w:t>обігові</w:t>
            </w:r>
            <w:r w:rsidRPr="000E710C">
              <w:rPr>
                <w:sz w:val="20"/>
                <w:szCs w:val="20"/>
                <w:lang w:val="uk-UA"/>
              </w:rPr>
              <w:t xml:space="preserve"> активи</w:t>
            </w:r>
            <w:r w:rsidR="00C32C29" w:rsidRPr="000E710C">
              <w:rPr>
                <w:sz w:val="20"/>
                <w:szCs w:val="20"/>
                <w:lang w:val="uk-UA"/>
              </w:rPr>
              <w:t xml:space="preserve">; </w:t>
            </w:r>
            <w:r w:rsidRPr="000E710C">
              <w:rPr>
                <w:sz w:val="20"/>
                <w:szCs w:val="20"/>
                <w:lang w:val="uk-UA"/>
              </w:rPr>
              <w:t>К</w:t>
            </w:r>
            <w:r w:rsidRPr="000E710C">
              <w:rPr>
                <w:sz w:val="20"/>
                <w:szCs w:val="20"/>
                <w:vertAlign w:val="subscript"/>
                <w:lang w:val="uk-UA"/>
              </w:rPr>
              <w:t>2</w:t>
            </w:r>
            <w:r w:rsidRPr="000E710C">
              <w:rPr>
                <w:sz w:val="20"/>
                <w:szCs w:val="20"/>
                <w:lang w:val="uk-UA"/>
              </w:rPr>
              <w:t xml:space="preserve"> – дохід від реалізації/</w:t>
            </w:r>
            <w:r w:rsidR="00133248" w:rsidRPr="000E710C">
              <w:rPr>
                <w:sz w:val="20"/>
                <w:szCs w:val="20"/>
                <w:lang w:val="uk-UA"/>
              </w:rPr>
              <w:t xml:space="preserve"> короткострокові</w:t>
            </w:r>
            <w:r w:rsidRPr="000E710C">
              <w:rPr>
                <w:sz w:val="20"/>
                <w:szCs w:val="20"/>
                <w:lang w:val="uk-UA"/>
              </w:rPr>
              <w:t xml:space="preserve"> зобов’язання</w:t>
            </w:r>
            <w:r w:rsidR="00C32C29" w:rsidRPr="000E710C">
              <w:rPr>
                <w:sz w:val="20"/>
                <w:szCs w:val="20"/>
                <w:lang w:val="uk-UA"/>
              </w:rPr>
              <w:t xml:space="preserve">; </w:t>
            </w:r>
            <w:r w:rsidRPr="000E710C">
              <w:rPr>
                <w:sz w:val="20"/>
                <w:szCs w:val="20"/>
                <w:lang w:val="uk-UA"/>
              </w:rPr>
              <w:t>К</w:t>
            </w:r>
            <w:r w:rsidRPr="000E710C">
              <w:rPr>
                <w:sz w:val="20"/>
                <w:szCs w:val="20"/>
                <w:vertAlign w:val="subscript"/>
                <w:lang w:val="uk-UA"/>
              </w:rPr>
              <w:t>3</w:t>
            </w:r>
            <w:r w:rsidRPr="000E710C">
              <w:rPr>
                <w:sz w:val="20"/>
                <w:szCs w:val="20"/>
                <w:lang w:val="uk-UA"/>
              </w:rPr>
              <w:t xml:space="preserve"> – дохід від реалізації/</w:t>
            </w:r>
            <w:r w:rsidR="00235A6A">
              <w:rPr>
                <w:sz w:val="20"/>
                <w:szCs w:val="20"/>
                <w:lang w:val="uk-UA"/>
              </w:rPr>
              <w:t>особистий</w:t>
            </w:r>
            <w:r w:rsidRPr="000E710C">
              <w:rPr>
                <w:sz w:val="20"/>
                <w:szCs w:val="20"/>
                <w:lang w:val="uk-UA"/>
              </w:rPr>
              <w:t xml:space="preserve"> капітал</w:t>
            </w:r>
            <w:r w:rsidR="00C32C29" w:rsidRPr="000E710C">
              <w:rPr>
                <w:sz w:val="20"/>
                <w:szCs w:val="20"/>
                <w:lang w:val="uk-UA"/>
              </w:rPr>
              <w:t xml:space="preserve">; </w:t>
            </w:r>
            <w:r w:rsidRPr="000E710C">
              <w:rPr>
                <w:sz w:val="20"/>
                <w:szCs w:val="20"/>
                <w:lang w:val="uk-UA"/>
              </w:rPr>
              <w:t>К</w:t>
            </w:r>
            <w:r w:rsidRPr="000E710C">
              <w:rPr>
                <w:sz w:val="20"/>
                <w:szCs w:val="20"/>
                <w:vertAlign w:val="subscript"/>
                <w:lang w:val="uk-UA"/>
              </w:rPr>
              <w:t>4</w:t>
            </w:r>
            <w:r w:rsidRPr="000E710C">
              <w:rPr>
                <w:sz w:val="20"/>
                <w:szCs w:val="20"/>
                <w:lang w:val="uk-UA"/>
              </w:rPr>
              <w:t xml:space="preserve"> – баланс/дохід від реалізації</w:t>
            </w:r>
            <w:r w:rsidR="00C32C29" w:rsidRPr="000E710C">
              <w:rPr>
                <w:sz w:val="20"/>
                <w:szCs w:val="20"/>
                <w:lang w:val="uk-UA"/>
              </w:rPr>
              <w:t xml:space="preserve">; </w:t>
            </w:r>
            <w:r w:rsidRPr="000E710C">
              <w:rPr>
                <w:sz w:val="20"/>
                <w:szCs w:val="20"/>
                <w:lang w:val="uk-UA"/>
              </w:rPr>
              <w:t>К</w:t>
            </w:r>
            <w:r w:rsidRPr="000E710C">
              <w:rPr>
                <w:sz w:val="20"/>
                <w:szCs w:val="20"/>
                <w:vertAlign w:val="subscript"/>
                <w:lang w:val="uk-UA"/>
              </w:rPr>
              <w:t>5</w:t>
            </w:r>
            <w:r w:rsidRPr="000E710C">
              <w:rPr>
                <w:sz w:val="20"/>
                <w:szCs w:val="20"/>
                <w:lang w:val="uk-UA"/>
              </w:rPr>
              <w:t xml:space="preserve"> – (</w:t>
            </w:r>
            <w:r w:rsidR="00AB12F9" w:rsidRPr="000E710C">
              <w:rPr>
                <w:sz w:val="20"/>
                <w:szCs w:val="20"/>
                <w:lang w:val="uk-UA"/>
              </w:rPr>
              <w:t>об</w:t>
            </w:r>
            <w:r w:rsidR="00AB12F9">
              <w:rPr>
                <w:sz w:val="20"/>
                <w:szCs w:val="20"/>
                <w:lang w:val="uk-UA"/>
              </w:rPr>
              <w:t>ігові</w:t>
            </w:r>
            <w:r w:rsidRPr="000E710C">
              <w:rPr>
                <w:sz w:val="20"/>
                <w:szCs w:val="20"/>
                <w:lang w:val="uk-UA"/>
              </w:rPr>
              <w:t xml:space="preserve"> активи – </w:t>
            </w:r>
            <w:r w:rsidR="00133248" w:rsidRPr="000E710C">
              <w:rPr>
                <w:sz w:val="20"/>
                <w:szCs w:val="20"/>
                <w:lang w:val="uk-UA"/>
              </w:rPr>
              <w:t>короткострокові</w:t>
            </w:r>
            <w:r w:rsidRPr="000E710C">
              <w:rPr>
                <w:sz w:val="20"/>
                <w:szCs w:val="20"/>
                <w:lang w:val="uk-UA"/>
              </w:rPr>
              <w:t xml:space="preserve"> зобов’язання)/</w:t>
            </w:r>
            <w:r w:rsidR="009B16B7" w:rsidRPr="000E710C">
              <w:rPr>
                <w:sz w:val="20"/>
                <w:szCs w:val="20"/>
                <w:lang w:val="uk-UA"/>
              </w:rPr>
              <w:t xml:space="preserve"> об</w:t>
            </w:r>
            <w:r w:rsidR="009B16B7">
              <w:rPr>
                <w:sz w:val="20"/>
                <w:szCs w:val="20"/>
                <w:lang w:val="uk-UA"/>
              </w:rPr>
              <w:t>ігові</w:t>
            </w:r>
            <w:r w:rsidRPr="000E710C">
              <w:rPr>
                <w:sz w:val="20"/>
                <w:szCs w:val="20"/>
                <w:lang w:val="uk-UA"/>
              </w:rPr>
              <w:t xml:space="preserve"> активи</w:t>
            </w:r>
            <w:r w:rsidR="00C32C29" w:rsidRPr="000E710C">
              <w:rPr>
                <w:sz w:val="20"/>
                <w:szCs w:val="20"/>
                <w:lang w:val="uk-UA"/>
              </w:rPr>
              <w:t xml:space="preserve">; </w:t>
            </w:r>
            <w:r w:rsidRPr="000E710C">
              <w:rPr>
                <w:sz w:val="20"/>
                <w:szCs w:val="20"/>
                <w:lang w:val="uk-UA"/>
              </w:rPr>
              <w:t>К</w:t>
            </w:r>
            <w:r w:rsidRPr="000E710C">
              <w:rPr>
                <w:sz w:val="20"/>
                <w:szCs w:val="20"/>
                <w:vertAlign w:val="subscript"/>
                <w:lang w:val="uk-UA"/>
              </w:rPr>
              <w:t>6</w:t>
            </w:r>
            <w:r w:rsidRPr="000E710C">
              <w:rPr>
                <w:sz w:val="20"/>
                <w:szCs w:val="20"/>
                <w:lang w:val="uk-UA"/>
              </w:rPr>
              <w:t xml:space="preserve"> – (довгострокові зобов’язання + </w:t>
            </w:r>
            <w:r w:rsidR="007544C0" w:rsidRPr="000E710C">
              <w:rPr>
                <w:sz w:val="20"/>
                <w:szCs w:val="20"/>
                <w:lang w:val="uk-UA"/>
              </w:rPr>
              <w:t>короткострокові</w:t>
            </w:r>
            <w:r w:rsidRPr="000E710C">
              <w:rPr>
                <w:sz w:val="20"/>
                <w:szCs w:val="20"/>
                <w:lang w:val="uk-UA"/>
              </w:rPr>
              <w:t xml:space="preserve"> зобов’язання)/Баланс</w:t>
            </w:r>
            <w:r w:rsidR="00C32C29" w:rsidRPr="000E710C">
              <w:rPr>
                <w:sz w:val="20"/>
                <w:szCs w:val="20"/>
                <w:lang w:val="uk-UA"/>
              </w:rPr>
              <w:t xml:space="preserve">; </w:t>
            </w:r>
            <w:r w:rsidRPr="000E710C">
              <w:rPr>
                <w:sz w:val="20"/>
                <w:szCs w:val="20"/>
                <w:lang w:val="uk-UA"/>
              </w:rPr>
              <w:t>К</w:t>
            </w:r>
            <w:r w:rsidRPr="000E710C">
              <w:rPr>
                <w:sz w:val="20"/>
                <w:szCs w:val="20"/>
                <w:vertAlign w:val="subscript"/>
                <w:lang w:val="uk-UA"/>
              </w:rPr>
              <w:t>7</w:t>
            </w:r>
            <w:r w:rsidRPr="000E710C">
              <w:rPr>
                <w:sz w:val="20"/>
                <w:szCs w:val="20"/>
                <w:lang w:val="uk-UA"/>
              </w:rPr>
              <w:t xml:space="preserve"> – </w:t>
            </w:r>
            <w:r w:rsidR="00235A6A">
              <w:rPr>
                <w:sz w:val="20"/>
                <w:szCs w:val="20"/>
                <w:lang w:val="uk-UA"/>
              </w:rPr>
              <w:t>особистий</w:t>
            </w:r>
            <w:r w:rsidRPr="000E710C">
              <w:rPr>
                <w:sz w:val="20"/>
                <w:szCs w:val="20"/>
                <w:lang w:val="uk-UA"/>
              </w:rPr>
              <w:t xml:space="preserve"> капітал/(забезпечення наступних витрат і платежів + довгострокові зобов’язання + </w:t>
            </w:r>
            <w:r w:rsidR="007544C0" w:rsidRPr="000E710C">
              <w:rPr>
                <w:sz w:val="20"/>
                <w:szCs w:val="20"/>
                <w:lang w:val="uk-UA"/>
              </w:rPr>
              <w:t>короткострокові</w:t>
            </w:r>
            <w:r w:rsidRPr="000E710C">
              <w:rPr>
                <w:sz w:val="20"/>
                <w:szCs w:val="20"/>
                <w:lang w:val="uk-UA"/>
              </w:rPr>
              <w:t xml:space="preserve"> зобов’язання)</w:t>
            </w:r>
            <w:r w:rsidR="00C32C29" w:rsidRPr="000E710C">
              <w:rPr>
                <w:sz w:val="20"/>
                <w:szCs w:val="20"/>
                <w:lang w:val="uk-UA"/>
              </w:rPr>
              <w:t>.</w:t>
            </w:r>
          </w:p>
        </w:tc>
        <w:tc>
          <w:tcPr>
            <w:tcW w:w="1409" w:type="pct"/>
            <w:tcBorders>
              <w:top w:val="single" w:sz="4" w:space="0" w:color="000000"/>
            </w:tcBorders>
            <w:vAlign w:val="center"/>
          </w:tcPr>
          <w:p w14:paraId="0C32349A"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Містить набір високоінформативних факторів впливу, які ефективно відрізняють фінансовий стан збанкрутілих українських підприємств від фінансово стабільних.</w:t>
            </w:r>
          </w:p>
        </w:tc>
        <w:tc>
          <w:tcPr>
            <w:tcW w:w="1331" w:type="pct"/>
            <w:tcBorders>
              <w:top w:val="single" w:sz="4" w:space="0" w:color="000000"/>
            </w:tcBorders>
            <w:vAlign w:val="center"/>
          </w:tcPr>
          <w:p w14:paraId="7D18ACC4" w14:textId="77777777" w:rsidR="005E180A" w:rsidRPr="000E710C" w:rsidRDefault="005E180A" w:rsidP="005E180A">
            <w:pPr>
              <w:jc w:val="center"/>
              <w:rPr>
                <w:rFonts w:ascii="Times New Roman" w:hAnsi="Times New Roman" w:cs="Times New Roman"/>
                <w:sz w:val="20"/>
                <w:szCs w:val="20"/>
                <w:lang w:val="uk-UA"/>
              </w:rPr>
            </w:pPr>
            <w:r w:rsidRPr="000E710C">
              <w:rPr>
                <w:rFonts w:ascii="Times New Roman" w:hAnsi="Times New Roman" w:cs="Times New Roman"/>
                <w:sz w:val="20"/>
                <w:szCs w:val="20"/>
                <w:lang w:val="uk-UA"/>
              </w:rPr>
              <w:t>Виникнення ситуацій із низькими значеннями одних показників і високими значеннями інших порівняно з нормативними значеннями.</w:t>
            </w:r>
          </w:p>
        </w:tc>
      </w:tr>
    </w:tbl>
    <w:bookmarkEnd w:id="5"/>
    <w:p w14:paraId="074952B5" w14:textId="77777777" w:rsidR="003A65AB" w:rsidRPr="00042924" w:rsidRDefault="00873945" w:rsidP="00644D58">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Джерело: систематизовано та складено автором </w:t>
      </w:r>
      <w:r w:rsidR="00E32FFC">
        <w:rPr>
          <w:rFonts w:ascii="Times New Roman" w:hAnsi="Times New Roman" w:cs="Times New Roman"/>
          <w:sz w:val="28"/>
          <w:szCs w:val="28"/>
          <w:lang w:val="uk-UA"/>
        </w:rPr>
        <w:t>на основі</w:t>
      </w:r>
      <w:r w:rsidRPr="00042924">
        <w:rPr>
          <w:rFonts w:ascii="Times New Roman" w:hAnsi="Times New Roman" w:cs="Times New Roman"/>
          <w:sz w:val="28"/>
          <w:szCs w:val="28"/>
          <w:lang w:val="uk-UA"/>
        </w:rPr>
        <w:t xml:space="preserve"> [</w:t>
      </w:r>
      <w:r w:rsidR="002F1D90" w:rsidRPr="00042924">
        <w:rPr>
          <w:rFonts w:ascii="Times New Roman" w:hAnsi="Times New Roman" w:cs="Times New Roman"/>
          <w:sz w:val="28"/>
          <w:szCs w:val="28"/>
          <w:lang w:val="uk-UA"/>
        </w:rPr>
        <w:t>19</w:t>
      </w:r>
      <w:r w:rsidRPr="00042924">
        <w:rPr>
          <w:rFonts w:ascii="Times New Roman" w:hAnsi="Times New Roman" w:cs="Times New Roman"/>
          <w:sz w:val="28"/>
          <w:szCs w:val="28"/>
          <w:lang w:val="uk-UA"/>
        </w:rPr>
        <w:t>]</w:t>
      </w:r>
    </w:p>
    <w:p w14:paraId="22F6985D" w14:textId="77777777" w:rsidR="00873945" w:rsidRPr="00042924" w:rsidRDefault="00873945" w:rsidP="00644D58">
      <w:pPr>
        <w:spacing w:after="0" w:line="240" w:lineRule="auto"/>
        <w:ind w:firstLine="709"/>
        <w:jc w:val="both"/>
        <w:rPr>
          <w:rFonts w:ascii="Times New Roman" w:hAnsi="Times New Roman" w:cs="Times New Roman"/>
          <w:sz w:val="28"/>
          <w:szCs w:val="28"/>
          <w:lang w:val="uk-UA"/>
        </w:rPr>
      </w:pPr>
    </w:p>
    <w:p w14:paraId="693FDA82" w14:textId="77777777" w:rsidR="003A65AB" w:rsidRPr="00042924" w:rsidRDefault="00DC7B5E" w:rsidP="00644D58">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Отже, виходячи із наведеної інформації в </w:t>
      </w:r>
      <w:r w:rsidR="00BA6C54" w:rsidRPr="00042924">
        <w:rPr>
          <w:rFonts w:ascii="Times New Roman" w:hAnsi="Times New Roman" w:cs="Times New Roman"/>
          <w:sz w:val="28"/>
          <w:szCs w:val="28"/>
          <w:lang w:val="uk-UA"/>
        </w:rPr>
        <w:t>таблиці 1.4</w:t>
      </w:r>
      <w:r w:rsidRPr="00042924">
        <w:rPr>
          <w:rFonts w:ascii="Times New Roman" w:hAnsi="Times New Roman" w:cs="Times New Roman"/>
          <w:sz w:val="28"/>
          <w:szCs w:val="28"/>
          <w:lang w:val="uk-UA"/>
        </w:rPr>
        <w:t xml:space="preserve">, можна зробити висновок, що кожна модель прогнозування банкрутства має свої переваги та недоліки. </w:t>
      </w:r>
    </w:p>
    <w:p w14:paraId="51AEAC4E" w14:textId="77777777" w:rsidR="003A65AB" w:rsidRPr="00042924" w:rsidRDefault="003A65AB" w:rsidP="003A65A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Загалом, такі старі моделі, як Z-оцінка </w:t>
      </w:r>
      <w:r w:rsidR="002B40BC" w:rsidRPr="00042924">
        <w:rPr>
          <w:rFonts w:ascii="Times New Roman" w:hAnsi="Times New Roman" w:cs="Times New Roman"/>
          <w:sz w:val="28"/>
          <w:szCs w:val="28"/>
          <w:lang w:val="uk-UA"/>
        </w:rPr>
        <w:t>Е.</w:t>
      </w:r>
      <w:r w:rsidR="00FD1E95"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 xml:space="preserve">Альтмана та </w:t>
      </w:r>
      <w:r w:rsidR="002B40BC" w:rsidRPr="00042924">
        <w:rPr>
          <w:rFonts w:ascii="Times New Roman" w:hAnsi="Times New Roman" w:cs="Times New Roman"/>
          <w:sz w:val="28"/>
          <w:szCs w:val="28"/>
          <w:lang w:val="uk-UA"/>
        </w:rPr>
        <w:t xml:space="preserve">Г. </w:t>
      </w:r>
      <w:r w:rsidRPr="00042924">
        <w:rPr>
          <w:rFonts w:ascii="Times New Roman" w:hAnsi="Times New Roman" w:cs="Times New Roman"/>
          <w:sz w:val="28"/>
          <w:szCs w:val="28"/>
          <w:lang w:val="uk-UA"/>
        </w:rPr>
        <w:t xml:space="preserve">Спрінгейта, як правило, мають той недолік, що вони розроблені для західних компаній десятиліття тому, що робить їх менш застосовними для сучасного українського бізнесу. Моделі, розроблені пізніше, такими вченими як Матвійчук та Терещенко, мають перевагу в тому, що включають новіші дані та розроблені для економік Східної Європи. Однак </w:t>
      </w:r>
      <w:r w:rsidRPr="00042924">
        <w:rPr>
          <w:rFonts w:ascii="Times New Roman" w:hAnsi="Times New Roman" w:cs="Times New Roman"/>
          <w:sz w:val="28"/>
          <w:szCs w:val="28"/>
          <w:lang w:val="uk-UA"/>
        </w:rPr>
        <w:lastRenderedPageBreak/>
        <w:t xml:space="preserve">навіть новітні моделі мають обмеження у комплексній оцінці всіх факторів, які сприяють ризику банкрутства. </w:t>
      </w:r>
    </w:p>
    <w:p w14:paraId="35150893" w14:textId="77777777" w:rsidR="003A65AB" w:rsidRPr="00042924" w:rsidRDefault="003A65AB" w:rsidP="003A65A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Якщо говорити точніше, то модель Альтмана проста для розрахунку, але вона спирається на фінансові показники 1960-х років, які можуть не відповідати сучасним ринкам, що розвиваються. Спрінгейту не вистачає галузевої та регіональної специфіки за межами Північної Америки. Модель Таффлера легко обчислити з хорошою точністю, але вона застосовується лише до публічних компаній. Модель Ліса швидка, але краще підходить для західних компаній. </w:t>
      </w:r>
    </w:p>
    <w:p w14:paraId="02F6B9E3" w14:textId="77777777" w:rsidR="003A65AB" w:rsidRPr="00042924" w:rsidRDefault="003A65AB" w:rsidP="003A65A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Модель Фулмера досить комплексна, але спеціалізована на банківській справі. Модель Терещенка включає конкретні види діяльності, але має невизначену індикаторну валідність. Нарешті, Матвійчук використовує високоінформативні коефіцієнти, але все ще може давати суперечливі результати за різними показниками. </w:t>
      </w:r>
    </w:p>
    <w:p w14:paraId="4E45DBB5" w14:textId="77777777" w:rsidR="003A65AB" w:rsidRPr="00042924" w:rsidRDefault="003A65AB" w:rsidP="003A65AB">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Підсумовуючи, ідеальна модель має збалансований підхід – враховує останні дані та економічні фактори, унікальні для України, але уникає надто складних розрахунків або ненадійних змінних. Найдосконаліші моделі є хорошою відправною точкою, але, ймовірно, потребують коригування та поєднання для створення оптимально прогнозованого та адаптованого рішення для українських підприємств. Регулярне тестування та оновлення моделі також є важливим, оскільки економічні умови змінюються з часом.</w:t>
      </w:r>
    </w:p>
    <w:p w14:paraId="690A88F8" w14:textId="77777777" w:rsidR="00644D58" w:rsidRPr="00042924" w:rsidRDefault="00DC7B5E" w:rsidP="009A7881">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Враховуючи всі ці факти, для більш об’єктивної оцінки ймовірності банкрутства вибраного підприємства треба використовувати як вітчизняні (О. Терещенко, А. Матвійчук), так і іноземні (Е. Альтман, Г. Спрінгейт, Р. Ліс, Р. Таффлер) дискримінантні моделі, щоб отримати більш точну інформацію про ймовірність </w:t>
      </w:r>
      <w:r w:rsidR="00EA70B7" w:rsidRPr="00042924">
        <w:rPr>
          <w:rFonts w:ascii="Times New Roman" w:hAnsi="Times New Roman" w:cs="Times New Roman"/>
          <w:sz w:val="28"/>
          <w:szCs w:val="28"/>
          <w:lang w:val="uk-UA"/>
        </w:rPr>
        <w:t>банкрутства підприємства</w:t>
      </w:r>
      <w:r w:rsidR="00CD355F" w:rsidRPr="00042924">
        <w:rPr>
          <w:rFonts w:ascii="Times New Roman" w:hAnsi="Times New Roman" w:cs="Times New Roman"/>
          <w:sz w:val="28"/>
          <w:szCs w:val="28"/>
          <w:lang w:val="uk-UA"/>
        </w:rPr>
        <w:t>.</w:t>
      </w:r>
    </w:p>
    <w:p w14:paraId="5435773F" w14:textId="77777777" w:rsidR="006D3CF4" w:rsidRDefault="006D3CF4" w:rsidP="009A7881">
      <w:pPr>
        <w:spacing w:line="240" w:lineRule="auto"/>
        <w:rPr>
          <w:rFonts w:ascii="Times New Roman" w:hAnsi="Times New Roman" w:cs="Times New Roman"/>
          <w:sz w:val="28"/>
          <w:szCs w:val="28"/>
          <w:lang w:val="uk-UA"/>
        </w:rPr>
      </w:pPr>
    </w:p>
    <w:p w14:paraId="222C8DF8" w14:textId="77777777" w:rsidR="009A7881" w:rsidRPr="00042924" w:rsidRDefault="009A7881" w:rsidP="009A7881">
      <w:pPr>
        <w:spacing w:line="240" w:lineRule="auto"/>
        <w:rPr>
          <w:rFonts w:ascii="Times New Roman" w:hAnsi="Times New Roman" w:cs="Times New Roman"/>
          <w:sz w:val="28"/>
          <w:szCs w:val="28"/>
          <w:lang w:val="uk-UA"/>
        </w:rPr>
      </w:pPr>
    </w:p>
    <w:p w14:paraId="224F3405" w14:textId="77777777" w:rsidR="00937EF3" w:rsidRPr="00042924" w:rsidRDefault="00307616" w:rsidP="009A7881">
      <w:pPr>
        <w:spacing w:after="0" w:line="240" w:lineRule="auto"/>
        <w:ind w:firstLine="709"/>
        <w:jc w:val="both"/>
        <w:rPr>
          <w:rFonts w:ascii="Times New Roman" w:hAnsi="Times New Roman" w:cs="Times New Roman"/>
          <w:b/>
          <w:bCs/>
          <w:sz w:val="28"/>
          <w:szCs w:val="28"/>
          <w:lang w:val="uk-UA"/>
        </w:rPr>
      </w:pPr>
      <w:bookmarkStart w:id="6" w:name="_Hlk150880527"/>
      <w:r w:rsidRPr="00042924">
        <w:rPr>
          <w:rFonts w:ascii="Times New Roman" w:hAnsi="Times New Roman" w:cs="Times New Roman"/>
          <w:b/>
          <w:bCs/>
          <w:sz w:val="28"/>
          <w:szCs w:val="28"/>
          <w:lang w:val="uk-UA"/>
        </w:rPr>
        <w:t>1.3. Сучасні проблеми фінансового стану та банкрутства вітчизняних підприємств</w:t>
      </w:r>
    </w:p>
    <w:p w14:paraId="538B5DE3" w14:textId="77777777" w:rsidR="00937EF3" w:rsidRDefault="00937EF3" w:rsidP="009A7881">
      <w:pPr>
        <w:spacing w:after="0" w:line="240" w:lineRule="auto"/>
        <w:jc w:val="center"/>
        <w:rPr>
          <w:rFonts w:ascii="Times New Roman" w:hAnsi="Times New Roman" w:cs="Times New Roman"/>
          <w:b/>
          <w:bCs/>
          <w:sz w:val="28"/>
          <w:szCs w:val="28"/>
          <w:lang w:val="uk-UA"/>
        </w:rPr>
      </w:pPr>
    </w:p>
    <w:p w14:paraId="249D9E8A" w14:textId="77777777" w:rsidR="009A7881" w:rsidRPr="00042924" w:rsidRDefault="009A7881" w:rsidP="009A7881">
      <w:pPr>
        <w:spacing w:after="0" w:line="240" w:lineRule="auto"/>
        <w:jc w:val="center"/>
        <w:rPr>
          <w:rFonts w:ascii="Times New Roman" w:hAnsi="Times New Roman" w:cs="Times New Roman"/>
          <w:b/>
          <w:bCs/>
          <w:sz w:val="28"/>
          <w:szCs w:val="28"/>
          <w:lang w:val="uk-UA"/>
        </w:rPr>
      </w:pPr>
    </w:p>
    <w:p w14:paraId="4DD7DC23" w14:textId="77777777" w:rsidR="00494856" w:rsidRPr="00042924" w:rsidRDefault="005E0A0C" w:rsidP="009A7881">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Вітчизняні підприємства України стикаються з гострою фінансовою скрутою та підвищеним ризиком банкрутства через поєднання економічних, політичних і структурних факторів. Проблеми, з якими страждає український бізнес, різноманітні, вони виникають як через системну нестабільність, так і через гострі потрясіння. </w:t>
      </w:r>
    </w:p>
    <w:p w14:paraId="6D2519E8" w14:textId="77777777" w:rsidR="00494856" w:rsidRPr="00042924" w:rsidRDefault="005E0A0C" w:rsidP="009F20E2">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Задовго до російського вторгнення у 2022 році багато українських компаній уже ненадійно балансували на межі банкрутства через несприятливий бізнес-клімат. Однак початок війни рішуче підштовхнув компанії через край, створивши жахливі фінансові труднощі та масові банкрутства</w:t>
      </w:r>
      <w:r w:rsidR="00241080" w:rsidRPr="00042924">
        <w:rPr>
          <w:rFonts w:ascii="Times New Roman" w:hAnsi="Times New Roman" w:cs="Times New Roman"/>
          <w:sz w:val="28"/>
          <w:szCs w:val="28"/>
          <w:lang w:val="uk-UA"/>
        </w:rPr>
        <w:t xml:space="preserve"> (рис.</w:t>
      </w:r>
      <w:r w:rsidR="00AC7CCB" w:rsidRPr="00042924">
        <w:rPr>
          <w:rFonts w:ascii="Times New Roman" w:hAnsi="Times New Roman" w:cs="Times New Roman"/>
          <w:sz w:val="28"/>
          <w:szCs w:val="28"/>
          <w:lang w:val="uk-UA"/>
        </w:rPr>
        <w:t>1.2)</w:t>
      </w:r>
      <w:r w:rsidRPr="00042924">
        <w:rPr>
          <w:rFonts w:ascii="Times New Roman" w:hAnsi="Times New Roman" w:cs="Times New Roman"/>
          <w:sz w:val="28"/>
          <w:szCs w:val="28"/>
          <w:lang w:val="uk-UA"/>
        </w:rPr>
        <w:t xml:space="preserve">. </w:t>
      </w:r>
    </w:p>
    <w:p w14:paraId="435FC866" w14:textId="77777777" w:rsidR="00494856" w:rsidRPr="00042924" w:rsidRDefault="005E0A0C" w:rsidP="00F271C5">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Коли ми досліджуємо український бізнес-ландшафт, економічне спустошення, спричинене одночасними економіч</w:t>
      </w:r>
      <w:r w:rsidR="00666088" w:rsidRPr="00042924">
        <w:rPr>
          <w:rFonts w:ascii="Times New Roman" w:hAnsi="Times New Roman" w:cs="Times New Roman"/>
          <w:sz w:val="28"/>
          <w:szCs w:val="28"/>
          <w:lang w:val="uk-UA"/>
        </w:rPr>
        <w:t>ними</w:t>
      </w:r>
      <w:r w:rsidRPr="00042924">
        <w:rPr>
          <w:rFonts w:ascii="Times New Roman" w:hAnsi="Times New Roman" w:cs="Times New Roman"/>
          <w:sz w:val="28"/>
          <w:szCs w:val="28"/>
          <w:lang w:val="uk-UA"/>
        </w:rPr>
        <w:t>, політичн</w:t>
      </w:r>
      <w:r w:rsidR="00666088" w:rsidRPr="00042924">
        <w:rPr>
          <w:rFonts w:ascii="Times New Roman" w:hAnsi="Times New Roman" w:cs="Times New Roman"/>
          <w:sz w:val="28"/>
          <w:szCs w:val="28"/>
          <w:lang w:val="uk-UA"/>
        </w:rPr>
        <w:t>ими</w:t>
      </w:r>
      <w:r w:rsidRPr="00042924">
        <w:rPr>
          <w:rFonts w:ascii="Times New Roman" w:hAnsi="Times New Roman" w:cs="Times New Roman"/>
          <w:sz w:val="28"/>
          <w:szCs w:val="28"/>
          <w:lang w:val="uk-UA"/>
        </w:rPr>
        <w:t xml:space="preserve"> та військ</w:t>
      </w:r>
      <w:r w:rsidR="00666088" w:rsidRPr="00042924">
        <w:rPr>
          <w:rFonts w:ascii="Times New Roman" w:hAnsi="Times New Roman" w:cs="Times New Roman"/>
          <w:sz w:val="28"/>
          <w:szCs w:val="28"/>
          <w:lang w:val="uk-UA"/>
        </w:rPr>
        <w:t>овими</w:t>
      </w:r>
      <w:r w:rsidRPr="00042924">
        <w:rPr>
          <w:rFonts w:ascii="Times New Roman" w:hAnsi="Times New Roman" w:cs="Times New Roman"/>
          <w:sz w:val="28"/>
          <w:szCs w:val="28"/>
          <w:lang w:val="uk-UA"/>
        </w:rPr>
        <w:t xml:space="preserve"> кризами, стає різко очевидним. Ідеальна буря хронічних труднощів і </w:t>
      </w:r>
      <w:r w:rsidRPr="00042924">
        <w:rPr>
          <w:rFonts w:ascii="Times New Roman" w:hAnsi="Times New Roman" w:cs="Times New Roman"/>
          <w:sz w:val="28"/>
          <w:szCs w:val="28"/>
          <w:lang w:val="uk-UA"/>
        </w:rPr>
        <w:lastRenderedPageBreak/>
        <w:t xml:space="preserve">гострих потрясінь поставила під загрозу фінансову життєздатність багатьох вітчизняних фірм. </w:t>
      </w:r>
    </w:p>
    <w:p w14:paraId="4C97D948" w14:textId="77777777" w:rsidR="005E0A0C" w:rsidRPr="00042924" w:rsidRDefault="000A2FEF" w:rsidP="00F271C5">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Враховуючи все це</w:t>
      </w:r>
      <w:r w:rsidR="0039628C" w:rsidRPr="00042924">
        <w:rPr>
          <w:rFonts w:ascii="Times New Roman" w:hAnsi="Times New Roman" w:cs="Times New Roman"/>
          <w:sz w:val="28"/>
          <w:szCs w:val="28"/>
          <w:lang w:val="uk-UA"/>
        </w:rPr>
        <w:t>,</w:t>
      </w:r>
      <w:r w:rsidRPr="00042924">
        <w:rPr>
          <w:rFonts w:ascii="Times New Roman" w:hAnsi="Times New Roman" w:cs="Times New Roman"/>
          <w:sz w:val="28"/>
          <w:szCs w:val="28"/>
          <w:lang w:val="uk-UA"/>
        </w:rPr>
        <w:t xml:space="preserve"> </w:t>
      </w:r>
      <w:r w:rsidR="005844DA" w:rsidRPr="00042924">
        <w:rPr>
          <w:rFonts w:ascii="Times New Roman" w:hAnsi="Times New Roman" w:cs="Times New Roman"/>
          <w:sz w:val="28"/>
          <w:szCs w:val="28"/>
          <w:lang w:val="uk-UA"/>
        </w:rPr>
        <w:t xml:space="preserve">розглянемо більш детально </w:t>
      </w:r>
      <w:r w:rsidRPr="00042924">
        <w:rPr>
          <w:rFonts w:ascii="Times New Roman" w:hAnsi="Times New Roman" w:cs="Times New Roman"/>
          <w:sz w:val="28"/>
          <w:szCs w:val="28"/>
          <w:lang w:val="uk-UA"/>
        </w:rPr>
        <w:t xml:space="preserve">конкретні </w:t>
      </w:r>
      <w:r w:rsidR="005844DA" w:rsidRPr="00042924">
        <w:rPr>
          <w:rFonts w:ascii="Times New Roman" w:hAnsi="Times New Roman" w:cs="Times New Roman"/>
          <w:sz w:val="28"/>
          <w:szCs w:val="28"/>
          <w:lang w:val="uk-UA"/>
        </w:rPr>
        <w:t>проблеми</w:t>
      </w:r>
      <w:r w:rsidRPr="00042924">
        <w:rPr>
          <w:rFonts w:ascii="Times New Roman" w:hAnsi="Times New Roman" w:cs="Times New Roman"/>
          <w:sz w:val="28"/>
          <w:szCs w:val="28"/>
          <w:lang w:val="uk-UA"/>
        </w:rPr>
        <w:t>, що посилюють фінансові труднощі та ризики банкрутства</w:t>
      </w:r>
      <w:r w:rsidR="0039628C" w:rsidRPr="00042924">
        <w:rPr>
          <w:rFonts w:ascii="Times New Roman" w:hAnsi="Times New Roman" w:cs="Times New Roman"/>
          <w:sz w:val="28"/>
          <w:szCs w:val="28"/>
          <w:lang w:val="uk-UA"/>
        </w:rPr>
        <w:t xml:space="preserve"> українських під</w:t>
      </w:r>
      <w:r w:rsidR="007C4A77" w:rsidRPr="00042924">
        <w:rPr>
          <w:rFonts w:ascii="Times New Roman" w:hAnsi="Times New Roman" w:cs="Times New Roman"/>
          <w:sz w:val="28"/>
          <w:szCs w:val="28"/>
          <w:lang w:val="uk-UA"/>
        </w:rPr>
        <w:t>приємств</w:t>
      </w:r>
      <w:r w:rsidR="005844DA" w:rsidRPr="00042924">
        <w:rPr>
          <w:rFonts w:ascii="Times New Roman" w:hAnsi="Times New Roman" w:cs="Times New Roman"/>
          <w:sz w:val="28"/>
          <w:szCs w:val="28"/>
          <w:lang w:val="uk-UA"/>
        </w:rPr>
        <w:t>:</w:t>
      </w:r>
    </w:p>
    <w:p w14:paraId="78776C08"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 xml:space="preserve">Пряма шкода інфраструктурі: Росія навмисно завдала ударів по цивільній інфраструктурі, як-от електростанції, залізниці, мости та заводи. За даними Міністерства інфраструктури України, станом на </w:t>
      </w:r>
      <w:r w:rsidR="000643CB" w:rsidRPr="00BB02D1">
        <w:rPr>
          <w:rFonts w:ascii="Times New Roman" w:hAnsi="Times New Roman" w:cs="Times New Roman"/>
          <w:sz w:val="28"/>
          <w:szCs w:val="28"/>
          <w:lang w:val="uk-UA"/>
        </w:rPr>
        <w:t>вересень</w:t>
      </w:r>
      <w:r w:rsidRPr="00BB02D1">
        <w:rPr>
          <w:rFonts w:ascii="Times New Roman" w:hAnsi="Times New Roman" w:cs="Times New Roman"/>
          <w:sz w:val="28"/>
          <w:szCs w:val="28"/>
          <w:lang w:val="uk-UA"/>
        </w:rPr>
        <w:t xml:space="preserve"> 2022 року інфраструктурі було завдано збитків на суму понад 100 мільярдів доларів США, включаючи пошкодження понад </w:t>
      </w:r>
      <w:r w:rsidR="000643CB" w:rsidRPr="00BB02D1">
        <w:rPr>
          <w:rFonts w:ascii="Times New Roman" w:hAnsi="Times New Roman" w:cs="Times New Roman"/>
          <w:sz w:val="28"/>
          <w:szCs w:val="28"/>
          <w:lang w:val="uk-UA"/>
        </w:rPr>
        <w:t xml:space="preserve">25 тис. </w:t>
      </w:r>
      <w:r w:rsidRPr="00BB02D1">
        <w:rPr>
          <w:rFonts w:ascii="Times New Roman" w:hAnsi="Times New Roman" w:cs="Times New Roman"/>
          <w:sz w:val="28"/>
          <w:szCs w:val="28"/>
          <w:lang w:val="uk-UA"/>
        </w:rPr>
        <w:t>км доріг, 3</w:t>
      </w:r>
      <w:r w:rsidR="000643CB" w:rsidRPr="00BB02D1">
        <w:rPr>
          <w:rFonts w:ascii="Times New Roman" w:hAnsi="Times New Roman" w:cs="Times New Roman"/>
          <w:sz w:val="28"/>
          <w:szCs w:val="28"/>
          <w:lang w:val="uk-UA"/>
        </w:rPr>
        <w:t>15</w:t>
      </w:r>
      <w:r w:rsidRPr="00BB02D1">
        <w:rPr>
          <w:rFonts w:ascii="Times New Roman" w:hAnsi="Times New Roman" w:cs="Times New Roman"/>
          <w:sz w:val="28"/>
          <w:szCs w:val="28"/>
          <w:lang w:val="uk-UA"/>
        </w:rPr>
        <w:t xml:space="preserve"> мостів і 10 мільйонів квадратних метрів житла. Це перерізало основні транспортні артерії та серйозно порушило виробництво та ланцюги поставок.</w:t>
      </w:r>
    </w:p>
    <w:p w14:paraId="187856AF" w14:textId="77777777" w:rsidR="00AC2BAB" w:rsidRPr="00042924" w:rsidRDefault="00406246" w:rsidP="00F271C5">
      <w:pPr>
        <w:spacing w:after="0" w:line="240" w:lineRule="auto"/>
        <w:ind w:firstLine="709"/>
        <w:jc w:val="both"/>
        <w:rPr>
          <w:rFonts w:ascii="Times New Roman" w:hAnsi="Times New Roman" w:cs="Times New Roman"/>
          <w:sz w:val="28"/>
          <w:szCs w:val="28"/>
          <w:lang w:val="uk-UA"/>
        </w:rPr>
      </w:pPr>
      <w:r w:rsidRPr="00042924">
        <w:rPr>
          <w:noProof/>
          <w:lang w:eastAsia="ru-RU"/>
        </w:rPr>
        <w:drawing>
          <wp:anchor distT="0" distB="0" distL="114300" distR="114300" simplePos="0" relativeHeight="251665408" behindDoc="0" locked="0" layoutInCell="1" allowOverlap="1" wp14:anchorId="4A03E0A8" wp14:editId="11CE5EEE">
            <wp:simplePos x="0" y="0"/>
            <wp:positionH relativeFrom="column">
              <wp:posOffset>699770</wp:posOffset>
            </wp:positionH>
            <wp:positionV relativeFrom="paragraph">
              <wp:posOffset>266700</wp:posOffset>
            </wp:positionV>
            <wp:extent cx="5067300" cy="2217420"/>
            <wp:effectExtent l="0" t="0" r="0" b="0"/>
            <wp:wrapTopAndBottom/>
            <wp:docPr id="97222841" name="Діаграма 1">
              <a:extLst xmlns:a="http://schemas.openxmlformats.org/drawingml/2006/main">
                <a:ext uri="{FF2B5EF4-FFF2-40B4-BE49-F238E27FC236}">
                  <a16:creationId xmlns:a16="http://schemas.microsoft.com/office/drawing/2014/main" id="{9B2FF4E0-361F-C8BB-BC7E-CC8E739525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BA24114" w14:textId="77777777" w:rsidR="00DC2A0E" w:rsidRDefault="00406246" w:rsidP="00E9488B">
      <w:pPr>
        <w:spacing w:after="0" w:line="240" w:lineRule="auto"/>
        <w:jc w:val="center"/>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Рисунок 1.2 </w:t>
      </w:r>
      <w:r w:rsidR="00E9488B" w:rsidRPr="00042924">
        <w:rPr>
          <w:rFonts w:ascii="Times New Roman" w:hAnsi="Times New Roman" w:cs="Times New Roman"/>
          <w:sz w:val="28"/>
          <w:szCs w:val="28"/>
          <w:lang w:val="uk-UA"/>
        </w:rPr>
        <w:t>–</w:t>
      </w:r>
      <w:r w:rsidRPr="00042924">
        <w:rPr>
          <w:rFonts w:ascii="Times New Roman" w:hAnsi="Times New Roman" w:cs="Times New Roman"/>
          <w:sz w:val="28"/>
          <w:szCs w:val="28"/>
          <w:lang w:val="uk-UA"/>
        </w:rPr>
        <w:t xml:space="preserve"> </w:t>
      </w:r>
      <w:r w:rsidR="00E9488B" w:rsidRPr="00042924">
        <w:rPr>
          <w:rFonts w:ascii="Times New Roman" w:hAnsi="Times New Roman" w:cs="Times New Roman"/>
          <w:sz w:val="28"/>
          <w:szCs w:val="28"/>
          <w:lang w:val="uk-UA"/>
        </w:rPr>
        <w:t>Динаміка збиткових підприємств</w:t>
      </w:r>
      <w:r w:rsidR="00BA1F2B">
        <w:rPr>
          <w:rFonts w:ascii="Times New Roman" w:hAnsi="Times New Roman" w:cs="Times New Roman"/>
          <w:sz w:val="28"/>
          <w:szCs w:val="28"/>
          <w:lang w:val="uk-UA"/>
        </w:rPr>
        <w:t>, %</w:t>
      </w:r>
      <w:r w:rsidR="00246438" w:rsidRPr="00042924">
        <w:rPr>
          <w:rFonts w:ascii="Times New Roman" w:hAnsi="Times New Roman" w:cs="Times New Roman"/>
          <w:sz w:val="28"/>
          <w:szCs w:val="28"/>
          <w:lang w:val="uk-UA"/>
        </w:rPr>
        <w:t xml:space="preserve"> </w:t>
      </w:r>
    </w:p>
    <w:p w14:paraId="7AA77D5F" w14:textId="77777777" w:rsidR="00AC2BAB" w:rsidRPr="00042924" w:rsidRDefault="00DC2A0E" w:rsidP="00E9488B">
      <w:pPr>
        <w:spacing w:after="0" w:line="240" w:lineRule="auto"/>
        <w:jc w:val="center"/>
        <w:rPr>
          <w:rFonts w:ascii="Times New Roman" w:hAnsi="Times New Roman" w:cs="Times New Roman"/>
          <w:sz w:val="28"/>
          <w:szCs w:val="28"/>
          <w:lang w:val="uk-UA"/>
        </w:rPr>
      </w:pPr>
      <w:r w:rsidRPr="00DC2A0E">
        <w:rPr>
          <w:rFonts w:ascii="Times New Roman" w:hAnsi="Times New Roman" w:cs="Times New Roman"/>
          <w:sz w:val="28"/>
          <w:szCs w:val="28"/>
          <w:lang w:val="uk-UA"/>
        </w:rPr>
        <w:t xml:space="preserve">Джерело: </w:t>
      </w:r>
      <w:r w:rsidR="00246438" w:rsidRPr="00042924">
        <w:rPr>
          <w:rFonts w:ascii="Times New Roman" w:hAnsi="Times New Roman" w:cs="Times New Roman"/>
          <w:sz w:val="28"/>
          <w:szCs w:val="28"/>
          <w:lang w:val="uk-UA"/>
        </w:rPr>
        <w:t>[</w:t>
      </w:r>
      <w:r w:rsidR="002101E6" w:rsidRPr="00042924">
        <w:rPr>
          <w:rFonts w:ascii="Times New Roman" w:hAnsi="Times New Roman" w:cs="Times New Roman"/>
          <w:sz w:val="28"/>
          <w:szCs w:val="28"/>
          <w:lang w:val="uk-UA"/>
        </w:rPr>
        <w:t>3</w:t>
      </w:r>
      <w:r w:rsidR="00241080" w:rsidRPr="00042924">
        <w:rPr>
          <w:rFonts w:ascii="Times New Roman" w:hAnsi="Times New Roman" w:cs="Times New Roman"/>
          <w:sz w:val="28"/>
          <w:szCs w:val="28"/>
          <w:lang w:val="uk-UA"/>
        </w:rPr>
        <w:t>4</w:t>
      </w:r>
      <w:r w:rsidR="00246438" w:rsidRPr="00042924">
        <w:rPr>
          <w:rFonts w:ascii="Times New Roman" w:hAnsi="Times New Roman" w:cs="Times New Roman"/>
          <w:sz w:val="28"/>
          <w:szCs w:val="28"/>
          <w:lang w:val="uk-UA"/>
        </w:rPr>
        <w:t>]</w:t>
      </w:r>
    </w:p>
    <w:p w14:paraId="06818EF1" w14:textId="77777777" w:rsidR="00E9488B" w:rsidRPr="00042924" w:rsidRDefault="00E9488B" w:rsidP="00E9488B">
      <w:pPr>
        <w:spacing w:after="0" w:line="240" w:lineRule="auto"/>
        <w:jc w:val="center"/>
        <w:rPr>
          <w:rFonts w:ascii="Times New Roman" w:hAnsi="Times New Roman" w:cs="Times New Roman"/>
          <w:sz w:val="28"/>
          <w:szCs w:val="28"/>
          <w:lang w:val="uk-UA"/>
        </w:rPr>
      </w:pPr>
    </w:p>
    <w:p w14:paraId="3355568B" w14:textId="77777777" w:rsidR="00F271C5" w:rsidRPr="00BB02D1" w:rsidRDefault="00F271C5" w:rsidP="006278F3">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 xml:space="preserve">Втрата ринків: через блокування портів і перекриття сухопутних шляхів </w:t>
      </w:r>
      <w:r w:rsidR="00743666" w:rsidRPr="00BB02D1">
        <w:rPr>
          <w:rFonts w:ascii="Times New Roman" w:hAnsi="Times New Roman" w:cs="Times New Roman"/>
          <w:sz w:val="28"/>
          <w:szCs w:val="28"/>
          <w:lang w:val="uk-UA"/>
        </w:rPr>
        <w:t>темп зростання (зниження) експорту товарів</w:t>
      </w:r>
      <w:r w:rsidR="00C77600" w:rsidRPr="00BB02D1">
        <w:rPr>
          <w:rFonts w:ascii="Times New Roman" w:hAnsi="Times New Roman" w:cs="Times New Roman"/>
          <w:sz w:val="28"/>
          <w:szCs w:val="28"/>
          <w:lang w:val="uk-UA"/>
        </w:rPr>
        <w:t xml:space="preserve"> в У</w:t>
      </w:r>
      <w:r w:rsidRPr="00BB02D1">
        <w:rPr>
          <w:rFonts w:ascii="Times New Roman" w:hAnsi="Times New Roman" w:cs="Times New Roman"/>
          <w:sz w:val="28"/>
          <w:szCs w:val="28"/>
          <w:lang w:val="uk-UA"/>
        </w:rPr>
        <w:t>країн</w:t>
      </w:r>
      <w:r w:rsidR="00C77600" w:rsidRPr="00BB02D1">
        <w:rPr>
          <w:rFonts w:ascii="Times New Roman" w:hAnsi="Times New Roman" w:cs="Times New Roman"/>
          <w:sz w:val="28"/>
          <w:szCs w:val="28"/>
          <w:lang w:val="uk-UA"/>
        </w:rPr>
        <w:t>і</w:t>
      </w:r>
      <w:r w:rsidRPr="00BB02D1">
        <w:rPr>
          <w:rFonts w:ascii="Times New Roman" w:hAnsi="Times New Roman" w:cs="Times New Roman"/>
          <w:sz w:val="28"/>
          <w:szCs w:val="28"/>
          <w:lang w:val="uk-UA"/>
        </w:rPr>
        <w:t xml:space="preserve"> </w:t>
      </w:r>
      <w:r w:rsidR="00CC7340" w:rsidRPr="00BB02D1">
        <w:rPr>
          <w:rFonts w:ascii="Times New Roman" w:hAnsi="Times New Roman" w:cs="Times New Roman"/>
          <w:sz w:val="28"/>
          <w:szCs w:val="28"/>
          <w:lang w:val="uk-UA"/>
        </w:rPr>
        <w:t xml:space="preserve">знизився </w:t>
      </w:r>
      <w:r w:rsidRPr="00BB02D1">
        <w:rPr>
          <w:rFonts w:ascii="Times New Roman" w:hAnsi="Times New Roman" w:cs="Times New Roman"/>
          <w:sz w:val="28"/>
          <w:szCs w:val="28"/>
          <w:lang w:val="uk-UA"/>
        </w:rPr>
        <w:t xml:space="preserve">більш ніж на </w:t>
      </w:r>
      <w:r w:rsidR="00F500A6" w:rsidRPr="00BB02D1">
        <w:rPr>
          <w:rFonts w:ascii="Times New Roman" w:hAnsi="Times New Roman" w:cs="Times New Roman"/>
          <w:sz w:val="28"/>
          <w:szCs w:val="28"/>
          <w:lang w:val="uk-UA"/>
        </w:rPr>
        <w:t>100</w:t>
      </w:r>
      <w:r w:rsidRPr="00BB02D1">
        <w:rPr>
          <w:rFonts w:ascii="Times New Roman" w:hAnsi="Times New Roman" w:cs="Times New Roman"/>
          <w:sz w:val="28"/>
          <w:szCs w:val="28"/>
          <w:lang w:val="uk-UA"/>
        </w:rPr>
        <w:t xml:space="preserve">% з </w:t>
      </w:r>
      <w:r w:rsidR="003332D1" w:rsidRPr="00BB02D1">
        <w:rPr>
          <w:rFonts w:ascii="Times New Roman" w:hAnsi="Times New Roman" w:cs="Times New Roman"/>
          <w:sz w:val="28"/>
          <w:szCs w:val="28"/>
          <w:lang w:val="uk-UA"/>
        </w:rPr>
        <w:t xml:space="preserve">153,0% </w:t>
      </w:r>
      <w:r w:rsidRPr="00BB02D1">
        <w:rPr>
          <w:rFonts w:ascii="Times New Roman" w:hAnsi="Times New Roman" w:cs="Times New Roman"/>
          <w:sz w:val="28"/>
          <w:szCs w:val="28"/>
          <w:lang w:val="uk-UA"/>
        </w:rPr>
        <w:t>на</w:t>
      </w:r>
      <w:r w:rsidR="003332D1" w:rsidRPr="00BB02D1">
        <w:rPr>
          <w:rFonts w:ascii="Times New Roman" w:hAnsi="Times New Roman" w:cs="Times New Roman"/>
          <w:sz w:val="28"/>
          <w:szCs w:val="28"/>
          <w:lang w:val="uk-UA"/>
        </w:rPr>
        <w:t xml:space="preserve"> січень 2022 р.</w:t>
      </w:r>
      <w:r w:rsidRPr="00BB02D1">
        <w:rPr>
          <w:rFonts w:ascii="Times New Roman" w:hAnsi="Times New Roman" w:cs="Times New Roman"/>
          <w:sz w:val="28"/>
          <w:szCs w:val="28"/>
          <w:lang w:val="uk-UA"/>
        </w:rPr>
        <w:t xml:space="preserve"> до</w:t>
      </w:r>
      <w:r w:rsidR="003332D1" w:rsidRPr="00BB02D1">
        <w:rPr>
          <w:rFonts w:ascii="Times New Roman" w:hAnsi="Times New Roman" w:cs="Times New Roman"/>
          <w:sz w:val="28"/>
          <w:szCs w:val="28"/>
          <w:lang w:val="uk-UA"/>
        </w:rPr>
        <w:t xml:space="preserve"> 52,1</w:t>
      </w:r>
      <w:r w:rsidR="006278F3" w:rsidRPr="00BB02D1">
        <w:rPr>
          <w:rFonts w:ascii="Times New Roman" w:hAnsi="Times New Roman" w:cs="Times New Roman"/>
          <w:sz w:val="28"/>
          <w:szCs w:val="28"/>
          <w:lang w:val="uk-UA"/>
        </w:rPr>
        <w:t>% на січень 2023 р.</w:t>
      </w:r>
      <w:r w:rsidRPr="00BB02D1">
        <w:rPr>
          <w:rFonts w:ascii="Times New Roman" w:hAnsi="Times New Roman" w:cs="Times New Roman"/>
          <w:sz w:val="28"/>
          <w:szCs w:val="28"/>
          <w:lang w:val="uk-UA"/>
        </w:rPr>
        <w:t xml:space="preserve">, згідно з даними </w:t>
      </w:r>
      <w:r w:rsidR="006278F3" w:rsidRPr="00BB02D1">
        <w:rPr>
          <w:rFonts w:ascii="Times New Roman" w:hAnsi="Times New Roman" w:cs="Times New Roman"/>
          <w:sz w:val="28"/>
          <w:szCs w:val="28"/>
          <w:lang w:val="uk-UA"/>
        </w:rPr>
        <w:t>державної служби статистики України</w:t>
      </w:r>
      <w:r w:rsidR="00CC7340" w:rsidRPr="00BB02D1">
        <w:rPr>
          <w:rFonts w:ascii="Times New Roman" w:hAnsi="Times New Roman" w:cs="Times New Roman"/>
          <w:sz w:val="28"/>
          <w:szCs w:val="28"/>
          <w:lang w:val="uk-UA"/>
        </w:rPr>
        <w:t xml:space="preserve"> (рис.1.</w:t>
      </w:r>
      <w:r w:rsidR="00004F31" w:rsidRPr="00BB02D1">
        <w:rPr>
          <w:rFonts w:ascii="Times New Roman" w:hAnsi="Times New Roman" w:cs="Times New Roman"/>
          <w:sz w:val="28"/>
          <w:szCs w:val="28"/>
          <w:lang w:val="uk-UA"/>
        </w:rPr>
        <w:t>3</w:t>
      </w:r>
      <w:r w:rsidR="00CC7340" w:rsidRPr="00BB02D1">
        <w:rPr>
          <w:rFonts w:ascii="Times New Roman" w:hAnsi="Times New Roman" w:cs="Times New Roman"/>
          <w:sz w:val="28"/>
          <w:szCs w:val="28"/>
          <w:lang w:val="uk-UA"/>
        </w:rPr>
        <w:t>)</w:t>
      </w:r>
      <w:r w:rsidRPr="00BB02D1">
        <w:rPr>
          <w:rFonts w:ascii="Times New Roman" w:hAnsi="Times New Roman" w:cs="Times New Roman"/>
          <w:sz w:val="28"/>
          <w:szCs w:val="28"/>
          <w:lang w:val="uk-UA"/>
        </w:rPr>
        <w:t xml:space="preserve">. Основні експортні галузі, такі як металургія, сільське господарство та машинобудування, сильно постраждали. </w:t>
      </w:r>
    </w:p>
    <w:p w14:paraId="6BE5E5AA" w14:textId="77777777" w:rsidR="00385185" w:rsidRPr="00042924" w:rsidRDefault="00385185" w:rsidP="00F271C5">
      <w:pPr>
        <w:spacing w:after="0" w:line="240" w:lineRule="auto"/>
        <w:ind w:firstLine="709"/>
        <w:jc w:val="both"/>
        <w:rPr>
          <w:rFonts w:ascii="Times New Roman" w:hAnsi="Times New Roman" w:cs="Times New Roman"/>
          <w:sz w:val="28"/>
          <w:szCs w:val="28"/>
          <w:lang w:val="uk-UA"/>
        </w:rPr>
      </w:pPr>
    </w:p>
    <w:p w14:paraId="6DA89C6C" w14:textId="77777777" w:rsidR="00385185" w:rsidRPr="00042924" w:rsidRDefault="00385185" w:rsidP="00D00274">
      <w:pPr>
        <w:spacing w:after="0" w:line="240" w:lineRule="auto"/>
        <w:ind w:firstLine="709"/>
        <w:rPr>
          <w:rFonts w:ascii="Times New Roman" w:hAnsi="Times New Roman" w:cs="Times New Roman"/>
          <w:sz w:val="28"/>
          <w:szCs w:val="28"/>
          <w:lang w:val="uk-UA"/>
        </w:rPr>
      </w:pPr>
      <w:r w:rsidRPr="00042924">
        <w:rPr>
          <w:noProof/>
          <w:sz w:val="28"/>
          <w:szCs w:val="28"/>
          <w:lang w:eastAsia="ru-RU"/>
        </w:rPr>
        <w:drawing>
          <wp:inline distT="0" distB="0" distL="0" distR="0" wp14:anchorId="351C9865" wp14:editId="250F1C8E">
            <wp:extent cx="5351780" cy="2255520"/>
            <wp:effectExtent l="0" t="0" r="1270" b="0"/>
            <wp:docPr id="3" name="Об'є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85CA33" w14:textId="77777777" w:rsidR="00DC2A0E" w:rsidRDefault="00FF21F2" w:rsidP="000D4C74">
      <w:pPr>
        <w:spacing w:after="0" w:line="240" w:lineRule="auto"/>
        <w:jc w:val="center"/>
        <w:rPr>
          <w:rFonts w:ascii="Times New Roman" w:hAnsi="Times New Roman" w:cs="Times New Roman"/>
          <w:sz w:val="28"/>
          <w:szCs w:val="28"/>
          <w:lang w:val="uk-UA"/>
        </w:rPr>
      </w:pPr>
      <w:r w:rsidRPr="00042924">
        <w:rPr>
          <w:rFonts w:ascii="Times New Roman" w:hAnsi="Times New Roman" w:cs="Times New Roman"/>
          <w:sz w:val="28"/>
          <w:szCs w:val="28"/>
          <w:lang w:val="uk-UA"/>
        </w:rPr>
        <w:t>Рисунок 1.</w:t>
      </w:r>
      <w:r w:rsidR="00406246" w:rsidRPr="00042924">
        <w:rPr>
          <w:rFonts w:ascii="Times New Roman" w:hAnsi="Times New Roman" w:cs="Times New Roman"/>
          <w:sz w:val="28"/>
          <w:szCs w:val="28"/>
          <w:lang w:val="uk-UA"/>
        </w:rPr>
        <w:t>3</w:t>
      </w:r>
      <w:r w:rsidRPr="00042924">
        <w:rPr>
          <w:rFonts w:ascii="Times New Roman" w:hAnsi="Times New Roman" w:cs="Times New Roman"/>
          <w:sz w:val="28"/>
          <w:szCs w:val="28"/>
          <w:lang w:val="uk-UA"/>
        </w:rPr>
        <w:t xml:space="preserve"> - Темпи зростання (зниження) експорту товарів</w:t>
      </w:r>
      <w:r w:rsidR="00BA1F2B">
        <w:rPr>
          <w:rFonts w:ascii="Times New Roman" w:hAnsi="Times New Roman" w:cs="Times New Roman"/>
          <w:sz w:val="28"/>
          <w:szCs w:val="28"/>
          <w:lang w:val="uk-UA"/>
        </w:rPr>
        <w:t>, %</w:t>
      </w:r>
      <w:r w:rsidR="00F347E0" w:rsidRPr="00042924">
        <w:rPr>
          <w:rFonts w:ascii="Times New Roman" w:hAnsi="Times New Roman" w:cs="Times New Roman"/>
          <w:sz w:val="28"/>
          <w:szCs w:val="28"/>
          <w:lang w:val="uk-UA"/>
        </w:rPr>
        <w:t xml:space="preserve"> </w:t>
      </w:r>
    </w:p>
    <w:p w14:paraId="3FAB072E" w14:textId="77777777" w:rsidR="00FF21F2" w:rsidRPr="00042924" w:rsidRDefault="00DC2A0E" w:rsidP="000D4C74">
      <w:pPr>
        <w:spacing w:after="0" w:line="240" w:lineRule="auto"/>
        <w:jc w:val="center"/>
        <w:rPr>
          <w:rFonts w:ascii="Times New Roman" w:hAnsi="Times New Roman" w:cs="Times New Roman"/>
          <w:sz w:val="28"/>
          <w:szCs w:val="28"/>
          <w:lang w:val="uk-UA"/>
        </w:rPr>
      </w:pPr>
      <w:r w:rsidRPr="00DC2A0E">
        <w:rPr>
          <w:rFonts w:ascii="Times New Roman" w:hAnsi="Times New Roman" w:cs="Times New Roman"/>
          <w:sz w:val="28"/>
          <w:szCs w:val="28"/>
          <w:lang w:val="uk-UA"/>
        </w:rPr>
        <w:t xml:space="preserve">Джерело: </w:t>
      </w:r>
      <w:r w:rsidR="00F347E0" w:rsidRPr="00042924">
        <w:rPr>
          <w:rFonts w:ascii="Times New Roman" w:hAnsi="Times New Roman" w:cs="Times New Roman"/>
          <w:sz w:val="28"/>
          <w:szCs w:val="28"/>
          <w:lang w:val="uk-UA"/>
        </w:rPr>
        <w:t>[</w:t>
      </w:r>
      <w:r w:rsidR="00E3575B" w:rsidRPr="00042924">
        <w:rPr>
          <w:rFonts w:ascii="Times New Roman" w:hAnsi="Times New Roman" w:cs="Times New Roman"/>
          <w:sz w:val="28"/>
          <w:szCs w:val="28"/>
          <w:lang w:val="uk-UA"/>
        </w:rPr>
        <w:t>34</w:t>
      </w:r>
      <w:r w:rsidR="00F347E0" w:rsidRPr="00042924">
        <w:rPr>
          <w:rFonts w:ascii="Times New Roman" w:hAnsi="Times New Roman" w:cs="Times New Roman"/>
          <w:sz w:val="28"/>
          <w:szCs w:val="28"/>
          <w:lang w:val="uk-UA"/>
        </w:rPr>
        <w:t>]</w:t>
      </w:r>
    </w:p>
    <w:p w14:paraId="1F3F44E8"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lastRenderedPageBreak/>
        <w:t>Порушені ланцюжки поставок: ресурси від пошкоджених або недоступних вітчизняних постачальників вичерпалися. Імпорт із Росії та Білорусі, який раніше становив 30% українського імпорту, припинено. Це залишає багато компаній без необхідної сировини, деталей і компонентів. Лише 10-15% необхідного щомісячного імпорту надходить до України станом на вересень 2022 року, за даними українського уряду, що оцінюється лише в 3 мільярди доларів проти 10 мільярдів доларів до війни.</w:t>
      </w:r>
    </w:p>
    <w:p w14:paraId="59433FE9"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Відтік робочої сили: понад 14 мільйонів українців покинули країну, а до 9 мільйонів є внутрішньо переміщеними особами. За оцінками МВФ, у зв’язку з інтенсивним призовом на військову службу покинули більше третини працівників великих фірм і до половини працівників малого бізнесу. У результаті виникає критична нестача робочої сили, і, за оцінками Міністерства економіки України, потрібні до 3 мільйонів нових працівників.</w:t>
      </w:r>
    </w:p>
    <w:p w14:paraId="03F7C05D"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 xml:space="preserve">Брак капіталу: Світовий банк повідомляє про скорочення економіки України на </w:t>
      </w:r>
      <w:r w:rsidR="000711EC" w:rsidRPr="00BB02D1">
        <w:rPr>
          <w:rFonts w:ascii="Times New Roman" w:hAnsi="Times New Roman" w:cs="Times New Roman"/>
          <w:sz w:val="28"/>
          <w:szCs w:val="28"/>
          <w:lang w:val="uk-UA"/>
        </w:rPr>
        <w:t>29,1</w:t>
      </w:r>
      <w:r w:rsidRPr="00BB02D1">
        <w:rPr>
          <w:rFonts w:ascii="Times New Roman" w:hAnsi="Times New Roman" w:cs="Times New Roman"/>
          <w:sz w:val="28"/>
          <w:szCs w:val="28"/>
          <w:lang w:val="uk-UA"/>
        </w:rPr>
        <w:t xml:space="preserve">% у 2022 році, що відповідає скороченню ВВП на понад </w:t>
      </w:r>
      <w:r w:rsidR="00713324" w:rsidRPr="00BB02D1">
        <w:rPr>
          <w:rFonts w:ascii="Times New Roman" w:hAnsi="Times New Roman" w:cs="Times New Roman"/>
          <w:sz w:val="28"/>
          <w:szCs w:val="28"/>
          <w:lang w:val="uk-UA"/>
        </w:rPr>
        <w:t>2</w:t>
      </w:r>
      <w:r w:rsidRPr="00BB02D1">
        <w:rPr>
          <w:rFonts w:ascii="Times New Roman" w:hAnsi="Times New Roman" w:cs="Times New Roman"/>
          <w:sz w:val="28"/>
          <w:szCs w:val="28"/>
          <w:lang w:val="uk-UA"/>
        </w:rPr>
        <w:t xml:space="preserve">00 мільярдів доларів. </w:t>
      </w:r>
      <w:r w:rsidR="00321273" w:rsidRPr="00BB02D1">
        <w:rPr>
          <w:rFonts w:ascii="Times New Roman" w:hAnsi="Times New Roman" w:cs="Times New Roman"/>
          <w:sz w:val="28"/>
          <w:szCs w:val="28"/>
          <w:lang w:val="uk-UA"/>
        </w:rPr>
        <w:t>Обсяг кредитування банками економіки з січня по липень 2022 року скоротився на 28%. Через війну та фінансові труднощі частка непрацюючих кредитів зросла до 30%, а доступ до зовнішнього фінансування обмежений. Це зумовлює нестачу інвестицій та обігових коштів для компаній</w:t>
      </w:r>
      <w:r w:rsidRPr="00BB02D1">
        <w:rPr>
          <w:rFonts w:ascii="Times New Roman" w:hAnsi="Times New Roman" w:cs="Times New Roman"/>
          <w:sz w:val="28"/>
          <w:szCs w:val="28"/>
          <w:lang w:val="uk-UA"/>
        </w:rPr>
        <w:t>.</w:t>
      </w:r>
    </w:p>
    <w:p w14:paraId="529B66C8"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 xml:space="preserve">Знецінення валюти: у 2022 році гривня втратила </w:t>
      </w:r>
      <w:r w:rsidR="008E5BD7" w:rsidRPr="00BB02D1">
        <w:rPr>
          <w:rFonts w:ascii="Times New Roman" w:hAnsi="Times New Roman" w:cs="Times New Roman"/>
          <w:sz w:val="28"/>
          <w:szCs w:val="28"/>
          <w:lang w:val="uk-UA"/>
        </w:rPr>
        <w:t>30</w:t>
      </w:r>
      <w:r w:rsidRPr="00BB02D1">
        <w:rPr>
          <w:rFonts w:ascii="Times New Roman" w:hAnsi="Times New Roman" w:cs="Times New Roman"/>
          <w:sz w:val="28"/>
          <w:szCs w:val="28"/>
          <w:lang w:val="uk-UA"/>
        </w:rPr>
        <w:t xml:space="preserve">% своєї вартості по відношенню до долара. </w:t>
      </w:r>
      <w:r w:rsidR="00176AFD" w:rsidRPr="00BB02D1">
        <w:rPr>
          <w:rFonts w:ascii="Times New Roman" w:hAnsi="Times New Roman" w:cs="Times New Roman"/>
          <w:sz w:val="28"/>
          <w:szCs w:val="28"/>
          <w:lang w:val="uk-UA"/>
        </w:rPr>
        <w:t>Це значно збільшило витрати на імпорт та обслуговування валютних боргів. За оцінками НБУ, покриття експортної виручкою імпорту товарів складає 60%, що створює дефіцит та тиск на курс гривні</w:t>
      </w:r>
      <w:r w:rsidRPr="00BB02D1">
        <w:rPr>
          <w:rFonts w:ascii="Times New Roman" w:hAnsi="Times New Roman" w:cs="Times New Roman"/>
          <w:sz w:val="28"/>
          <w:szCs w:val="28"/>
          <w:lang w:val="uk-UA"/>
        </w:rPr>
        <w:t>.</w:t>
      </w:r>
    </w:p>
    <w:p w14:paraId="2EC2ECEF"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 xml:space="preserve">Збої в електропостачанні: згідно з урядовими звітами, російські удари пошкодили </w:t>
      </w:r>
      <w:r w:rsidR="00327D0D" w:rsidRPr="00BB02D1">
        <w:rPr>
          <w:rFonts w:ascii="Times New Roman" w:hAnsi="Times New Roman" w:cs="Times New Roman"/>
          <w:sz w:val="28"/>
          <w:szCs w:val="28"/>
          <w:lang w:val="uk-UA"/>
        </w:rPr>
        <w:t>40-50</w:t>
      </w:r>
      <w:r w:rsidRPr="00BB02D1">
        <w:rPr>
          <w:rFonts w:ascii="Times New Roman" w:hAnsi="Times New Roman" w:cs="Times New Roman"/>
          <w:sz w:val="28"/>
          <w:szCs w:val="28"/>
          <w:lang w:val="uk-UA"/>
        </w:rPr>
        <w:t>% енергетичної інфраструктури України, включаючи тепло- та гідрогенерацію, системи передачі та розподільні мережі. Регулярні відключення електроенергії порушують виробництво, а станом на вересень 2022 року витрати на електроенергію для підприємств зросли понад 220% за рік.</w:t>
      </w:r>
    </w:p>
    <w:p w14:paraId="07086458" w14:textId="77777777" w:rsidR="00F271C5" w:rsidRPr="00BB02D1" w:rsidRDefault="00F271C5"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Послаблення попиту: ВВП України скоротиться на 3</w:t>
      </w:r>
      <w:r w:rsidR="009D3730" w:rsidRPr="00BB02D1">
        <w:rPr>
          <w:rFonts w:ascii="Times New Roman" w:hAnsi="Times New Roman" w:cs="Times New Roman"/>
          <w:sz w:val="28"/>
          <w:szCs w:val="28"/>
          <w:lang w:val="uk-UA"/>
        </w:rPr>
        <w:t>0</w:t>
      </w:r>
      <w:r w:rsidRPr="00BB02D1">
        <w:rPr>
          <w:rFonts w:ascii="Times New Roman" w:hAnsi="Times New Roman" w:cs="Times New Roman"/>
          <w:sz w:val="28"/>
          <w:szCs w:val="28"/>
          <w:lang w:val="uk-UA"/>
        </w:rPr>
        <w:t xml:space="preserve">% у 2022 році, а інфляція </w:t>
      </w:r>
      <w:r w:rsidR="00B963E3" w:rsidRPr="00BB02D1">
        <w:rPr>
          <w:rFonts w:ascii="Times New Roman" w:hAnsi="Times New Roman" w:cs="Times New Roman"/>
          <w:sz w:val="28"/>
          <w:szCs w:val="28"/>
          <w:lang w:val="uk-UA"/>
        </w:rPr>
        <w:t>зросла на</w:t>
      </w:r>
      <w:r w:rsidRPr="00BB02D1">
        <w:rPr>
          <w:rFonts w:ascii="Times New Roman" w:hAnsi="Times New Roman" w:cs="Times New Roman"/>
          <w:sz w:val="28"/>
          <w:szCs w:val="28"/>
          <w:lang w:val="uk-UA"/>
        </w:rPr>
        <w:t xml:space="preserve"> </w:t>
      </w:r>
      <w:r w:rsidR="00B963E3" w:rsidRPr="00BB02D1">
        <w:rPr>
          <w:rFonts w:ascii="Times New Roman" w:hAnsi="Times New Roman" w:cs="Times New Roman"/>
          <w:sz w:val="28"/>
          <w:szCs w:val="28"/>
          <w:lang w:val="uk-UA"/>
        </w:rPr>
        <w:t>15</w:t>
      </w:r>
      <w:r w:rsidRPr="00BB02D1">
        <w:rPr>
          <w:rFonts w:ascii="Times New Roman" w:hAnsi="Times New Roman" w:cs="Times New Roman"/>
          <w:sz w:val="28"/>
          <w:szCs w:val="28"/>
          <w:lang w:val="uk-UA"/>
        </w:rPr>
        <w:t xml:space="preserve">%. Високий рівень невизначеності та падіння реальної заробітної плати скоротили витрати споживачів і підприємств. У 2022 року </w:t>
      </w:r>
      <w:r w:rsidR="00276265" w:rsidRPr="00BB02D1">
        <w:rPr>
          <w:rFonts w:ascii="Times New Roman" w:hAnsi="Times New Roman" w:cs="Times New Roman"/>
          <w:sz w:val="28"/>
          <w:szCs w:val="28"/>
          <w:lang w:val="uk-UA"/>
        </w:rPr>
        <w:t xml:space="preserve">дохід від </w:t>
      </w:r>
      <w:r w:rsidRPr="00BB02D1">
        <w:rPr>
          <w:rFonts w:ascii="Times New Roman" w:hAnsi="Times New Roman" w:cs="Times New Roman"/>
          <w:sz w:val="28"/>
          <w:szCs w:val="28"/>
          <w:lang w:val="uk-UA"/>
        </w:rPr>
        <w:t xml:space="preserve">роздрібні </w:t>
      </w:r>
      <w:r w:rsidR="00276265" w:rsidRPr="00BB02D1">
        <w:rPr>
          <w:rFonts w:ascii="Times New Roman" w:hAnsi="Times New Roman" w:cs="Times New Roman"/>
          <w:sz w:val="28"/>
          <w:szCs w:val="28"/>
          <w:lang w:val="uk-UA"/>
        </w:rPr>
        <w:t>торгівлі</w:t>
      </w:r>
      <w:r w:rsidRPr="00BB02D1">
        <w:rPr>
          <w:rFonts w:ascii="Times New Roman" w:hAnsi="Times New Roman" w:cs="Times New Roman"/>
          <w:sz w:val="28"/>
          <w:szCs w:val="28"/>
          <w:lang w:val="uk-UA"/>
        </w:rPr>
        <w:t xml:space="preserve"> впали на 3</w:t>
      </w:r>
      <w:r w:rsidR="00DE4A18" w:rsidRPr="00BB02D1">
        <w:rPr>
          <w:rFonts w:ascii="Times New Roman" w:hAnsi="Times New Roman" w:cs="Times New Roman"/>
          <w:sz w:val="28"/>
          <w:szCs w:val="28"/>
          <w:lang w:val="uk-UA"/>
        </w:rPr>
        <w:t>,67</w:t>
      </w:r>
      <w:r w:rsidRPr="00BB02D1">
        <w:rPr>
          <w:rFonts w:ascii="Times New Roman" w:hAnsi="Times New Roman" w:cs="Times New Roman"/>
          <w:sz w:val="28"/>
          <w:szCs w:val="28"/>
          <w:lang w:val="uk-UA"/>
        </w:rPr>
        <w:t>% порівняно з роком раніше</w:t>
      </w:r>
      <w:r w:rsidR="00DE4A18" w:rsidRPr="00BB02D1">
        <w:rPr>
          <w:rFonts w:ascii="Times New Roman" w:hAnsi="Times New Roman" w:cs="Times New Roman"/>
          <w:sz w:val="28"/>
          <w:szCs w:val="28"/>
          <w:lang w:val="uk-UA"/>
        </w:rPr>
        <w:t xml:space="preserve">, </w:t>
      </w:r>
      <w:r w:rsidR="004B305F" w:rsidRPr="00BB02D1">
        <w:rPr>
          <w:rFonts w:ascii="Times New Roman" w:hAnsi="Times New Roman" w:cs="Times New Roman"/>
          <w:sz w:val="28"/>
          <w:szCs w:val="28"/>
          <w:lang w:val="uk-UA"/>
        </w:rPr>
        <w:t>з урахуванням того що минулі роки він постійно зростав</w:t>
      </w:r>
      <w:r w:rsidR="00D044AB" w:rsidRPr="00BB02D1">
        <w:rPr>
          <w:rFonts w:ascii="Times New Roman" w:hAnsi="Times New Roman" w:cs="Times New Roman"/>
          <w:sz w:val="28"/>
          <w:szCs w:val="28"/>
          <w:lang w:val="uk-UA"/>
        </w:rPr>
        <w:t xml:space="preserve"> на 20% кожного року</w:t>
      </w:r>
      <w:r w:rsidRPr="00BB02D1">
        <w:rPr>
          <w:rFonts w:ascii="Times New Roman" w:hAnsi="Times New Roman" w:cs="Times New Roman"/>
          <w:sz w:val="28"/>
          <w:szCs w:val="28"/>
          <w:lang w:val="uk-UA"/>
        </w:rPr>
        <w:t>.</w:t>
      </w:r>
    </w:p>
    <w:p w14:paraId="67FE3D70" w14:textId="77777777" w:rsidR="00F271C5" w:rsidRPr="00BB02D1" w:rsidRDefault="001E6F10" w:rsidP="00F271C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Посилення регулювання/оподаткування: Уряд запровадив податки на додатковий прибуток для нафтогазового та фінансового секторів, тимчасово призупинив виплату дивідендів державними підприємствами та вжив заходів для підтримки оборонної промисловості. Це створює додаткове навантаження для бізнесу. Ставка податку на прибуток підприємств у 2022 році залишилася на рівні 18%, як і до війни. Водночас частка податку на прибуток у доходах держбюджету зросла з 10% до початку війни до орієнтовно 15% у 2022 році</w:t>
      </w:r>
      <w:r w:rsidR="00F271C5" w:rsidRPr="00BB02D1">
        <w:rPr>
          <w:rFonts w:ascii="Times New Roman" w:hAnsi="Times New Roman" w:cs="Times New Roman"/>
          <w:sz w:val="28"/>
          <w:szCs w:val="28"/>
          <w:lang w:val="uk-UA"/>
        </w:rPr>
        <w:t>.</w:t>
      </w:r>
    </w:p>
    <w:p w14:paraId="1F87D7BE" w14:textId="77777777" w:rsidR="00620D15" w:rsidRPr="00042924" w:rsidRDefault="00F271C5" w:rsidP="00620D15">
      <w:pPr>
        <w:spacing w:after="0" w:line="240" w:lineRule="auto"/>
        <w:ind w:firstLine="709"/>
        <w:jc w:val="both"/>
        <w:rPr>
          <w:rFonts w:ascii="Times New Roman" w:hAnsi="Times New Roman" w:cs="Times New Roman"/>
          <w:sz w:val="28"/>
          <w:szCs w:val="28"/>
          <w:lang w:val="uk-UA"/>
        </w:rPr>
      </w:pPr>
      <w:r w:rsidRPr="00BB02D1">
        <w:rPr>
          <w:rFonts w:ascii="Times New Roman" w:hAnsi="Times New Roman" w:cs="Times New Roman"/>
          <w:sz w:val="28"/>
          <w:szCs w:val="28"/>
          <w:lang w:val="uk-UA"/>
        </w:rPr>
        <w:t xml:space="preserve">З огляду на цю суміш приголомшливих проблем, </w:t>
      </w:r>
      <w:r w:rsidR="00620D15" w:rsidRPr="00BB02D1">
        <w:rPr>
          <w:rFonts w:ascii="Times New Roman" w:hAnsi="Times New Roman" w:cs="Times New Roman"/>
          <w:sz w:val="28"/>
          <w:szCs w:val="28"/>
          <w:lang w:val="uk-UA"/>
        </w:rPr>
        <w:t>пов'язаних із воєнно-політичною ситуацією, яка торкнулася України, велика частина українських підприємств стає об'єктом потенційних банкрутств. Викликані цими негараздами, компанії постраждали в економічному плані, що відображається у даних,</w:t>
      </w:r>
      <w:r w:rsidR="00620D15" w:rsidRPr="00042924">
        <w:rPr>
          <w:rFonts w:ascii="Times New Roman" w:hAnsi="Times New Roman" w:cs="Times New Roman"/>
          <w:sz w:val="28"/>
          <w:szCs w:val="28"/>
          <w:lang w:val="uk-UA"/>
        </w:rPr>
        <w:t xml:space="preserve"> </w:t>
      </w:r>
      <w:r w:rsidR="00620D15" w:rsidRPr="00042924">
        <w:rPr>
          <w:rFonts w:ascii="Times New Roman" w:hAnsi="Times New Roman" w:cs="Times New Roman"/>
          <w:sz w:val="28"/>
          <w:szCs w:val="28"/>
          <w:lang w:val="uk-UA"/>
        </w:rPr>
        <w:lastRenderedPageBreak/>
        <w:t>представлених Національним банком України. За останніми відомостями, половина українських компаній на сьогоднішній день зазнає фінансових втрат.</w:t>
      </w:r>
    </w:p>
    <w:p w14:paraId="396C56A3" w14:textId="77777777" w:rsidR="00620D15" w:rsidRPr="00042924" w:rsidRDefault="00530ED7" w:rsidP="00620D15">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Проведений а</w:t>
      </w:r>
      <w:r w:rsidR="00620D15" w:rsidRPr="00042924">
        <w:rPr>
          <w:rFonts w:ascii="Times New Roman" w:hAnsi="Times New Roman" w:cs="Times New Roman"/>
          <w:sz w:val="28"/>
          <w:szCs w:val="28"/>
          <w:lang w:val="uk-UA"/>
        </w:rPr>
        <w:t>наліз</w:t>
      </w:r>
      <w:r w:rsidRPr="00042924">
        <w:rPr>
          <w:rFonts w:ascii="Times New Roman" w:hAnsi="Times New Roman" w:cs="Times New Roman"/>
          <w:sz w:val="28"/>
          <w:szCs w:val="28"/>
          <w:lang w:val="uk-UA"/>
        </w:rPr>
        <w:t xml:space="preserve"> ризиків дефолту України</w:t>
      </w:r>
      <w:r w:rsidR="00620D15" w:rsidRPr="00042924">
        <w:rPr>
          <w:rFonts w:ascii="Times New Roman" w:hAnsi="Times New Roman" w:cs="Times New Roman"/>
          <w:sz w:val="28"/>
          <w:szCs w:val="28"/>
          <w:lang w:val="uk-UA"/>
        </w:rPr>
        <w:t xml:space="preserve"> агентств</w:t>
      </w:r>
      <w:r w:rsidR="001C2D91" w:rsidRPr="00042924">
        <w:rPr>
          <w:rFonts w:ascii="Times New Roman" w:hAnsi="Times New Roman" w:cs="Times New Roman"/>
          <w:sz w:val="28"/>
          <w:szCs w:val="28"/>
          <w:lang w:val="uk-UA"/>
        </w:rPr>
        <w:t>ом</w:t>
      </w:r>
      <w:r w:rsidR="00620D15" w:rsidRPr="00042924">
        <w:rPr>
          <w:rFonts w:ascii="Times New Roman" w:hAnsi="Times New Roman" w:cs="Times New Roman"/>
          <w:sz w:val="28"/>
          <w:szCs w:val="28"/>
          <w:lang w:val="uk-UA"/>
        </w:rPr>
        <w:t xml:space="preserve"> </w:t>
      </w:r>
      <w:r w:rsidR="00620D15" w:rsidRPr="007106B1">
        <w:rPr>
          <w:rFonts w:ascii="Times New Roman" w:hAnsi="Times New Roman" w:cs="Times New Roman"/>
          <w:color w:val="000000" w:themeColor="text1"/>
          <w:sz w:val="28"/>
          <w:szCs w:val="28"/>
          <w:lang w:val="uk-UA"/>
        </w:rPr>
        <w:t>Fitch</w:t>
      </w:r>
      <w:r w:rsidR="007106B1" w:rsidRPr="007106B1">
        <w:rPr>
          <w:rFonts w:ascii="Times New Roman" w:hAnsi="Times New Roman" w:cs="Times New Roman"/>
          <w:color w:val="000000" w:themeColor="text1"/>
          <w:sz w:val="28"/>
          <w:szCs w:val="28"/>
          <w:lang w:val="uk-UA"/>
        </w:rPr>
        <w:t xml:space="preserve"> [38]</w:t>
      </w:r>
      <w:r w:rsidR="00620D15" w:rsidRPr="007106B1">
        <w:rPr>
          <w:rFonts w:ascii="Times New Roman" w:hAnsi="Times New Roman" w:cs="Times New Roman"/>
          <w:color w:val="000000" w:themeColor="text1"/>
          <w:sz w:val="28"/>
          <w:szCs w:val="28"/>
          <w:lang w:val="uk-UA"/>
        </w:rPr>
        <w:t xml:space="preserve"> додатково вказує на серйозний ризик дефолту від 30% до 50%, в той час як Європейський банк реконструкції та розвитку (ЄБРР) </w:t>
      </w:r>
      <w:r w:rsidR="007106B1" w:rsidRPr="007106B1">
        <w:rPr>
          <w:rFonts w:ascii="Times New Roman" w:hAnsi="Times New Roman" w:cs="Times New Roman"/>
          <w:color w:val="000000" w:themeColor="text1"/>
          <w:sz w:val="28"/>
          <w:szCs w:val="28"/>
          <w:lang w:val="uk-UA"/>
        </w:rPr>
        <w:t xml:space="preserve">[39] </w:t>
      </w:r>
      <w:r w:rsidR="00620D15" w:rsidRPr="007106B1">
        <w:rPr>
          <w:rFonts w:ascii="Times New Roman" w:hAnsi="Times New Roman" w:cs="Times New Roman"/>
          <w:color w:val="000000" w:themeColor="text1"/>
          <w:sz w:val="28"/>
          <w:szCs w:val="28"/>
          <w:lang w:val="uk-UA"/>
        </w:rPr>
        <w:t xml:space="preserve">зафіксував, що </w:t>
      </w:r>
      <w:r w:rsidR="00620D15" w:rsidRPr="00042924">
        <w:rPr>
          <w:rFonts w:ascii="Times New Roman" w:hAnsi="Times New Roman" w:cs="Times New Roman"/>
          <w:sz w:val="28"/>
          <w:szCs w:val="28"/>
          <w:lang w:val="uk-UA"/>
        </w:rPr>
        <w:t xml:space="preserve">55% підприємств мають проблеми з ліквідністю. Ці показники </w:t>
      </w:r>
      <w:r w:rsidR="005E1B0B">
        <w:rPr>
          <w:rFonts w:ascii="Times New Roman" w:hAnsi="Times New Roman" w:cs="Times New Roman"/>
          <w:sz w:val="28"/>
          <w:szCs w:val="28"/>
          <w:lang w:val="uk-UA"/>
        </w:rPr>
        <w:t>вказують на</w:t>
      </w:r>
      <w:r w:rsidR="00620D15" w:rsidRPr="00042924">
        <w:rPr>
          <w:rFonts w:ascii="Times New Roman" w:hAnsi="Times New Roman" w:cs="Times New Roman"/>
          <w:sz w:val="28"/>
          <w:szCs w:val="28"/>
          <w:lang w:val="uk-UA"/>
        </w:rPr>
        <w:t xml:space="preserve"> те, що економіка країни перебуває під великим тиском, і існує висока ймовірність того, що показники банкрутства та закриття компаній стрімко зростуть.</w:t>
      </w:r>
    </w:p>
    <w:p w14:paraId="0C44710D" w14:textId="77777777" w:rsidR="00D46E7A" w:rsidRPr="00042924" w:rsidRDefault="00620D15" w:rsidP="00620D15">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Зазначимо, що не лише окремі підприємства, але й цілі галузі економіки можуть стати жертвами цих викликів. Це підтверджується статистичними даними щодо розгляду справ про банкрутство та динаміки подання заяв, які представлені у таблицях </w:t>
      </w:r>
      <w:r w:rsidR="00C13497" w:rsidRPr="00042924">
        <w:rPr>
          <w:rFonts w:ascii="Times New Roman" w:hAnsi="Times New Roman" w:cs="Times New Roman"/>
          <w:sz w:val="28"/>
          <w:szCs w:val="28"/>
          <w:lang w:val="uk-UA"/>
        </w:rPr>
        <w:t>1</w:t>
      </w:r>
      <w:r w:rsidRPr="00042924">
        <w:rPr>
          <w:rFonts w:ascii="Times New Roman" w:hAnsi="Times New Roman" w:cs="Times New Roman"/>
          <w:sz w:val="28"/>
          <w:szCs w:val="28"/>
          <w:lang w:val="uk-UA"/>
        </w:rPr>
        <w:t>.</w:t>
      </w:r>
      <w:r w:rsidR="00C13497" w:rsidRPr="00042924">
        <w:rPr>
          <w:rFonts w:ascii="Times New Roman" w:hAnsi="Times New Roman" w:cs="Times New Roman"/>
          <w:sz w:val="28"/>
          <w:szCs w:val="28"/>
          <w:lang w:val="uk-UA"/>
        </w:rPr>
        <w:t>5</w:t>
      </w:r>
      <w:r w:rsidRPr="00042924">
        <w:rPr>
          <w:rFonts w:ascii="Times New Roman" w:hAnsi="Times New Roman" w:cs="Times New Roman"/>
          <w:sz w:val="28"/>
          <w:szCs w:val="28"/>
          <w:lang w:val="uk-UA"/>
        </w:rPr>
        <w:t xml:space="preserve"> та </w:t>
      </w:r>
      <w:r w:rsidR="00C13497" w:rsidRPr="00042924">
        <w:rPr>
          <w:rFonts w:ascii="Times New Roman" w:hAnsi="Times New Roman" w:cs="Times New Roman"/>
          <w:sz w:val="28"/>
          <w:szCs w:val="28"/>
          <w:lang w:val="uk-UA"/>
        </w:rPr>
        <w:t>1</w:t>
      </w:r>
      <w:r w:rsidRPr="00042924">
        <w:rPr>
          <w:rFonts w:ascii="Times New Roman" w:hAnsi="Times New Roman" w:cs="Times New Roman"/>
          <w:sz w:val="28"/>
          <w:szCs w:val="28"/>
          <w:lang w:val="uk-UA"/>
        </w:rPr>
        <w:t>.</w:t>
      </w:r>
      <w:r w:rsidR="00C13497" w:rsidRPr="00042924">
        <w:rPr>
          <w:rFonts w:ascii="Times New Roman" w:hAnsi="Times New Roman" w:cs="Times New Roman"/>
          <w:sz w:val="28"/>
          <w:szCs w:val="28"/>
          <w:lang w:val="uk-UA"/>
        </w:rPr>
        <w:t>6</w:t>
      </w:r>
      <w:r w:rsidRPr="00042924">
        <w:rPr>
          <w:rFonts w:ascii="Times New Roman" w:hAnsi="Times New Roman" w:cs="Times New Roman"/>
          <w:sz w:val="28"/>
          <w:szCs w:val="28"/>
          <w:lang w:val="uk-UA"/>
        </w:rPr>
        <w:t>. Ці дані вказують на те, що країна стоїть перед серйозними викликами у фінансовому секторі, і прогнозується значне погіршення ситуації у майбутньому.</w:t>
      </w:r>
    </w:p>
    <w:p w14:paraId="38B1BE4A" w14:textId="77777777" w:rsidR="00FF21F2" w:rsidRPr="00042924" w:rsidRDefault="00FF21F2" w:rsidP="00620D15">
      <w:pPr>
        <w:spacing w:after="0" w:line="240" w:lineRule="auto"/>
        <w:ind w:firstLine="709"/>
        <w:jc w:val="both"/>
        <w:rPr>
          <w:lang w:val="uk-UA"/>
        </w:rPr>
      </w:pPr>
    </w:p>
    <w:p w14:paraId="15DDEA10" w14:textId="77777777" w:rsidR="00BA4012" w:rsidRPr="00042924" w:rsidRDefault="00BA4012" w:rsidP="00BB02D1">
      <w:pPr>
        <w:pStyle w:val="a4"/>
        <w:ind w:firstLine="709"/>
        <w:jc w:val="both"/>
        <w:rPr>
          <w:lang w:val="uk-UA"/>
        </w:rPr>
      </w:pPr>
      <w:bookmarkStart w:id="7" w:name="_Hlk150871868"/>
      <w:r w:rsidRPr="00042924">
        <w:rPr>
          <w:lang w:val="uk-UA"/>
        </w:rPr>
        <w:t xml:space="preserve">Таблиця </w:t>
      </w:r>
      <w:r w:rsidR="00C13497" w:rsidRPr="00042924">
        <w:rPr>
          <w:lang w:val="uk-UA"/>
        </w:rPr>
        <w:t>1</w:t>
      </w:r>
      <w:r w:rsidRPr="00042924">
        <w:rPr>
          <w:lang w:val="uk-UA"/>
        </w:rPr>
        <w:t>.</w:t>
      </w:r>
      <w:r w:rsidR="00C13497" w:rsidRPr="00042924">
        <w:rPr>
          <w:lang w:val="uk-UA"/>
        </w:rPr>
        <w:t>5</w:t>
      </w:r>
      <w:r w:rsidR="00D46E7A" w:rsidRPr="00042924">
        <w:rPr>
          <w:lang w:val="uk-UA"/>
        </w:rPr>
        <w:t xml:space="preserve"> – </w:t>
      </w:r>
      <w:r w:rsidRPr="00042924">
        <w:rPr>
          <w:lang w:val="uk-UA"/>
        </w:rPr>
        <w:t>Статистичні</w:t>
      </w:r>
      <w:r w:rsidRPr="00042924">
        <w:rPr>
          <w:spacing w:val="-8"/>
          <w:lang w:val="uk-UA"/>
        </w:rPr>
        <w:t xml:space="preserve"> </w:t>
      </w:r>
      <w:r w:rsidRPr="00042924">
        <w:rPr>
          <w:lang w:val="uk-UA"/>
        </w:rPr>
        <w:t>дані</w:t>
      </w:r>
      <w:r w:rsidRPr="00042924">
        <w:rPr>
          <w:spacing w:val="-8"/>
          <w:lang w:val="uk-UA"/>
        </w:rPr>
        <w:t xml:space="preserve"> </w:t>
      </w:r>
      <w:r w:rsidRPr="00042924">
        <w:rPr>
          <w:lang w:val="uk-UA"/>
        </w:rPr>
        <w:t>щодо</w:t>
      </w:r>
      <w:r w:rsidRPr="00042924">
        <w:rPr>
          <w:spacing w:val="-3"/>
          <w:lang w:val="uk-UA"/>
        </w:rPr>
        <w:t xml:space="preserve"> </w:t>
      </w:r>
      <w:r w:rsidRPr="00042924">
        <w:rPr>
          <w:lang w:val="uk-UA"/>
        </w:rPr>
        <w:t>розгляду</w:t>
      </w:r>
      <w:r w:rsidRPr="00042924">
        <w:rPr>
          <w:spacing w:val="-7"/>
          <w:lang w:val="uk-UA"/>
        </w:rPr>
        <w:t xml:space="preserve"> </w:t>
      </w:r>
      <w:r w:rsidRPr="00042924">
        <w:rPr>
          <w:lang w:val="uk-UA"/>
        </w:rPr>
        <w:t>справ</w:t>
      </w:r>
      <w:r w:rsidRPr="00042924">
        <w:rPr>
          <w:spacing w:val="-4"/>
          <w:lang w:val="uk-UA"/>
        </w:rPr>
        <w:t xml:space="preserve"> </w:t>
      </w:r>
      <w:r w:rsidRPr="00042924">
        <w:rPr>
          <w:lang w:val="uk-UA"/>
        </w:rPr>
        <w:t>про</w:t>
      </w:r>
      <w:r w:rsidRPr="00042924">
        <w:rPr>
          <w:spacing w:val="-3"/>
          <w:lang w:val="uk-UA"/>
        </w:rPr>
        <w:t xml:space="preserve"> </w:t>
      </w:r>
      <w:r w:rsidRPr="00042924">
        <w:rPr>
          <w:lang w:val="uk-UA"/>
        </w:rPr>
        <w:t>банкрутство</w:t>
      </w:r>
      <w:r w:rsidRPr="00042924">
        <w:rPr>
          <w:spacing w:val="-4"/>
          <w:lang w:val="uk-UA"/>
        </w:rPr>
        <w:t xml:space="preserve"> </w:t>
      </w:r>
      <w:r w:rsidRPr="00042924">
        <w:rPr>
          <w:lang w:val="uk-UA"/>
        </w:rPr>
        <w:t>та</w:t>
      </w:r>
      <w:r w:rsidRPr="00042924">
        <w:rPr>
          <w:spacing w:val="-2"/>
          <w:lang w:val="uk-UA"/>
        </w:rPr>
        <w:t xml:space="preserve"> </w:t>
      </w:r>
      <w:r w:rsidRPr="00042924">
        <w:rPr>
          <w:lang w:val="uk-UA"/>
        </w:rPr>
        <w:t>динаміка</w:t>
      </w:r>
      <w:r w:rsidRPr="00042924">
        <w:rPr>
          <w:spacing w:val="-2"/>
          <w:lang w:val="uk-UA"/>
        </w:rPr>
        <w:t xml:space="preserve"> </w:t>
      </w:r>
      <w:r w:rsidRPr="00042924">
        <w:rPr>
          <w:lang w:val="uk-UA"/>
        </w:rPr>
        <w:t>поданн</w:t>
      </w:r>
      <w:r w:rsidR="00B346B5" w:rsidRPr="00042924">
        <w:rPr>
          <w:lang w:val="uk-UA"/>
        </w:rPr>
        <w:t xml:space="preserve">я </w:t>
      </w:r>
      <w:r w:rsidRPr="00042924">
        <w:rPr>
          <w:spacing w:val="-67"/>
          <w:lang w:val="uk-UA"/>
        </w:rPr>
        <w:t xml:space="preserve"> </w:t>
      </w:r>
      <w:r w:rsidRPr="00042924">
        <w:rPr>
          <w:lang w:val="uk-UA"/>
        </w:rPr>
        <w:t>заяв</w:t>
      </w:r>
    </w:p>
    <w:tbl>
      <w:tblPr>
        <w:tblStyle w:val="TableNormal"/>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3686"/>
        <w:gridCol w:w="1135"/>
        <w:gridCol w:w="1135"/>
        <w:gridCol w:w="1135"/>
        <w:gridCol w:w="1135"/>
        <w:gridCol w:w="1697"/>
      </w:tblGrid>
      <w:tr w:rsidR="003E7C2F" w:rsidRPr="00BB02D1" w14:paraId="055DA2F3" w14:textId="77777777" w:rsidTr="00023110">
        <w:trPr>
          <w:trHeight w:val="227"/>
          <w:jc w:val="center"/>
        </w:trPr>
        <w:tc>
          <w:tcPr>
            <w:tcW w:w="1857" w:type="pct"/>
            <w:vMerge w:val="restart"/>
            <w:vAlign w:val="center"/>
          </w:tcPr>
          <w:p w14:paraId="7D691EBB" w14:textId="77777777" w:rsidR="003E7C2F" w:rsidRPr="00BB02D1" w:rsidRDefault="003E7C2F" w:rsidP="00023110">
            <w:pPr>
              <w:pStyle w:val="TableParagraph"/>
              <w:jc w:val="center"/>
              <w:rPr>
                <w:bCs/>
                <w:sz w:val="24"/>
                <w:szCs w:val="24"/>
                <w:lang w:val="uk-UA"/>
              </w:rPr>
            </w:pPr>
            <w:r w:rsidRPr="00BB02D1">
              <w:rPr>
                <w:bCs/>
                <w:sz w:val="24"/>
                <w:szCs w:val="24"/>
                <w:lang w:val="uk-UA"/>
              </w:rPr>
              <w:t>Справи</w:t>
            </w:r>
            <w:r w:rsidRPr="00BB02D1">
              <w:rPr>
                <w:bCs/>
                <w:spacing w:val="-2"/>
                <w:sz w:val="24"/>
                <w:szCs w:val="24"/>
                <w:lang w:val="uk-UA"/>
              </w:rPr>
              <w:t xml:space="preserve"> </w:t>
            </w:r>
            <w:r w:rsidRPr="00BB02D1">
              <w:rPr>
                <w:bCs/>
                <w:sz w:val="24"/>
                <w:szCs w:val="24"/>
                <w:lang w:val="uk-UA"/>
              </w:rPr>
              <w:t>про</w:t>
            </w:r>
            <w:r w:rsidRPr="00BB02D1">
              <w:rPr>
                <w:bCs/>
                <w:spacing w:val="-3"/>
                <w:sz w:val="24"/>
                <w:szCs w:val="24"/>
                <w:lang w:val="uk-UA"/>
              </w:rPr>
              <w:t xml:space="preserve"> </w:t>
            </w:r>
            <w:r w:rsidRPr="00BB02D1">
              <w:rPr>
                <w:bCs/>
                <w:sz w:val="24"/>
                <w:szCs w:val="24"/>
                <w:lang w:val="uk-UA"/>
              </w:rPr>
              <w:t>банкрутство</w:t>
            </w:r>
          </w:p>
        </w:tc>
        <w:tc>
          <w:tcPr>
            <w:tcW w:w="3143" w:type="pct"/>
            <w:gridSpan w:val="5"/>
            <w:tcBorders>
              <w:left w:val="single" w:sz="4" w:space="0" w:color="auto"/>
            </w:tcBorders>
            <w:vAlign w:val="center"/>
          </w:tcPr>
          <w:p w14:paraId="44CCF19B" w14:textId="77777777" w:rsidR="003E7C2F" w:rsidRPr="00BB02D1" w:rsidRDefault="003E7C2F" w:rsidP="00023110">
            <w:pPr>
              <w:pStyle w:val="TableParagraph"/>
              <w:jc w:val="center"/>
              <w:rPr>
                <w:bCs/>
                <w:sz w:val="24"/>
                <w:szCs w:val="24"/>
                <w:lang w:val="uk-UA"/>
              </w:rPr>
            </w:pPr>
            <w:r w:rsidRPr="00BB02D1">
              <w:rPr>
                <w:bCs/>
                <w:sz w:val="24"/>
                <w:szCs w:val="24"/>
                <w:lang w:val="uk-UA"/>
              </w:rPr>
              <w:t>Роки</w:t>
            </w:r>
          </w:p>
        </w:tc>
      </w:tr>
      <w:tr w:rsidR="00DF1982" w:rsidRPr="00BB02D1" w14:paraId="1F165B40" w14:textId="77777777" w:rsidTr="00023110">
        <w:trPr>
          <w:trHeight w:val="227"/>
          <w:jc w:val="center"/>
        </w:trPr>
        <w:tc>
          <w:tcPr>
            <w:tcW w:w="1857" w:type="pct"/>
            <w:vMerge/>
            <w:tcBorders>
              <w:top w:val="nil"/>
            </w:tcBorders>
            <w:vAlign w:val="center"/>
          </w:tcPr>
          <w:p w14:paraId="7440FD5F" w14:textId="77777777" w:rsidR="003E7C2F" w:rsidRPr="00BB02D1" w:rsidRDefault="003E7C2F" w:rsidP="00023110">
            <w:pPr>
              <w:jc w:val="center"/>
              <w:rPr>
                <w:rFonts w:ascii="Times New Roman" w:hAnsi="Times New Roman" w:cs="Times New Roman"/>
                <w:bCs/>
                <w:sz w:val="24"/>
                <w:szCs w:val="24"/>
                <w:lang w:val="uk-UA"/>
              </w:rPr>
            </w:pPr>
          </w:p>
        </w:tc>
        <w:tc>
          <w:tcPr>
            <w:tcW w:w="572" w:type="pct"/>
            <w:tcBorders>
              <w:left w:val="single" w:sz="4" w:space="0" w:color="auto"/>
            </w:tcBorders>
            <w:vAlign w:val="center"/>
          </w:tcPr>
          <w:p w14:paraId="7C450F15" w14:textId="77777777" w:rsidR="003E7C2F" w:rsidRPr="00BB02D1" w:rsidRDefault="003E7C2F" w:rsidP="00023110">
            <w:pPr>
              <w:pStyle w:val="TableParagraph"/>
              <w:jc w:val="center"/>
              <w:rPr>
                <w:bCs/>
                <w:sz w:val="24"/>
                <w:szCs w:val="24"/>
                <w:lang w:val="uk-UA"/>
              </w:rPr>
            </w:pPr>
            <w:r w:rsidRPr="00BB02D1">
              <w:rPr>
                <w:bCs/>
                <w:sz w:val="24"/>
                <w:szCs w:val="24"/>
                <w:lang w:val="uk-UA"/>
              </w:rPr>
              <w:t>2019</w:t>
            </w:r>
          </w:p>
        </w:tc>
        <w:tc>
          <w:tcPr>
            <w:tcW w:w="572" w:type="pct"/>
            <w:vAlign w:val="center"/>
          </w:tcPr>
          <w:p w14:paraId="0060964A" w14:textId="77777777" w:rsidR="003E7C2F" w:rsidRPr="00BB02D1" w:rsidRDefault="003E7C2F" w:rsidP="00023110">
            <w:pPr>
              <w:pStyle w:val="TableParagraph"/>
              <w:jc w:val="center"/>
              <w:rPr>
                <w:bCs/>
                <w:sz w:val="24"/>
                <w:szCs w:val="24"/>
                <w:lang w:val="uk-UA"/>
              </w:rPr>
            </w:pPr>
            <w:r w:rsidRPr="00BB02D1">
              <w:rPr>
                <w:bCs/>
                <w:sz w:val="24"/>
                <w:szCs w:val="24"/>
                <w:lang w:val="uk-UA"/>
              </w:rPr>
              <w:t>2020</w:t>
            </w:r>
          </w:p>
        </w:tc>
        <w:tc>
          <w:tcPr>
            <w:tcW w:w="572" w:type="pct"/>
            <w:vAlign w:val="center"/>
          </w:tcPr>
          <w:p w14:paraId="14723987" w14:textId="77777777" w:rsidR="003E7C2F" w:rsidRPr="00BB02D1" w:rsidRDefault="003E7C2F" w:rsidP="00023110">
            <w:pPr>
              <w:pStyle w:val="TableParagraph"/>
              <w:jc w:val="center"/>
              <w:rPr>
                <w:bCs/>
                <w:sz w:val="24"/>
                <w:szCs w:val="24"/>
                <w:lang w:val="uk-UA"/>
              </w:rPr>
            </w:pPr>
            <w:r w:rsidRPr="00BB02D1">
              <w:rPr>
                <w:bCs/>
                <w:sz w:val="24"/>
                <w:szCs w:val="24"/>
                <w:lang w:val="uk-UA"/>
              </w:rPr>
              <w:t>2021</w:t>
            </w:r>
          </w:p>
        </w:tc>
        <w:tc>
          <w:tcPr>
            <w:tcW w:w="572" w:type="pct"/>
            <w:vAlign w:val="center"/>
          </w:tcPr>
          <w:p w14:paraId="7D159CB3" w14:textId="77777777" w:rsidR="003E7C2F" w:rsidRPr="00BB02D1" w:rsidRDefault="003E7C2F" w:rsidP="00023110">
            <w:pPr>
              <w:pStyle w:val="TableParagraph"/>
              <w:jc w:val="center"/>
              <w:rPr>
                <w:bCs/>
                <w:sz w:val="24"/>
                <w:szCs w:val="24"/>
                <w:lang w:val="uk-UA"/>
              </w:rPr>
            </w:pPr>
            <w:r w:rsidRPr="00BB02D1">
              <w:rPr>
                <w:bCs/>
                <w:sz w:val="24"/>
                <w:szCs w:val="24"/>
                <w:lang w:val="uk-UA"/>
              </w:rPr>
              <w:t>2022</w:t>
            </w:r>
          </w:p>
        </w:tc>
        <w:tc>
          <w:tcPr>
            <w:tcW w:w="855" w:type="pct"/>
            <w:vAlign w:val="center"/>
          </w:tcPr>
          <w:p w14:paraId="41297120" w14:textId="77777777" w:rsidR="00DF1982" w:rsidRPr="00BB02D1" w:rsidRDefault="002F7295" w:rsidP="00023110">
            <w:pPr>
              <w:pStyle w:val="TableParagraph"/>
              <w:jc w:val="center"/>
              <w:rPr>
                <w:bCs/>
                <w:sz w:val="24"/>
                <w:szCs w:val="24"/>
                <w:lang w:val="uk-UA"/>
              </w:rPr>
            </w:pPr>
            <w:r w:rsidRPr="00BB02D1">
              <w:rPr>
                <w:bCs/>
                <w:sz w:val="24"/>
                <w:szCs w:val="24"/>
                <w:lang w:val="uk-UA"/>
              </w:rPr>
              <w:t>І півріччя</w:t>
            </w:r>
          </w:p>
          <w:p w14:paraId="6DE5AC78" w14:textId="77777777" w:rsidR="003E7C2F" w:rsidRPr="00BB02D1" w:rsidRDefault="002F7295" w:rsidP="00023110">
            <w:pPr>
              <w:pStyle w:val="TableParagraph"/>
              <w:jc w:val="center"/>
              <w:rPr>
                <w:bCs/>
                <w:sz w:val="24"/>
                <w:szCs w:val="24"/>
                <w:lang w:val="uk-UA"/>
              </w:rPr>
            </w:pPr>
            <w:r w:rsidRPr="00BB02D1">
              <w:rPr>
                <w:bCs/>
                <w:sz w:val="24"/>
                <w:szCs w:val="24"/>
                <w:lang w:val="uk-UA"/>
              </w:rPr>
              <w:t>2023 року</w:t>
            </w:r>
          </w:p>
        </w:tc>
      </w:tr>
      <w:tr w:rsidR="00DF1982" w:rsidRPr="00BB02D1" w14:paraId="279519C0" w14:textId="77777777" w:rsidTr="00023110">
        <w:trPr>
          <w:trHeight w:val="340"/>
          <w:jc w:val="center"/>
        </w:trPr>
        <w:tc>
          <w:tcPr>
            <w:tcW w:w="1857" w:type="pct"/>
            <w:vAlign w:val="center"/>
          </w:tcPr>
          <w:p w14:paraId="37B77034" w14:textId="77777777" w:rsidR="003E7C2F" w:rsidRPr="00BB02D1" w:rsidRDefault="003E7C2F" w:rsidP="00023110">
            <w:pPr>
              <w:pStyle w:val="TableParagraph"/>
              <w:jc w:val="center"/>
              <w:rPr>
                <w:bCs/>
                <w:sz w:val="24"/>
                <w:szCs w:val="24"/>
                <w:lang w:val="uk-UA"/>
              </w:rPr>
            </w:pPr>
            <w:r w:rsidRPr="00BB02D1">
              <w:rPr>
                <w:bCs/>
                <w:sz w:val="24"/>
                <w:szCs w:val="24"/>
                <w:lang w:val="uk-UA"/>
              </w:rPr>
              <w:t>Усього</w:t>
            </w:r>
            <w:r w:rsidRPr="00BB02D1">
              <w:rPr>
                <w:bCs/>
                <w:spacing w:val="-7"/>
                <w:sz w:val="24"/>
                <w:szCs w:val="24"/>
                <w:lang w:val="uk-UA"/>
              </w:rPr>
              <w:t xml:space="preserve"> </w:t>
            </w:r>
            <w:r w:rsidRPr="00BB02D1">
              <w:rPr>
                <w:bCs/>
                <w:sz w:val="24"/>
                <w:szCs w:val="24"/>
                <w:lang w:val="uk-UA"/>
              </w:rPr>
              <w:t>розглянуто,</w:t>
            </w:r>
            <w:r w:rsidRPr="00BB02D1">
              <w:rPr>
                <w:bCs/>
                <w:spacing w:val="-1"/>
                <w:sz w:val="24"/>
                <w:szCs w:val="24"/>
                <w:lang w:val="uk-UA"/>
              </w:rPr>
              <w:t xml:space="preserve"> </w:t>
            </w:r>
            <w:r w:rsidRPr="00BB02D1">
              <w:rPr>
                <w:bCs/>
                <w:sz w:val="24"/>
                <w:szCs w:val="24"/>
                <w:lang w:val="uk-UA"/>
              </w:rPr>
              <w:t>од.</w:t>
            </w:r>
          </w:p>
        </w:tc>
        <w:tc>
          <w:tcPr>
            <w:tcW w:w="572" w:type="pct"/>
            <w:vAlign w:val="center"/>
          </w:tcPr>
          <w:p w14:paraId="13585F73" w14:textId="77777777" w:rsidR="003E7C2F" w:rsidRPr="00BB02D1" w:rsidRDefault="00E744E3" w:rsidP="00023110">
            <w:pPr>
              <w:pStyle w:val="TableParagraph"/>
              <w:jc w:val="center"/>
              <w:rPr>
                <w:bCs/>
                <w:sz w:val="24"/>
                <w:szCs w:val="24"/>
                <w:lang w:val="uk-UA"/>
              </w:rPr>
            </w:pPr>
            <w:r w:rsidRPr="00BB02D1">
              <w:rPr>
                <w:bCs/>
                <w:sz w:val="24"/>
                <w:szCs w:val="24"/>
                <w:lang w:val="uk-UA"/>
              </w:rPr>
              <w:t>14 373</w:t>
            </w:r>
          </w:p>
        </w:tc>
        <w:tc>
          <w:tcPr>
            <w:tcW w:w="572" w:type="pct"/>
            <w:vAlign w:val="center"/>
          </w:tcPr>
          <w:p w14:paraId="4052691D" w14:textId="77777777" w:rsidR="003E7C2F" w:rsidRPr="00BB02D1" w:rsidRDefault="00E744E3" w:rsidP="00023110">
            <w:pPr>
              <w:pStyle w:val="TableParagraph"/>
              <w:jc w:val="center"/>
              <w:rPr>
                <w:bCs/>
                <w:sz w:val="24"/>
                <w:szCs w:val="24"/>
                <w:lang w:val="uk-UA"/>
              </w:rPr>
            </w:pPr>
            <w:r w:rsidRPr="00BB02D1">
              <w:rPr>
                <w:bCs/>
                <w:sz w:val="24"/>
                <w:szCs w:val="24"/>
                <w:lang w:val="uk-UA"/>
              </w:rPr>
              <w:t>13 519</w:t>
            </w:r>
          </w:p>
        </w:tc>
        <w:tc>
          <w:tcPr>
            <w:tcW w:w="572" w:type="pct"/>
            <w:vAlign w:val="center"/>
          </w:tcPr>
          <w:p w14:paraId="34974910" w14:textId="77777777" w:rsidR="003E7C2F" w:rsidRPr="00BB02D1" w:rsidRDefault="00E744E3" w:rsidP="00023110">
            <w:pPr>
              <w:pStyle w:val="TableParagraph"/>
              <w:jc w:val="center"/>
              <w:rPr>
                <w:bCs/>
                <w:sz w:val="24"/>
                <w:szCs w:val="24"/>
                <w:lang w:val="uk-UA"/>
              </w:rPr>
            </w:pPr>
            <w:r w:rsidRPr="00BB02D1">
              <w:rPr>
                <w:bCs/>
                <w:sz w:val="24"/>
                <w:szCs w:val="24"/>
                <w:lang w:val="uk-UA"/>
              </w:rPr>
              <w:t>16 579</w:t>
            </w:r>
          </w:p>
        </w:tc>
        <w:tc>
          <w:tcPr>
            <w:tcW w:w="572" w:type="pct"/>
            <w:vAlign w:val="center"/>
          </w:tcPr>
          <w:p w14:paraId="2ADAC840" w14:textId="77777777" w:rsidR="003E7C2F" w:rsidRPr="00BB02D1" w:rsidRDefault="00E744E3" w:rsidP="00023110">
            <w:pPr>
              <w:pStyle w:val="TableParagraph"/>
              <w:jc w:val="center"/>
              <w:rPr>
                <w:bCs/>
                <w:sz w:val="24"/>
                <w:szCs w:val="24"/>
                <w:lang w:val="uk-UA"/>
              </w:rPr>
            </w:pPr>
            <w:r w:rsidRPr="00BB02D1">
              <w:rPr>
                <w:bCs/>
                <w:sz w:val="24"/>
                <w:szCs w:val="24"/>
                <w:lang w:val="uk-UA"/>
              </w:rPr>
              <w:t>9 728</w:t>
            </w:r>
          </w:p>
        </w:tc>
        <w:tc>
          <w:tcPr>
            <w:tcW w:w="855" w:type="pct"/>
            <w:vAlign w:val="center"/>
          </w:tcPr>
          <w:p w14:paraId="26410622" w14:textId="77777777" w:rsidR="003E7C2F" w:rsidRPr="00BB02D1" w:rsidRDefault="002F7295" w:rsidP="00023110">
            <w:pPr>
              <w:pStyle w:val="TableParagraph"/>
              <w:jc w:val="center"/>
              <w:rPr>
                <w:bCs/>
                <w:sz w:val="24"/>
                <w:szCs w:val="24"/>
                <w:lang w:val="uk-UA"/>
              </w:rPr>
            </w:pPr>
            <w:r w:rsidRPr="00BB02D1">
              <w:rPr>
                <w:bCs/>
                <w:sz w:val="24"/>
                <w:szCs w:val="24"/>
                <w:lang w:val="uk-UA"/>
              </w:rPr>
              <w:t>6 663</w:t>
            </w:r>
          </w:p>
        </w:tc>
      </w:tr>
      <w:tr w:rsidR="007A7DF6" w:rsidRPr="00BB02D1" w14:paraId="5EF5392F" w14:textId="77777777" w:rsidTr="00023110">
        <w:trPr>
          <w:trHeight w:val="340"/>
          <w:jc w:val="center"/>
        </w:trPr>
        <w:tc>
          <w:tcPr>
            <w:tcW w:w="1857" w:type="pct"/>
            <w:vAlign w:val="center"/>
          </w:tcPr>
          <w:p w14:paraId="1E099499" w14:textId="77777777" w:rsidR="007A7DF6" w:rsidRPr="00BB02D1" w:rsidRDefault="00B41644" w:rsidP="00023110">
            <w:pPr>
              <w:pStyle w:val="TableParagraph"/>
              <w:jc w:val="center"/>
              <w:rPr>
                <w:bCs/>
                <w:sz w:val="24"/>
                <w:szCs w:val="24"/>
                <w:lang w:val="uk-UA"/>
              </w:rPr>
            </w:pPr>
            <w:r w:rsidRPr="00BB02D1">
              <w:rPr>
                <w:bCs/>
                <w:sz w:val="24"/>
                <w:szCs w:val="24"/>
                <w:lang w:val="uk-UA"/>
              </w:rPr>
              <w:t>з них: про визнання банкрутом</w:t>
            </w:r>
          </w:p>
        </w:tc>
        <w:tc>
          <w:tcPr>
            <w:tcW w:w="572" w:type="pct"/>
            <w:vAlign w:val="center"/>
          </w:tcPr>
          <w:p w14:paraId="70966DBF" w14:textId="77777777" w:rsidR="007A7DF6" w:rsidRPr="00BB02D1" w:rsidRDefault="00DD31A3" w:rsidP="00023110">
            <w:pPr>
              <w:pStyle w:val="TableParagraph"/>
              <w:jc w:val="center"/>
              <w:rPr>
                <w:bCs/>
                <w:sz w:val="24"/>
                <w:szCs w:val="24"/>
                <w:lang w:val="uk-UA"/>
              </w:rPr>
            </w:pPr>
            <w:r w:rsidRPr="00BB02D1">
              <w:rPr>
                <w:bCs/>
                <w:sz w:val="24"/>
                <w:szCs w:val="24"/>
                <w:lang w:val="uk-UA"/>
              </w:rPr>
              <w:t>1 264</w:t>
            </w:r>
          </w:p>
        </w:tc>
        <w:tc>
          <w:tcPr>
            <w:tcW w:w="572" w:type="pct"/>
            <w:vAlign w:val="center"/>
          </w:tcPr>
          <w:p w14:paraId="55FD331E" w14:textId="77777777" w:rsidR="007A7DF6" w:rsidRPr="00BB02D1" w:rsidRDefault="00DD31A3" w:rsidP="00023110">
            <w:pPr>
              <w:pStyle w:val="TableParagraph"/>
              <w:jc w:val="center"/>
              <w:rPr>
                <w:bCs/>
                <w:sz w:val="24"/>
                <w:szCs w:val="24"/>
                <w:lang w:val="uk-UA"/>
              </w:rPr>
            </w:pPr>
            <w:r w:rsidRPr="00BB02D1">
              <w:rPr>
                <w:bCs/>
                <w:sz w:val="24"/>
                <w:szCs w:val="24"/>
                <w:lang w:val="uk-UA"/>
              </w:rPr>
              <w:t>815</w:t>
            </w:r>
          </w:p>
        </w:tc>
        <w:tc>
          <w:tcPr>
            <w:tcW w:w="572" w:type="pct"/>
            <w:vAlign w:val="center"/>
          </w:tcPr>
          <w:p w14:paraId="6D9EF41E" w14:textId="77777777" w:rsidR="007A7DF6" w:rsidRPr="00BB02D1" w:rsidRDefault="00B41644" w:rsidP="00023110">
            <w:pPr>
              <w:pStyle w:val="TableParagraph"/>
              <w:jc w:val="center"/>
              <w:rPr>
                <w:bCs/>
                <w:sz w:val="24"/>
                <w:szCs w:val="24"/>
                <w:lang w:val="uk-UA"/>
              </w:rPr>
            </w:pPr>
            <w:r w:rsidRPr="00BB02D1">
              <w:rPr>
                <w:bCs/>
                <w:sz w:val="24"/>
                <w:szCs w:val="24"/>
                <w:lang w:val="uk-UA"/>
              </w:rPr>
              <w:t>971</w:t>
            </w:r>
          </w:p>
        </w:tc>
        <w:tc>
          <w:tcPr>
            <w:tcW w:w="572" w:type="pct"/>
            <w:vAlign w:val="center"/>
          </w:tcPr>
          <w:p w14:paraId="06080429" w14:textId="77777777" w:rsidR="007A7DF6" w:rsidRPr="00BB02D1" w:rsidRDefault="00B41644" w:rsidP="00023110">
            <w:pPr>
              <w:pStyle w:val="TableParagraph"/>
              <w:jc w:val="center"/>
              <w:rPr>
                <w:bCs/>
                <w:sz w:val="24"/>
                <w:szCs w:val="24"/>
                <w:lang w:val="uk-UA"/>
              </w:rPr>
            </w:pPr>
            <w:r w:rsidRPr="00BB02D1">
              <w:rPr>
                <w:bCs/>
                <w:sz w:val="24"/>
                <w:szCs w:val="24"/>
                <w:lang w:val="uk-UA"/>
              </w:rPr>
              <w:t>767</w:t>
            </w:r>
          </w:p>
        </w:tc>
        <w:tc>
          <w:tcPr>
            <w:tcW w:w="855" w:type="pct"/>
            <w:vAlign w:val="center"/>
          </w:tcPr>
          <w:p w14:paraId="7C9443AD" w14:textId="77777777" w:rsidR="007A7DF6" w:rsidRPr="00BB02D1" w:rsidRDefault="00B41644" w:rsidP="00023110">
            <w:pPr>
              <w:pStyle w:val="TableParagraph"/>
              <w:jc w:val="center"/>
              <w:rPr>
                <w:bCs/>
                <w:sz w:val="24"/>
                <w:szCs w:val="24"/>
                <w:lang w:val="uk-UA"/>
              </w:rPr>
            </w:pPr>
            <w:r w:rsidRPr="00BB02D1">
              <w:rPr>
                <w:bCs/>
                <w:sz w:val="24"/>
                <w:szCs w:val="24"/>
                <w:lang w:val="uk-UA"/>
              </w:rPr>
              <w:t>531</w:t>
            </w:r>
          </w:p>
        </w:tc>
      </w:tr>
      <w:tr w:rsidR="00DF1982" w:rsidRPr="00BB02D1" w14:paraId="533CA026" w14:textId="77777777" w:rsidTr="00023110">
        <w:trPr>
          <w:trHeight w:val="567"/>
          <w:jc w:val="center"/>
        </w:trPr>
        <w:tc>
          <w:tcPr>
            <w:tcW w:w="1857" w:type="pct"/>
            <w:vAlign w:val="center"/>
          </w:tcPr>
          <w:p w14:paraId="009FAB4D" w14:textId="77777777" w:rsidR="003E7C2F" w:rsidRPr="00BB02D1" w:rsidRDefault="003E7C2F" w:rsidP="00023110">
            <w:pPr>
              <w:pStyle w:val="TableParagraph"/>
              <w:jc w:val="center"/>
              <w:rPr>
                <w:bCs/>
                <w:sz w:val="24"/>
                <w:szCs w:val="24"/>
                <w:lang w:val="uk-UA"/>
              </w:rPr>
            </w:pPr>
            <w:r w:rsidRPr="00BB02D1">
              <w:rPr>
                <w:bCs/>
                <w:sz w:val="24"/>
                <w:szCs w:val="24"/>
                <w:lang w:val="uk-UA"/>
              </w:rPr>
              <w:t>Питома</w:t>
            </w:r>
            <w:r w:rsidRPr="00BB02D1">
              <w:rPr>
                <w:bCs/>
                <w:spacing w:val="-1"/>
                <w:sz w:val="24"/>
                <w:szCs w:val="24"/>
                <w:lang w:val="uk-UA"/>
              </w:rPr>
              <w:t xml:space="preserve"> </w:t>
            </w:r>
            <w:r w:rsidRPr="00BB02D1">
              <w:rPr>
                <w:bCs/>
                <w:sz w:val="24"/>
                <w:szCs w:val="24"/>
                <w:lang w:val="uk-UA"/>
              </w:rPr>
              <w:t>вага</w:t>
            </w:r>
            <w:r w:rsidR="001C0CF2" w:rsidRPr="00BB02D1">
              <w:rPr>
                <w:bCs/>
                <w:sz w:val="24"/>
                <w:szCs w:val="24"/>
                <w:lang w:val="uk-UA"/>
              </w:rPr>
              <w:t xml:space="preserve"> до усіх інших розглянутих справ</w:t>
            </w:r>
            <w:r w:rsidRPr="00BB02D1">
              <w:rPr>
                <w:bCs/>
                <w:sz w:val="24"/>
                <w:szCs w:val="24"/>
                <w:lang w:val="uk-UA"/>
              </w:rPr>
              <w:t>,</w:t>
            </w:r>
            <w:r w:rsidRPr="00BB02D1">
              <w:rPr>
                <w:bCs/>
                <w:spacing w:val="-3"/>
                <w:sz w:val="24"/>
                <w:szCs w:val="24"/>
                <w:lang w:val="uk-UA"/>
              </w:rPr>
              <w:t xml:space="preserve"> </w:t>
            </w:r>
            <w:r w:rsidRPr="00BB02D1">
              <w:rPr>
                <w:bCs/>
                <w:sz w:val="24"/>
                <w:szCs w:val="24"/>
                <w:lang w:val="uk-UA"/>
              </w:rPr>
              <w:t>%</w:t>
            </w:r>
          </w:p>
        </w:tc>
        <w:tc>
          <w:tcPr>
            <w:tcW w:w="572" w:type="pct"/>
            <w:vAlign w:val="center"/>
          </w:tcPr>
          <w:p w14:paraId="087B59AE" w14:textId="77777777" w:rsidR="003E7C2F" w:rsidRPr="00BB02D1" w:rsidRDefault="002300ED" w:rsidP="00023110">
            <w:pPr>
              <w:pStyle w:val="TableParagraph"/>
              <w:jc w:val="center"/>
              <w:rPr>
                <w:bCs/>
                <w:sz w:val="24"/>
                <w:szCs w:val="24"/>
                <w:lang w:val="uk-UA"/>
              </w:rPr>
            </w:pPr>
            <w:r w:rsidRPr="00BB02D1">
              <w:rPr>
                <w:bCs/>
                <w:sz w:val="24"/>
                <w:szCs w:val="24"/>
                <w:lang w:val="uk-UA"/>
              </w:rPr>
              <w:t>19,1</w:t>
            </w:r>
          </w:p>
        </w:tc>
        <w:tc>
          <w:tcPr>
            <w:tcW w:w="572" w:type="pct"/>
            <w:vAlign w:val="center"/>
          </w:tcPr>
          <w:p w14:paraId="7F2C1E3B" w14:textId="77777777" w:rsidR="003E7C2F" w:rsidRPr="00BB02D1" w:rsidRDefault="002300ED" w:rsidP="00023110">
            <w:pPr>
              <w:pStyle w:val="TableParagraph"/>
              <w:jc w:val="center"/>
              <w:rPr>
                <w:bCs/>
                <w:sz w:val="24"/>
                <w:szCs w:val="24"/>
                <w:lang w:val="uk-UA"/>
              </w:rPr>
            </w:pPr>
            <w:r w:rsidRPr="00BB02D1">
              <w:rPr>
                <w:bCs/>
                <w:sz w:val="24"/>
                <w:szCs w:val="24"/>
                <w:lang w:val="uk-UA"/>
              </w:rPr>
              <w:t>17</w:t>
            </w:r>
          </w:p>
        </w:tc>
        <w:tc>
          <w:tcPr>
            <w:tcW w:w="572" w:type="pct"/>
            <w:vAlign w:val="center"/>
          </w:tcPr>
          <w:p w14:paraId="5A90C7B6" w14:textId="77777777" w:rsidR="003E7C2F" w:rsidRPr="00BB02D1" w:rsidRDefault="00560D24" w:rsidP="00023110">
            <w:pPr>
              <w:pStyle w:val="TableParagraph"/>
              <w:jc w:val="center"/>
              <w:rPr>
                <w:bCs/>
                <w:sz w:val="24"/>
                <w:szCs w:val="24"/>
                <w:lang w:val="uk-UA"/>
              </w:rPr>
            </w:pPr>
            <w:r w:rsidRPr="00BB02D1">
              <w:rPr>
                <w:bCs/>
                <w:sz w:val="24"/>
                <w:szCs w:val="24"/>
                <w:lang w:val="uk-UA"/>
              </w:rPr>
              <w:t>19,3</w:t>
            </w:r>
          </w:p>
        </w:tc>
        <w:tc>
          <w:tcPr>
            <w:tcW w:w="572" w:type="pct"/>
            <w:vAlign w:val="center"/>
          </w:tcPr>
          <w:p w14:paraId="7F4A8687" w14:textId="77777777" w:rsidR="003E7C2F" w:rsidRPr="00BB02D1" w:rsidRDefault="00560D24" w:rsidP="00023110">
            <w:pPr>
              <w:pStyle w:val="TableParagraph"/>
              <w:jc w:val="center"/>
              <w:rPr>
                <w:bCs/>
                <w:sz w:val="24"/>
                <w:szCs w:val="24"/>
                <w:lang w:val="uk-UA"/>
              </w:rPr>
            </w:pPr>
            <w:r w:rsidRPr="00BB02D1">
              <w:rPr>
                <w:bCs/>
                <w:sz w:val="24"/>
                <w:szCs w:val="24"/>
                <w:lang w:val="uk-UA"/>
              </w:rPr>
              <w:t>16,4</w:t>
            </w:r>
          </w:p>
        </w:tc>
        <w:tc>
          <w:tcPr>
            <w:tcW w:w="855" w:type="pct"/>
            <w:vAlign w:val="center"/>
          </w:tcPr>
          <w:p w14:paraId="6917DB15" w14:textId="77777777" w:rsidR="003E7C2F" w:rsidRPr="00BB02D1" w:rsidRDefault="00560D24" w:rsidP="00023110">
            <w:pPr>
              <w:pStyle w:val="TableParagraph"/>
              <w:jc w:val="center"/>
              <w:rPr>
                <w:bCs/>
                <w:sz w:val="24"/>
                <w:szCs w:val="24"/>
                <w:lang w:val="uk-UA"/>
              </w:rPr>
            </w:pPr>
            <w:r w:rsidRPr="00BB02D1">
              <w:rPr>
                <w:bCs/>
                <w:sz w:val="24"/>
                <w:szCs w:val="24"/>
                <w:lang w:val="uk-UA"/>
              </w:rPr>
              <w:t>16,3</w:t>
            </w:r>
          </w:p>
        </w:tc>
      </w:tr>
      <w:tr w:rsidR="00DF1982" w:rsidRPr="00BB02D1" w14:paraId="04524F2E" w14:textId="77777777" w:rsidTr="00023110">
        <w:trPr>
          <w:trHeight w:val="340"/>
          <w:jc w:val="center"/>
        </w:trPr>
        <w:tc>
          <w:tcPr>
            <w:tcW w:w="1857" w:type="pct"/>
            <w:vAlign w:val="center"/>
          </w:tcPr>
          <w:p w14:paraId="57D8C4BE" w14:textId="77777777" w:rsidR="0003433E" w:rsidRPr="00BB02D1" w:rsidRDefault="0003433E" w:rsidP="00023110">
            <w:pPr>
              <w:pStyle w:val="TableParagraph"/>
              <w:jc w:val="center"/>
              <w:rPr>
                <w:bCs/>
                <w:sz w:val="24"/>
                <w:szCs w:val="24"/>
                <w:lang w:val="uk-UA"/>
              </w:rPr>
            </w:pPr>
            <w:r w:rsidRPr="00BB02D1">
              <w:rPr>
                <w:bCs/>
                <w:sz w:val="24"/>
                <w:szCs w:val="24"/>
                <w:lang w:val="uk-UA"/>
              </w:rPr>
              <w:t>Темп</w:t>
            </w:r>
            <w:r w:rsidRPr="00BB02D1">
              <w:rPr>
                <w:bCs/>
                <w:spacing w:val="1"/>
                <w:sz w:val="24"/>
                <w:szCs w:val="24"/>
                <w:lang w:val="uk-UA"/>
              </w:rPr>
              <w:t xml:space="preserve"> </w:t>
            </w:r>
            <w:r w:rsidRPr="00BB02D1">
              <w:rPr>
                <w:bCs/>
                <w:sz w:val="24"/>
                <w:szCs w:val="24"/>
                <w:lang w:val="uk-UA"/>
              </w:rPr>
              <w:t>змін</w:t>
            </w:r>
            <w:r w:rsidRPr="00BB02D1">
              <w:rPr>
                <w:bCs/>
                <w:spacing w:val="1"/>
                <w:sz w:val="24"/>
                <w:szCs w:val="24"/>
                <w:lang w:val="uk-UA"/>
              </w:rPr>
              <w:t xml:space="preserve"> </w:t>
            </w:r>
            <w:r w:rsidRPr="00BB02D1">
              <w:rPr>
                <w:bCs/>
                <w:sz w:val="24"/>
                <w:szCs w:val="24"/>
                <w:lang w:val="uk-UA"/>
              </w:rPr>
              <w:t>(+/-),</w:t>
            </w:r>
            <w:r w:rsidRPr="00BB02D1">
              <w:rPr>
                <w:bCs/>
                <w:spacing w:val="-2"/>
                <w:sz w:val="24"/>
                <w:szCs w:val="24"/>
                <w:lang w:val="uk-UA"/>
              </w:rPr>
              <w:t xml:space="preserve"> </w:t>
            </w:r>
            <w:r w:rsidRPr="00BB02D1">
              <w:rPr>
                <w:bCs/>
                <w:sz w:val="24"/>
                <w:szCs w:val="24"/>
                <w:lang w:val="uk-UA"/>
              </w:rPr>
              <w:t>%</w:t>
            </w:r>
          </w:p>
        </w:tc>
        <w:tc>
          <w:tcPr>
            <w:tcW w:w="572" w:type="pct"/>
            <w:vAlign w:val="center"/>
          </w:tcPr>
          <w:p w14:paraId="32009F4A" w14:textId="77777777" w:rsidR="0003433E" w:rsidRPr="00BB02D1" w:rsidRDefault="0003433E" w:rsidP="00023110">
            <w:pPr>
              <w:pStyle w:val="TableParagraph"/>
              <w:jc w:val="center"/>
              <w:rPr>
                <w:bCs/>
                <w:sz w:val="24"/>
                <w:szCs w:val="24"/>
                <w:lang w:val="uk-UA"/>
              </w:rPr>
            </w:pPr>
            <w:r w:rsidRPr="00BB02D1">
              <w:rPr>
                <w:bCs/>
                <w:sz w:val="24"/>
                <w:szCs w:val="24"/>
                <w:lang w:val="uk-UA"/>
              </w:rPr>
              <w:t>-</w:t>
            </w:r>
          </w:p>
        </w:tc>
        <w:tc>
          <w:tcPr>
            <w:tcW w:w="572" w:type="pct"/>
            <w:vAlign w:val="center"/>
          </w:tcPr>
          <w:p w14:paraId="5CEBB3CC" w14:textId="77777777" w:rsidR="0003433E" w:rsidRPr="00BB02D1" w:rsidRDefault="0003433E" w:rsidP="00023110">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-5,9%</w:t>
            </w:r>
          </w:p>
        </w:tc>
        <w:tc>
          <w:tcPr>
            <w:tcW w:w="572" w:type="pct"/>
            <w:vAlign w:val="center"/>
          </w:tcPr>
          <w:p w14:paraId="595D71C0" w14:textId="77777777" w:rsidR="0003433E" w:rsidRPr="00BB02D1" w:rsidRDefault="0003433E" w:rsidP="00023110">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22,6%</w:t>
            </w:r>
          </w:p>
        </w:tc>
        <w:tc>
          <w:tcPr>
            <w:tcW w:w="572" w:type="pct"/>
            <w:vAlign w:val="center"/>
          </w:tcPr>
          <w:p w14:paraId="70E1A804" w14:textId="77777777" w:rsidR="0003433E" w:rsidRPr="00BB02D1" w:rsidRDefault="0003433E" w:rsidP="00023110">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-41,3%</w:t>
            </w:r>
          </w:p>
        </w:tc>
        <w:tc>
          <w:tcPr>
            <w:tcW w:w="855" w:type="pct"/>
            <w:vAlign w:val="center"/>
          </w:tcPr>
          <w:p w14:paraId="1BF7966B" w14:textId="77777777" w:rsidR="0003433E" w:rsidRPr="00BB02D1" w:rsidRDefault="0003433E" w:rsidP="00023110">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-31,5%</w:t>
            </w:r>
          </w:p>
        </w:tc>
      </w:tr>
    </w:tbl>
    <w:p w14:paraId="64B4560D" w14:textId="77777777" w:rsidR="00BA4012" w:rsidRPr="00042924" w:rsidRDefault="00E77235" w:rsidP="006026B2">
      <w:pPr>
        <w:pStyle w:val="a4"/>
        <w:ind w:firstLine="284"/>
        <w:jc w:val="both"/>
        <w:rPr>
          <w:lang w:val="uk-UA"/>
        </w:rPr>
      </w:pPr>
      <w:r w:rsidRPr="00042924">
        <w:rPr>
          <w:lang w:val="uk-UA"/>
        </w:rPr>
        <w:t>Джерело:</w:t>
      </w:r>
      <w:r w:rsidR="006026B2" w:rsidRPr="00042924">
        <w:rPr>
          <w:lang w:val="uk-UA"/>
        </w:rPr>
        <w:t xml:space="preserve"> </w:t>
      </w:r>
      <w:r w:rsidR="00E32FFC" w:rsidRPr="00E32FFC">
        <w:rPr>
          <w:lang w:val="uk-UA"/>
        </w:rPr>
        <w:t>складено автором на основі</w:t>
      </w:r>
      <w:r w:rsidR="006026B2" w:rsidRPr="00042924">
        <w:rPr>
          <w:lang w:val="uk-UA"/>
        </w:rPr>
        <w:t xml:space="preserve"> [</w:t>
      </w:r>
      <w:r w:rsidR="00E16E58" w:rsidRPr="00042924">
        <w:rPr>
          <w:lang w:val="uk-UA"/>
        </w:rPr>
        <w:t>26</w:t>
      </w:r>
      <w:r w:rsidR="006026B2" w:rsidRPr="00042924">
        <w:rPr>
          <w:lang w:val="uk-UA"/>
        </w:rPr>
        <w:t>]</w:t>
      </w:r>
    </w:p>
    <w:p w14:paraId="75560F5B" w14:textId="77777777" w:rsidR="00E77235" w:rsidRPr="00042924" w:rsidRDefault="00E77235" w:rsidP="00BA4012">
      <w:pPr>
        <w:pStyle w:val="a4"/>
        <w:ind w:firstLine="709"/>
        <w:jc w:val="both"/>
        <w:rPr>
          <w:lang w:val="uk-UA"/>
        </w:rPr>
      </w:pPr>
    </w:p>
    <w:p w14:paraId="0197FFB6" w14:textId="77777777" w:rsidR="00BA4012" w:rsidRPr="00042924" w:rsidRDefault="00C8658A" w:rsidP="000C0B29">
      <w:pPr>
        <w:pStyle w:val="a4"/>
        <w:ind w:firstLine="709"/>
        <w:jc w:val="both"/>
        <w:rPr>
          <w:lang w:val="uk-UA"/>
        </w:rPr>
      </w:pPr>
      <w:r w:rsidRPr="00042924">
        <w:rPr>
          <w:lang w:val="uk-UA"/>
        </w:rPr>
        <w:t>За даними</w:t>
      </w:r>
      <w:r w:rsidR="005B057B" w:rsidRPr="00042924">
        <w:rPr>
          <w:lang w:val="uk-UA"/>
        </w:rPr>
        <w:t xml:space="preserve"> табл. </w:t>
      </w:r>
      <w:r w:rsidR="00C13497" w:rsidRPr="00042924">
        <w:rPr>
          <w:lang w:val="uk-UA"/>
        </w:rPr>
        <w:t>1</w:t>
      </w:r>
      <w:r w:rsidR="005B057B" w:rsidRPr="00042924">
        <w:rPr>
          <w:lang w:val="uk-UA"/>
        </w:rPr>
        <w:t>.</w:t>
      </w:r>
      <w:r w:rsidR="00C13497" w:rsidRPr="00042924">
        <w:rPr>
          <w:lang w:val="uk-UA"/>
        </w:rPr>
        <w:t>5</w:t>
      </w:r>
      <w:r w:rsidR="005B057B" w:rsidRPr="00042924">
        <w:rPr>
          <w:lang w:val="uk-UA"/>
        </w:rPr>
        <w:t xml:space="preserve"> с</w:t>
      </w:r>
      <w:r w:rsidR="000C0B29" w:rsidRPr="00042924">
        <w:rPr>
          <w:lang w:val="uk-UA"/>
        </w:rPr>
        <w:t>постерігається загальна тенденція до зниження кількості розглянутих справ про банкрутство, особливо різке падіння у 2021-2022 рр. Це може бути пов'язано з економічною кризою та війною. Водночас частка справ про банкрутство серед усіх справ, розглянутих госп</w:t>
      </w:r>
      <w:r w:rsidR="00266F69" w:rsidRPr="00042924">
        <w:rPr>
          <w:lang w:val="uk-UA"/>
        </w:rPr>
        <w:t xml:space="preserve">одарськими </w:t>
      </w:r>
      <w:r w:rsidR="000C0B29" w:rsidRPr="00042924">
        <w:rPr>
          <w:lang w:val="uk-UA"/>
        </w:rPr>
        <w:t xml:space="preserve">судами, залишається досить стабільною - близько 16-19%. </w:t>
      </w:r>
      <w:r w:rsidR="00270DE6" w:rsidRPr="00042924">
        <w:rPr>
          <w:lang w:val="uk-UA"/>
        </w:rPr>
        <w:t>Але д</w:t>
      </w:r>
      <w:r w:rsidR="000C0B29" w:rsidRPr="00042924">
        <w:rPr>
          <w:lang w:val="uk-UA"/>
        </w:rPr>
        <w:t xml:space="preserve">ані за І півріччя 2023 р. </w:t>
      </w:r>
      <w:r w:rsidR="00D273DC" w:rsidRPr="00042924">
        <w:rPr>
          <w:lang w:val="uk-UA"/>
        </w:rPr>
        <w:t>мають не зовсім позитивн</w:t>
      </w:r>
      <w:r w:rsidR="008C7867" w:rsidRPr="00042924">
        <w:rPr>
          <w:lang w:val="uk-UA"/>
        </w:rPr>
        <w:t>і значення, все тому що</w:t>
      </w:r>
      <w:r w:rsidR="005E6AB7" w:rsidRPr="00042924">
        <w:rPr>
          <w:lang w:val="uk-UA"/>
        </w:rPr>
        <w:t xml:space="preserve"> лише за пів року було розглянуто </w:t>
      </w:r>
      <w:r w:rsidR="0077132F" w:rsidRPr="00042924">
        <w:rPr>
          <w:lang w:val="uk-UA"/>
        </w:rPr>
        <w:t xml:space="preserve">вже аж </w:t>
      </w:r>
      <w:r w:rsidR="005E6AB7" w:rsidRPr="00042924">
        <w:rPr>
          <w:lang w:val="uk-UA"/>
        </w:rPr>
        <w:t>68,5% справ</w:t>
      </w:r>
      <w:r w:rsidR="0077132F" w:rsidRPr="00042924">
        <w:rPr>
          <w:lang w:val="uk-UA"/>
        </w:rPr>
        <w:t xml:space="preserve"> у порівнянні з загальною кількістю </w:t>
      </w:r>
      <w:r w:rsidR="005959D6" w:rsidRPr="00042924">
        <w:rPr>
          <w:lang w:val="uk-UA"/>
        </w:rPr>
        <w:t>попереднього</w:t>
      </w:r>
      <w:r w:rsidR="0077132F" w:rsidRPr="00042924">
        <w:rPr>
          <w:lang w:val="uk-UA"/>
        </w:rPr>
        <w:t xml:space="preserve"> року</w:t>
      </w:r>
      <w:r w:rsidR="00017AF8" w:rsidRPr="00042924">
        <w:rPr>
          <w:lang w:val="uk-UA"/>
        </w:rPr>
        <w:t>.</w:t>
      </w:r>
    </w:p>
    <w:p w14:paraId="3F39A117" w14:textId="77777777" w:rsidR="00590D9F" w:rsidRPr="00042924" w:rsidRDefault="00590D9F" w:rsidP="00BA4012">
      <w:pPr>
        <w:pStyle w:val="a4"/>
        <w:ind w:firstLine="709"/>
        <w:jc w:val="both"/>
        <w:rPr>
          <w:lang w:val="uk-UA"/>
        </w:rPr>
      </w:pPr>
    </w:p>
    <w:p w14:paraId="20E5BD22" w14:textId="77777777" w:rsidR="00BA4012" w:rsidRPr="00042924" w:rsidRDefault="00BA4012" w:rsidP="00BB02D1">
      <w:pPr>
        <w:pStyle w:val="a4"/>
        <w:ind w:firstLine="709"/>
        <w:jc w:val="both"/>
        <w:rPr>
          <w:lang w:val="uk-UA"/>
        </w:rPr>
      </w:pPr>
      <w:r w:rsidRPr="00042924">
        <w:rPr>
          <w:lang w:val="uk-UA"/>
        </w:rPr>
        <w:t>Таблиця</w:t>
      </w:r>
      <w:r w:rsidRPr="00042924">
        <w:rPr>
          <w:spacing w:val="-1"/>
          <w:lang w:val="uk-UA"/>
        </w:rPr>
        <w:t xml:space="preserve"> </w:t>
      </w:r>
      <w:r w:rsidR="00C13497" w:rsidRPr="00042924">
        <w:rPr>
          <w:lang w:val="uk-UA"/>
        </w:rPr>
        <w:t>1</w:t>
      </w:r>
      <w:r w:rsidRPr="00042924">
        <w:rPr>
          <w:lang w:val="uk-UA"/>
        </w:rPr>
        <w:t>.</w:t>
      </w:r>
      <w:r w:rsidR="00C13497" w:rsidRPr="00042924">
        <w:rPr>
          <w:lang w:val="uk-UA"/>
        </w:rPr>
        <w:t>6</w:t>
      </w:r>
      <w:r w:rsidR="00590D9F" w:rsidRPr="00042924">
        <w:rPr>
          <w:lang w:val="uk-UA"/>
        </w:rPr>
        <w:t xml:space="preserve"> – Р</w:t>
      </w:r>
      <w:r w:rsidRPr="00042924">
        <w:rPr>
          <w:lang w:val="uk-UA"/>
        </w:rPr>
        <w:t>озгляд</w:t>
      </w:r>
      <w:r w:rsidRPr="00042924">
        <w:rPr>
          <w:spacing w:val="-1"/>
          <w:lang w:val="uk-UA"/>
        </w:rPr>
        <w:t xml:space="preserve"> </w:t>
      </w:r>
      <w:r w:rsidRPr="00042924">
        <w:rPr>
          <w:lang w:val="uk-UA"/>
        </w:rPr>
        <w:t>грошових</w:t>
      </w:r>
      <w:r w:rsidRPr="00042924">
        <w:rPr>
          <w:spacing w:val="-7"/>
          <w:lang w:val="uk-UA"/>
        </w:rPr>
        <w:t xml:space="preserve"> </w:t>
      </w:r>
      <w:r w:rsidRPr="00042924">
        <w:rPr>
          <w:lang w:val="uk-UA"/>
        </w:rPr>
        <w:t>вимог</w:t>
      </w:r>
      <w:r w:rsidRPr="00042924">
        <w:rPr>
          <w:spacing w:val="3"/>
          <w:lang w:val="uk-UA"/>
        </w:rPr>
        <w:t xml:space="preserve"> </w:t>
      </w:r>
      <w:r w:rsidRPr="00042924">
        <w:rPr>
          <w:lang w:val="uk-UA"/>
        </w:rPr>
        <w:t>у</w:t>
      </w:r>
      <w:r w:rsidRPr="00042924">
        <w:rPr>
          <w:spacing w:val="-7"/>
          <w:lang w:val="uk-UA"/>
        </w:rPr>
        <w:t xml:space="preserve"> </w:t>
      </w:r>
      <w:r w:rsidRPr="00042924">
        <w:rPr>
          <w:lang w:val="uk-UA"/>
        </w:rPr>
        <w:t>справах</w:t>
      </w:r>
      <w:r w:rsidRPr="00042924">
        <w:rPr>
          <w:spacing w:val="-7"/>
          <w:lang w:val="uk-UA"/>
        </w:rPr>
        <w:t xml:space="preserve"> </w:t>
      </w:r>
      <w:r w:rsidRPr="00042924">
        <w:rPr>
          <w:lang w:val="uk-UA"/>
        </w:rPr>
        <w:t>про</w:t>
      </w:r>
      <w:r w:rsidRPr="00042924">
        <w:rPr>
          <w:spacing w:val="-3"/>
          <w:lang w:val="uk-UA"/>
        </w:rPr>
        <w:t xml:space="preserve"> </w:t>
      </w:r>
      <w:r w:rsidRPr="00042924">
        <w:rPr>
          <w:lang w:val="uk-UA"/>
        </w:rPr>
        <w:t>банкрутство</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3916"/>
        <w:gridCol w:w="1201"/>
        <w:gridCol w:w="1201"/>
        <w:gridCol w:w="1201"/>
        <w:gridCol w:w="1201"/>
        <w:gridCol w:w="1191"/>
      </w:tblGrid>
      <w:tr w:rsidR="009E12F8" w:rsidRPr="00BB02D1" w14:paraId="01261235" w14:textId="77777777" w:rsidTr="009068A7">
        <w:trPr>
          <w:trHeight w:val="340"/>
          <w:jc w:val="center"/>
        </w:trPr>
        <w:tc>
          <w:tcPr>
            <w:tcW w:w="1975" w:type="pct"/>
            <w:vMerge w:val="restart"/>
            <w:vAlign w:val="center"/>
          </w:tcPr>
          <w:p w14:paraId="28959520" w14:textId="77777777" w:rsidR="00BA4012" w:rsidRPr="00BB02D1" w:rsidRDefault="00BA4012" w:rsidP="00D46E7A">
            <w:pPr>
              <w:pStyle w:val="TableParagraph"/>
              <w:jc w:val="center"/>
              <w:rPr>
                <w:bCs/>
                <w:sz w:val="24"/>
                <w:szCs w:val="24"/>
                <w:lang w:val="uk-UA"/>
              </w:rPr>
            </w:pPr>
            <w:r w:rsidRPr="00BB02D1">
              <w:rPr>
                <w:bCs/>
                <w:sz w:val="24"/>
                <w:szCs w:val="24"/>
                <w:lang w:val="uk-UA"/>
              </w:rPr>
              <w:t>Найменування</w:t>
            </w:r>
            <w:r w:rsidRPr="00BB02D1">
              <w:rPr>
                <w:bCs/>
                <w:spacing w:val="-2"/>
                <w:sz w:val="24"/>
                <w:szCs w:val="24"/>
                <w:lang w:val="uk-UA"/>
              </w:rPr>
              <w:t xml:space="preserve"> </w:t>
            </w:r>
            <w:r w:rsidRPr="00BB02D1">
              <w:rPr>
                <w:bCs/>
                <w:sz w:val="24"/>
                <w:szCs w:val="24"/>
                <w:lang w:val="uk-UA"/>
              </w:rPr>
              <w:t>показника</w:t>
            </w:r>
          </w:p>
        </w:tc>
        <w:tc>
          <w:tcPr>
            <w:tcW w:w="3025" w:type="pct"/>
            <w:gridSpan w:val="5"/>
            <w:vAlign w:val="center"/>
          </w:tcPr>
          <w:p w14:paraId="0D86A2F4" w14:textId="77777777" w:rsidR="00BA4012" w:rsidRPr="00BB02D1" w:rsidRDefault="00BA4012" w:rsidP="00D46E7A">
            <w:pPr>
              <w:pStyle w:val="TableParagraph"/>
              <w:jc w:val="center"/>
              <w:rPr>
                <w:bCs/>
                <w:sz w:val="24"/>
                <w:szCs w:val="24"/>
                <w:lang w:val="uk-UA"/>
              </w:rPr>
            </w:pPr>
            <w:r w:rsidRPr="00BB02D1">
              <w:rPr>
                <w:bCs/>
                <w:sz w:val="24"/>
                <w:szCs w:val="24"/>
                <w:lang w:val="uk-UA"/>
              </w:rPr>
              <w:t>Роки</w:t>
            </w:r>
          </w:p>
        </w:tc>
      </w:tr>
      <w:tr w:rsidR="004573E3" w:rsidRPr="00BB02D1" w14:paraId="32031C8A" w14:textId="77777777" w:rsidTr="009068A7">
        <w:trPr>
          <w:trHeight w:val="340"/>
          <w:jc w:val="center"/>
        </w:trPr>
        <w:tc>
          <w:tcPr>
            <w:tcW w:w="1975" w:type="pct"/>
            <w:vMerge/>
            <w:tcBorders>
              <w:top w:val="nil"/>
            </w:tcBorders>
            <w:vAlign w:val="center"/>
          </w:tcPr>
          <w:p w14:paraId="2C952B22" w14:textId="77777777" w:rsidR="004573E3" w:rsidRPr="00BB02D1" w:rsidRDefault="004573E3" w:rsidP="004573E3">
            <w:pPr>
              <w:jc w:val="center"/>
              <w:rPr>
                <w:rFonts w:ascii="Times New Roman" w:hAnsi="Times New Roman" w:cs="Times New Roman"/>
                <w:bCs/>
                <w:sz w:val="24"/>
                <w:szCs w:val="24"/>
                <w:lang w:val="uk-UA"/>
              </w:rPr>
            </w:pPr>
          </w:p>
        </w:tc>
        <w:tc>
          <w:tcPr>
            <w:tcW w:w="606" w:type="pct"/>
            <w:vAlign w:val="center"/>
          </w:tcPr>
          <w:p w14:paraId="71A493D0" w14:textId="77777777" w:rsidR="004573E3" w:rsidRPr="00BB02D1" w:rsidRDefault="004573E3" w:rsidP="004573E3">
            <w:pPr>
              <w:pStyle w:val="TableParagraph"/>
              <w:jc w:val="center"/>
              <w:rPr>
                <w:bCs/>
                <w:sz w:val="24"/>
                <w:szCs w:val="24"/>
                <w:lang w:val="uk-UA"/>
              </w:rPr>
            </w:pPr>
            <w:r w:rsidRPr="00BB02D1">
              <w:rPr>
                <w:bCs/>
                <w:sz w:val="24"/>
                <w:szCs w:val="24"/>
                <w:lang w:val="uk-UA"/>
              </w:rPr>
              <w:t>2018</w:t>
            </w:r>
          </w:p>
        </w:tc>
        <w:tc>
          <w:tcPr>
            <w:tcW w:w="606" w:type="pct"/>
            <w:vAlign w:val="center"/>
          </w:tcPr>
          <w:p w14:paraId="51C77D72" w14:textId="77777777" w:rsidR="004573E3" w:rsidRPr="00BB02D1" w:rsidRDefault="004573E3" w:rsidP="004573E3">
            <w:pPr>
              <w:pStyle w:val="TableParagraph"/>
              <w:jc w:val="center"/>
              <w:rPr>
                <w:bCs/>
                <w:sz w:val="24"/>
                <w:szCs w:val="24"/>
                <w:lang w:val="uk-UA"/>
              </w:rPr>
            </w:pPr>
            <w:r w:rsidRPr="00BB02D1">
              <w:rPr>
                <w:bCs/>
                <w:sz w:val="24"/>
                <w:szCs w:val="24"/>
                <w:lang w:val="uk-UA"/>
              </w:rPr>
              <w:t>2019</w:t>
            </w:r>
          </w:p>
        </w:tc>
        <w:tc>
          <w:tcPr>
            <w:tcW w:w="606" w:type="pct"/>
            <w:vAlign w:val="center"/>
          </w:tcPr>
          <w:p w14:paraId="6D246FC7" w14:textId="77777777" w:rsidR="004573E3" w:rsidRPr="00BB02D1" w:rsidRDefault="004573E3" w:rsidP="004573E3">
            <w:pPr>
              <w:pStyle w:val="TableParagraph"/>
              <w:jc w:val="center"/>
              <w:rPr>
                <w:bCs/>
                <w:sz w:val="24"/>
                <w:szCs w:val="24"/>
                <w:lang w:val="uk-UA"/>
              </w:rPr>
            </w:pPr>
            <w:r w:rsidRPr="00BB02D1">
              <w:rPr>
                <w:bCs/>
                <w:sz w:val="24"/>
                <w:szCs w:val="24"/>
                <w:lang w:val="uk-UA"/>
              </w:rPr>
              <w:t>2020</w:t>
            </w:r>
          </w:p>
        </w:tc>
        <w:tc>
          <w:tcPr>
            <w:tcW w:w="606" w:type="pct"/>
            <w:vAlign w:val="center"/>
          </w:tcPr>
          <w:p w14:paraId="29E11EAE" w14:textId="77777777" w:rsidR="004573E3" w:rsidRPr="00BB02D1" w:rsidRDefault="004573E3" w:rsidP="004573E3">
            <w:pPr>
              <w:pStyle w:val="TableParagraph"/>
              <w:jc w:val="center"/>
              <w:rPr>
                <w:bCs/>
                <w:sz w:val="24"/>
                <w:szCs w:val="24"/>
                <w:lang w:val="uk-UA"/>
              </w:rPr>
            </w:pPr>
            <w:r w:rsidRPr="00BB02D1">
              <w:rPr>
                <w:bCs/>
                <w:sz w:val="24"/>
                <w:szCs w:val="24"/>
                <w:lang w:val="uk-UA"/>
              </w:rPr>
              <w:t>2021</w:t>
            </w:r>
          </w:p>
        </w:tc>
        <w:tc>
          <w:tcPr>
            <w:tcW w:w="602" w:type="pct"/>
            <w:vAlign w:val="center"/>
          </w:tcPr>
          <w:p w14:paraId="3C62B694" w14:textId="77777777" w:rsidR="004573E3" w:rsidRPr="00BB02D1" w:rsidRDefault="004573E3" w:rsidP="004573E3">
            <w:pPr>
              <w:pStyle w:val="TableParagraph"/>
              <w:jc w:val="center"/>
              <w:rPr>
                <w:bCs/>
                <w:sz w:val="24"/>
                <w:szCs w:val="24"/>
                <w:lang w:val="uk-UA"/>
              </w:rPr>
            </w:pPr>
            <w:r w:rsidRPr="00BB02D1">
              <w:rPr>
                <w:bCs/>
                <w:sz w:val="24"/>
                <w:szCs w:val="24"/>
                <w:lang w:val="uk-UA"/>
              </w:rPr>
              <w:t>2022</w:t>
            </w:r>
          </w:p>
        </w:tc>
      </w:tr>
      <w:tr w:rsidR="005A699E" w:rsidRPr="00BB02D1" w14:paraId="6F713034" w14:textId="77777777" w:rsidTr="00903772">
        <w:trPr>
          <w:trHeight w:val="283"/>
          <w:jc w:val="center"/>
        </w:trPr>
        <w:tc>
          <w:tcPr>
            <w:tcW w:w="1975" w:type="pct"/>
            <w:vAlign w:val="center"/>
          </w:tcPr>
          <w:p w14:paraId="3C6AACA1" w14:textId="77777777" w:rsidR="005A699E" w:rsidRPr="00903772" w:rsidRDefault="00073B4B" w:rsidP="00094077">
            <w:pPr>
              <w:pStyle w:val="TableParagraph"/>
              <w:jc w:val="center"/>
              <w:rPr>
                <w:bCs/>
                <w:sz w:val="24"/>
                <w:szCs w:val="24"/>
                <w:lang w:val="uk-UA"/>
              </w:rPr>
            </w:pPr>
            <w:r w:rsidRPr="00903772">
              <w:rPr>
                <w:bCs/>
                <w:sz w:val="24"/>
                <w:szCs w:val="24"/>
                <w:lang w:val="uk-UA"/>
              </w:rPr>
              <w:t>1</w:t>
            </w:r>
          </w:p>
        </w:tc>
        <w:tc>
          <w:tcPr>
            <w:tcW w:w="606" w:type="pct"/>
            <w:vAlign w:val="center"/>
          </w:tcPr>
          <w:p w14:paraId="636D75CD" w14:textId="77777777" w:rsidR="005A699E" w:rsidRPr="00903772" w:rsidRDefault="00073B4B" w:rsidP="00094077">
            <w:pPr>
              <w:jc w:val="center"/>
              <w:rPr>
                <w:rFonts w:ascii="Times New Roman" w:hAnsi="Times New Roman" w:cs="Times New Roman"/>
                <w:bCs/>
                <w:sz w:val="24"/>
                <w:szCs w:val="24"/>
                <w:lang w:val="uk-UA"/>
              </w:rPr>
            </w:pPr>
            <w:r w:rsidRPr="00903772">
              <w:rPr>
                <w:rFonts w:ascii="Times New Roman" w:hAnsi="Times New Roman" w:cs="Times New Roman"/>
                <w:bCs/>
                <w:sz w:val="24"/>
                <w:szCs w:val="24"/>
                <w:lang w:val="uk-UA"/>
              </w:rPr>
              <w:t>2</w:t>
            </w:r>
          </w:p>
        </w:tc>
        <w:tc>
          <w:tcPr>
            <w:tcW w:w="606" w:type="pct"/>
            <w:vAlign w:val="center"/>
          </w:tcPr>
          <w:p w14:paraId="794D2717" w14:textId="77777777" w:rsidR="005A699E" w:rsidRPr="00903772" w:rsidRDefault="00073B4B" w:rsidP="00094077">
            <w:pPr>
              <w:jc w:val="center"/>
              <w:rPr>
                <w:rFonts w:ascii="Times New Roman" w:hAnsi="Times New Roman" w:cs="Times New Roman"/>
                <w:bCs/>
                <w:sz w:val="24"/>
                <w:szCs w:val="24"/>
                <w:lang w:val="uk-UA"/>
              </w:rPr>
            </w:pPr>
            <w:r w:rsidRPr="00903772">
              <w:rPr>
                <w:rFonts w:ascii="Times New Roman" w:hAnsi="Times New Roman" w:cs="Times New Roman"/>
                <w:bCs/>
                <w:sz w:val="24"/>
                <w:szCs w:val="24"/>
                <w:lang w:val="uk-UA"/>
              </w:rPr>
              <w:t>3</w:t>
            </w:r>
          </w:p>
        </w:tc>
        <w:tc>
          <w:tcPr>
            <w:tcW w:w="606" w:type="pct"/>
            <w:vAlign w:val="center"/>
          </w:tcPr>
          <w:p w14:paraId="1FE19398" w14:textId="77777777" w:rsidR="005A699E" w:rsidRPr="00903772" w:rsidRDefault="00073B4B" w:rsidP="00094077">
            <w:pPr>
              <w:jc w:val="center"/>
              <w:rPr>
                <w:rFonts w:ascii="Times New Roman" w:hAnsi="Times New Roman" w:cs="Times New Roman"/>
                <w:bCs/>
                <w:sz w:val="24"/>
                <w:szCs w:val="24"/>
                <w:lang w:val="uk-UA"/>
              </w:rPr>
            </w:pPr>
            <w:r w:rsidRPr="00903772">
              <w:rPr>
                <w:rFonts w:ascii="Times New Roman" w:hAnsi="Times New Roman" w:cs="Times New Roman"/>
                <w:bCs/>
                <w:sz w:val="24"/>
                <w:szCs w:val="24"/>
                <w:lang w:val="uk-UA"/>
              </w:rPr>
              <w:t>4</w:t>
            </w:r>
          </w:p>
        </w:tc>
        <w:tc>
          <w:tcPr>
            <w:tcW w:w="606" w:type="pct"/>
            <w:vAlign w:val="center"/>
          </w:tcPr>
          <w:p w14:paraId="2BE7F9F9" w14:textId="77777777" w:rsidR="005A699E" w:rsidRPr="00903772" w:rsidRDefault="00073B4B" w:rsidP="00094077">
            <w:pPr>
              <w:jc w:val="center"/>
              <w:rPr>
                <w:rFonts w:ascii="Times New Roman" w:hAnsi="Times New Roman" w:cs="Times New Roman"/>
                <w:bCs/>
                <w:sz w:val="24"/>
                <w:szCs w:val="24"/>
                <w:lang w:val="uk-UA"/>
              </w:rPr>
            </w:pPr>
            <w:r w:rsidRPr="00903772">
              <w:rPr>
                <w:rFonts w:ascii="Times New Roman" w:hAnsi="Times New Roman" w:cs="Times New Roman"/>
                <w:bCs/>
                <w:sz w:val="24"/>
                <w:szCs w:val="24"/>
                <w:lang w:val="uk-UA"/>
              </w:rPr>
              <w:t>5</w:t>
            </w:r>
          </w:p>
        </w:tc>
        <w:tc>
          <w:tcPr>
            <w:tcW w:w="602" w:type="pct"/>
            <w:vAlign w:val="center"/>
          </w:tcPr>
          <w:p w14:paraId="7D6D916E" w14:textId="77777777" w:rsidR="005A699E" w:rsidRPr="00903772" w:rsidRDefault="00073B4B" w:rsidP="00094077">
            <w:pPr>
              <w:jc w:val="center"/>
              <w:rPr>
                <w:rFonts w:ascii="Times New Roman" w:hAnsi="Times New Roman" w:cs="Times New Roman"/>
                <w:bCs/>
                <w:sz w:val="24"/>
                <w:szCs w:val="24"/>
                <w:lang w:val="uk-UA"/>
              </w:rPr>
            </w:pPr>
            <w:r w:rsidRPr="00903772">
              <w:rPr>
                <w:rFonts w:ascii="Times New Roman" w:hAnsi="Times New Roman" w:cs="Times New Roman"/>
                <w:bCs/>
                <w:sz w:val="24"/>
                <w:szCs w:val="24"/>
                <w:lang w:val="uk-UA"/>
              </w:rPr>
              <w:t>6</w:t>
            </w:r>
          </w:p>
        </w:tc>
      </w:tr>
      <w:tr w:rsidR="00094077" w:rsidRPr="00BB02D1" w14:paraId="7A6F6F92" w14:textId="77777777" w:rsidTr="00903772">
        <w:trPr>
          <w:trHeight w:val="624"/>
          <w:jc w:val="center"/>
        </w:trPr>
        <w:tc>
          <w:tcPr>
            <w:tcW w:w="1975" w:type="pct"/>
            <w:vAlign w:val="center"/>
          </w:tcPr>
          <w:p w14:paraId="645335D9" w14:textId="77777777" w:rsidR="00094077" w:rsidRPr="00BB02D1" w:rsidRDefault="00094077" w:rsidP="00094077">
            <w:pPr>
              <w:pStyle w:val="TableParagraph"/>
              <w:jc w:val="center"/>
              <w:rPr>
                <w:bCs/>
                <w:sz w:val="24"/>
                <w:szCs w:val="24"/>
                <w:lang w:val="uk-UA"/>
              </w:rPr>
            </w:pPr>
            <w:r w:rsidRPr="00BB02D1">
              <w:rPr>
                <w:bCs/>
                <w:sz w:val="24"/>
                <w:szCs w:val="24"/>
                <w:lang w:val="uk-UA"/>
              </w:rPr>
              <w:t>Кількість</w:t>
            </w:r>
            <w:r w:rsidRPr="00BB02D1">
              <w:rPr>
                <w:bCs/>
                <w:spacing w:val="-4"/>
                <w:sz w:val="24"/>
                <w:szCs w:val="24"/>
                <w:lang w:val="uk-UA"/>
              </w:rPr>
              <w:t xml:space="preserve"> </w:t>
            </w:r>
            <w:r w:rsidRPr="00BB02D1">
              <w:rPr>
                <w:bCs/>
                <w:sz w:val="24"/>
                <w:szCs w:val="24"/>
                <w:lang w:val="uk-UA"/>
              </w:rPr>
              <w:t>заяв</w:t>
            </w:r>
            <w:r w:rsidRPr="00BB02D1">
              <w:rPr>
                <w:bCs/>
                <w:spacing w:val="-1"/>
                <w:sz w:val="24"/>
                <w:szCs w:val="24"/>
                <w:lang w:val="uk-UA"/>
              </w:rPr>
              <w:t xml:space="preserve"> </w:t>
            </w:r>
            <w:r w:rsidRPr="00BB02D1">
              <w:rPr>
                <w:bCs/>
                <w:sz w:val="24"/>
                <w:szCs w:val="24"/>
                <w:lang w:val="uk-UA"/>
              </w:rPr>
              <w:t>кредиторів</w:t>
            </w:r>
            <w:r w:rsidRPr="00BB02D1">
              <w:rPr>
                <w:bCs/>
                <w:spacing w:val="-2"/>
                <w:sz w:val="24"/>
                <w:szCs w:val="24"/>
                <w:lang w:val="uk-UA"/>
              </w:rPr>
              <w:t xml:space="preserve"> </w:t>
            </w:r>
            <w:r w:rsidRPr="00BB02D1">
              <w:rPr>
                <w:bCs/>
                <w:sz w:val="24"/>
                <w:szCs w:val="24"/>
                <w:lang w:val="uk-UA"/>
              </w:rPr>
              <w:t>із</w:t>
            </w:r>
            <w:r w:rsidRPr="00BB02D1">
              <w:rPr>
                <w:bCs/>
                <w:spacing w:val="-3"/>
                <w:sz w:val="24"/>
                <w:szCs w:val="24"/>
                <w:lang w:val="uk-UA"/>
              </w:rPr>
              <w:t xml:space="preserve"> </w:t>
            </w:r>
            <w:r w:rsidRPr="00BB02D1">
              <w:rPr>
                <w:bCs/>
                <w:sz w:val="24"/>
                <w:szCs w:val="24"/>
                <w:lang w:val="uk-UA"/>
              </w:rPr>
              <w:t>грошовим</w:t>
            </w:r>
            <w:r w:rsidR="00B346B5" w:rsidRPr="00BB02D1">
              <w:rPr>
                <w:bCs/>
                <w:sz w:val="24"/>
                <w:szCs w:val="24"/>
                <w:lang w:val="uk-UA"/>
              </w:rPr>
              <w:t xml:space="preserve">и </w:t>
            </w:r>
            <w:r w:rsidRPr="00BB02D1">
              <w:rPr>
                <w:bCs/>
                <w:sz w:val="24"/>
                <w:szCs w:val="24"/>
                <w:lang w:val="uk-UA"/>
              </w:rPr>
              <w:t>вимогами,</w:t>
            </w:r>
            <w:r w:rsidRPr="00BB02D1">
              <w:rPr>
                <w:bCs/>
                <w:spacing w:val="3"/>
                <w:sz w:val="24"/>
                <w:szCs w:val="24"/>
                <w:lang w:val="uk-UA"/>
              </w:rPr>
              <w:t xml:space="preserve"> </w:t>
            </w:r>
            <w:r w:rsidRPr="00BB02D1">
              <w:rPr>
                <w:bCs/>
                <w:sz w:val="24"/>
                <w:szCs w:val="24"/>
                <w:lang w:val="uk-UA"/>
              </w:rPr>
              <w:t>од.</w:t>
            </w:r>
          </w:p>
        </w:tc>
        <w:tc>
          <w:tcPr>
            <w:tcW w:w="606" w:type="pct"/>
            <w:vAlign w:val="center"/>
          </w:tcPr>
          <w:p w14:paraId="6745A284"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4 781</w:t>
            </w:r>
          </w:p>
        </w:tc>
        <w:tc>
          <w:tcPr>
            <w:tcW w:w="606" w:type="pct"/>
            <w:vAlign w:val="center"/>
          </w:tcPr>
          <w:p w14:paraId="7578963D"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1 777</w:t>
            </w:r>
          </w:p>
        </w:tc>
        <w:tc>
          <w:tcPr>
            <w:tcW w:w="606" w:type="pct"/>
            <w:vAlign w:val="center"/>
          </w:tcPr>
          <w:p w14:paraId="2E289EC4"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1 701</w:t>
            </w:r>
          </w:p>
        </w:tc>
        <w:tc>
          <w:tcPr>
            <w:tcW w:w="606" w:type="pct"/>
            <w:vAlign w:val="center"/>
          </w:tcPr>
          <w:p w14:paraId="675FA1BD"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1 472</w:t>
            </w:r>
          </w:p>
        </w:tc>
        <w:tc>
          <w:tcPr>
            <w:tcW w:w="602" w:type="pct"/>
            <w:vAlign w:val="center"/>
          </w:tcPr>
          <w:p w14:paraId="5ACCB603"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627</w:t>
            </w:r>
          </w:p>
        </w:tc>
      </w:tr>
      <w:tr w:rsidR="009A1F9B" w:rsidRPr="00BB02D1" w14:paraId="5BE0DCF6" w14:textId="77777777" w:rsidTr="009A1F9B">
        <w:trPr>
          <w:trHeight w:val="227"/>
          <w:jc w:val="center"/>
        </w:trPr>
        <w:tc>
          <w:tcPr>
            <w:tcW w:w="5000" w:type="pct"/>
            <w:gridSpan w:val="6"/>
            <w:tcBorders>
              <w:top w:val="nil"/>
              <w:left w:val="nil"/>
              <w:right w:val="nil"/>
            </w:tcBorders>
          </w:tcPr>
          <w:p w14:paraId="2018361E" w14:textId="77777777" w:rsidR="009A1F9B" w:rsidRPr="00D00274" w:rsidRDefault="009A1F9B" w:rsidP="00016ACF">
            <w:pPr>
              <w:ind w:firstLine="284"/>
              <w:jc w:val="right"/>
              <w:rPr>
                <w:rFonts w:ascii="Times New Roman" w:hAnsi="Times New Roman" w:cs="Times New Roman"/>
                <w:bCs/>
                <w:sz w:val="28"/>
                <w:szCs w:val="28"/>
                <w:lang w:val="uk-UA"/>
              </w:rPr>
            </w:pPr>
            <w:r w:rsidRPr="00D00274">
              <w:rPr>
                <w:rFonts w:ascii="Times New Roman" w:hAnsi="Times New Roman" w:cs="Times New Roman"/>
                <w:bCs/>
                <w:sz w:val="28"/>
                <w:szCs w:val="28"/>
                <w:lang w:val="uk-UA"/>
              </w:rPr>
              <w:lastRenderedPageBreak/>
              <w:t>Продовження таблиці 1.6</w:t>
            </w:r>
          </w:p>
        </w:tc>
      </w:tr>
      <w:tr w:rsidR="005A699E" w:rsidRPr="00BB02D1" w14:paraId="15F8605D" w14:textId="77777777" w:rsidTr="00BB02D1">
        <w:trPr>
          <w:trHeight w:val="227"/>
          <w:jc w:val="center"/>
        </w:trPr>
        <w:tc>
          <w:tcPr>
            <w:tcW w:w="1975" w:type="pct"/>
            <w:vAlign w:val="center"/>
          </w:tcPr>
          <w:p w14:paraId="5C89AED2" w14:textId="77777777" w:rsidR="005A699E" w:rsidRPr="00BB02D1" w:rsidRDefault="009A1F9B" w:rsidP="00094077">
            <w:pPr>
              <w:pStyle w:val="TableParagraph"/>
              <w:jc w:val="center"/>
              <w:rPr>
                <w:bCs/>
                <w:sz w:val="24"/>
                <w:szCs w:val="24"/>
                <w:lang w:val="uk-UA"/>
              </w:rPr>
            </w:pPr>
            <w:r w:rsidRPr="00BB02D1">
              <w:rPr>
                <w:bCs/>
                <w:sz w:val="24"/>
                <w:szCs w:val="24"/>
                <w:lang w:val="uk-UA"/>
              </w:rPr>
              <w:t>1</w:t>
            </w:r>
          </w:p>
        </w:tc>
        <w:tc>
          <w:tcPr>
            <w:tcW w:w="606" w:type="pct"/>
            <w:vAlign w:val="center"/>
          </w:tcPr>
          <w:p w14:paraId="290485E2" w14:textId="77777777" w:rsidR="005A699E" w:rsidRPr="00BB02D1" w:rsidRDefault="009A1F9B"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2</w:t>
            </w:r>
          </w:p>
        </w:tc>
        <w:tc>
          <w:tcPr>
            <w:tcW w:w="606" w:type="pct"/>
            <w:vAlign w:val="center"/>
          </w:tcPr>
          <w:p w14:paraId="2D90EF8B" w14:textId="77777777" w:rsidR="005A699E" w:rsidRPr="00BB02D1" w:rsidRDefault="009A1F9B"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3</w:t>
            </w:r>
          </w:p>
        </w:tc>
        <w:tc>
          <w:tcPr>
            <w:tcW w:w="606" w:type="pct"/>
            <w:vAlign w:val="center"/>
          </w:tcPr>
          <w:p w14:paraId="2C426311" w14:textId="77777777" w:rsidR="005A699E" w:rsidRPr="00BB02D1" w:rsidRDefault="009A1F9B"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4</w:t>
            </w:r>
          </w:p>
        </w:tc>
        <w:tc>
          <w:tcPr>
            <w:tcW w:w="606" w:type="pct"/>
            <w:vAlign w:val="center"/>
          </w:tcPr>
          <w:p w14:paraId="09DF462A" w14:textId="77777777" w:rsidR="005A699E" w:rsidRPr="00BB02D1" w:rsidRDefault="009A1F9B"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5</w:t>
            </w:r>
          </w:p>
        </w:tc>
        <w:tc>
          <w:tcPr>
            <w:tcW w:w="602" w:type="pct"/>
            <w:vAlign w:val="center"/>
          </w:tcPr>
          <w:p w14:paraId="55937B92" w14:textId="77777777" w:rsidR="005A699E" w:rsidRPr="00BB02D1" w:rsidRDefault="009A1F9B"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6</w:t>
            </w:r>
          </w:p>
        </w:tc>
      </w:tr>
      <w:tr w:rsidR="00094077" w:rsidRPr="00BB02D1" w14:paraId="4FD1224F" w14:textId="77777777" w:rsidTr="00BB02D1">
        <w:trPr>
          <w:trHeight w:val="513"/>
          <w:jc w:val="center"/>
        </w:trPr>
        <w:tc>
          <w:tcPr>
            <w:tcW w:w="1975" w:type="pct"/>
            <w:vAlign w:val="center"/>
          </w:tcPr>
          <w:p w14:paraId="74959ED5" w14:textId="77777777" w:rsidR="00094077" w:rsidRPr="00BB02D1" w:rsidRDefault="00094077" w:rsidP="00094077">
            <w:pPr>
              <w:pStyle w:val="TableParagraph"/>
              <w:jc w:val="center"/>
              <w:rPr>
                <w:bCs/>
                <w:sz w:val="24"/>
                <w:szCs w:val="24"/>
                <w:lang w:val="uk-UA"/>
              </w:rPr>
            </w:pPr>
            <w:r w:rsidRPr="00BB02D1">
              <w:rPr>
                <w:bCs/>
                <w:sz w:val="24"/>
                <w:szCs w:val="24"/>
                <w:lang w:val="uk-UA"/>
              </w:rPr>
              <w:t>Загальна сума</w:t>
            </w:r>
            <w:r w:rsidRPr="00BB02D1">
              <w:rPr>
                <w:bCs/>
                <w:spacing w:val="-5"/>
                <w:sz w:val="24"/>
                <w:szCs w:val="24"/>
                <w:lang w:val="uk-UA"/>
              </w:rPr>
              <w:t xml:space="preserve"> </w:t>
            </w:r>
            <w:r w:rsidRPr="00BB02D1">
              <w:rPr>
                <w:bCs/>
                <w:sz w:val="24"/>
                <w:szCs w:val="24"/>
                <w:lang w:val="uk-UA"/>
              </w:rPr>
              <w:t>грошових</w:t>
            </w:r>
            <w:r w:rsidRPr="00BB02D1">
              <w:rPr>
                <w:bCs/>
                <w:spacing w:val="-2"/>
                <w:sz w:val="24"/>
                <w:szCs w:val="24"/>
                <w:lang w:val="uk-UA"/>
              </w:rPr>
              <w:t xml:space="preserve"> </w:t>
            </w:r>
            <w:r w:rsidRPr="00BB02D1">
              <w:rPr>
                <w:bCs/>
                <w:sz w:val="24"/>
                <w:szCs w:val="24"/>
                <w:lang w:val="uk-UA"/>
              </w:rPr>
              <w:t>вимог, заявлена</w:t>
            </w:r>
          </w:p>
          <w:p w14:paraId="2AFB436C" w14:textId="77777777" w:rsidR="00094077" w:rsidRPr="00BB02D1" w:rsidRDefault="00094077" w:rsidP="00094077">
            <w:pPr>
              <w:pStyle w:val="TableParagraph"/>
              <w:jc w:val="center"/>
              <w:rPr>
                <w:bCs/>
                <w:sz w:val="24"/>
                <w:szCs w:val="24"/>
                <w:lang w:val="uk-UA"/>
              </w:rPr>
            </w:pPr>
            <w:r w:rsidRPr="00BB02D1">
              <w:rPr>
                <w:bCs/>
                <w:sz w:val="24"/>
                <w:szCs w:val="24"/>
                <w:lang w:val="uk-UA"/>
              </w:rPr>
              <w:t>кредиторами,</w:t>
            </w:r>
            <w:r w:rsidRPr="00BB02D1">
              <w:rPr>
                <w:bCs/>
                <w:spacing w:val="1"/>
                <w:sz w:val="24"/>
                <w:szCs w:val="24"/>
                <w:lang w:val="uk-UA"/>
              </w:rPr>
              <w:t xml:space="preserve"> </w:t>
            </w:r>
            <w:r w:rsidRPr="00BB02D1">
              <w:rPr>
                <w:bCs/>
                <w:sz w:val="24"/>
                <w:szCs w:val="24"/>
                <w:lang w:val="uk-UA"/>
              </w:rPr>
              <w:t>млн.</w:t>
            </w:r>
            <w:r w:rsidRPr="00BB02D1">
              <w:rPr>
                <w:bCs/>
                <w:spacing w:val="-4"/>
                <w:sz w:val="24"/>
                <w:szCs w:val="24"/>
                <w:lang w:val="uk-UA"/>
              </w:rPr>
              <w:t xml:space="preserve"> </w:t>
            </w:r>
            <w:r w:rsidRPr="00BB02D1">
              <w:rPr>
                <w:bCs/>
                <w:sz w:val="24"/>
                <w:szCs w:val="24"/>
                <w:lang w:val="uk-UA"/>
              </w:rPr>
              <w:t>грн.</w:t>
            </w:r>
          </w:p>
        </w:tc>
        <w:tc>
          <w:tcPr>
            <w:tcW w:w="606" w:type="pct"/>
            <w:vAlign w:val="center"/>
          </w:tcPr>
          <w:p w14:paraId="04564B66"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505 792</w:t>
            </w:r>
          </w:p>
        </w:tc>
        <w:tc>
          <w:tcPr>
            <w:tcW w:w="606" w:type="pct"/>
            <w:vAlign w:val="center"/>
          </w:tcPr>
          <w:p w14:paraId="7D972E44"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115 816</w:t>
            </w:r>
          </w:p>
        </w:tc>
        <w:tc>
          <w:tcPr>
            <w:tcW w:w="606" w:type="pct"/>
            <w:vAlign w:val="center"/>
          </w:tcPr>
          <w:p w14:paraId="2BD6D8F8"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150 090</w:t>
            </w:r>
          </w:p>
        </w:tc>
        <w:tc>
          <w:tcPr>
            <w:tcW w:w="606" w:type="pct"/>
            <w:vAlign w:val="center"/>
          </w:tcPr>
          <w:p w14:paraId="6C4E7C15"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113 893</w:t>
            </w:r>
          </w:p>
        </w:tc>
        <w:tc>
          <w:tcPr>
            <w:tcW w:w="602" w:type="pct"/>
            <w:vAlign w:val="center"/>
          </w:tcPr>
          <w:p w14:paraId="19FB113D"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81 624</w:t>
            </w:r>
          </w:p>
        </w:tc>
      </w:tr>
      <w:tr w:rsidR="00094077" w:rsidRPr="00BB02D1" w14:paraId="6F435953" w14:textId="77777777" w:rsidTr="00BB02D1">
        <w:trPr>
          <w:trHeight w:val="503"/>
          <w:jc w:val="center"/>
        </w:trPr>
        <w:tc>
          <w:tcPr>
            <w:tcW w:w="1975" w:type="pct"/>
            <w:vAlign w:val="center"/>
          </w:tcPr>
          <w:p w14:paraId="251DFFAD" w14:textId="77777777" w:rsidR="00094077" w:rsidRPr="00BB02D1" w:rsidRDefault="00094077" w:rsidP="00094077">
            <w:pPr>
              <w:pStyle w:val="TableParagraph"/>
              <w:jc w:val="center"/>
              <w:rPr>
                <w:bCs/>
                <w:sz w:val="24"/>
                <w:szCs w:val="24"/>
                <w:lang w:val="uk-UA"/>
              </w:rPr>
            </w:pPr>
            <w:r w:rsidRPr="00BB02D1">
              <w:rPr>
                <w:bCs/>
                <w:sz w:val="24"/>
                <w:szCs w:val="24"/>
                <w:lang w:val="uk-UA"/>
              </w:rPr>
              <w:t>Загальна</w:t>
            </w:r>
            <w:r w:rsidRPr="00BB02D1">
              <w:rPr>
                <w:bCs/>
                <w:spacing w:val="-2"/>
                <w:sz w:val="24"/>
                <w:szCs w:val="24"/>
                <w:lang w:val="uk-UA"/>
              </w:rPr>
              <w:t xml:space="preserve"> </w:t>
            </w:r>
            <w:r w:rsidRPr="00BB02D1">
              <w:rPr>
                <w:bCs/>
                <w:sz w:val="24"/>
                <w:szCs w:val="24"/>
                <w:lang w:val="uk-UA"/>
              </w:rPr>
              <w:t>сума</w:t>
            </w:r>
            <w:r w:rsidRPr="00BB02D1">
              <w:rPr>
                <w:bCs/>
                <w:spacing w:val="-6"/>
                <w:sz w:val="24"/>
                <w:szCs w:val="24"/>
                <w:lang w:val="uk-UA"/>
              </w:rPr>
              <w:t xml:space="preserve"> </w:t>
            </w:r>
            <w:r w:rsidRPr="00BB02D1">
              <w:rPr>
                <w:bCs/>
                <w:sz w:val="24"/>
                <w:szCs w:val="24"/>
                <w:lang w:val="uk-UA"/>
              </w:rPr>
              <w:t>грошових</w:t>
            </w:r>
            <w:r w:rsidRPr="00BB02D1">
              <w:rPr>
                <w:bCs/>
                <w:spacing w:val="-4"/>
                <w:sz w:val="24"/>
                <w:szCs w:val="24"/>
                <w:lang w:val="uk-UA"/>
              </w:rPr>
              <w:t xml:space="preserve"> </w:t>
            </w:r>
            <w:r w:rsidRPr="00BB02D1">
              <w:rPr>
                <w:bCs/>
                <w:sz w:val="24"/>
                <w:szCs w:val="24"/>
                <w:lang w:val="uk-UA"/>
              </w:rPr>
              <w:t>вимог</w:t>
            </w:r>
            <w:r w:rsidRPr="00BB02D1">
              <w:rPr>
                <w:bCs/>
                <w:spacing w:val="-4"/>
                <w:sz w:val="24"/>
                <w:szCs w:val="24"/>
                <w:lang w:val="uk-UA"/>
              </w:rPr>
              <w:t xml:space="preserve"> </w:t>
            </w:r>
            <w:r w:rsidRPr="00BB02D1">
              <w:rPr>
                <w:bCs/>
                <w:sz w:val="24"/>
                <w:szCs w:val="24"/>
                <w:lang w:val="uk-UA"/>
              </w:rPr>
              <w:t>кредиторів,</w:t>
            </w:r>
            <w:r w:rsidRPr="00BB02D1">
              <w:rPr>
                <w:bCs/>
                <w:spacing w:val="-52"/>
                <w:sz w:val="24"/>
                <w:szCs w:val="24"/>
                <w:lang w:val="uk-UA"/>
              </w:rPr>
              <w:t xml:space="preserve"> </w:t>
            </w:r>
            <w:r w:rsidRPr="00BB02D1">
              <w:rPr>
                <w:bCs/>
                <w:sz w:val="24"/>
                <w:szCs w:val="24"/>
                <w:lang w:val="uk-UA"/>
              </w:rPr>
              <w:t>визнана</w:t>
            </w:r>
            <w:r w:rsidRPr="00BB02D1">
              <w:rPr>
                <w:bCs/>
                <w:spacing w:val="-1"/>
                <w:sz w:val="24"/>
                <w:szCs w:val="24"/>
                <w:lang w:val="uk-UA"/>
              </w:rPr>
              <w:t xml:space="preserve"> </w:t>
            </w:r>
            <w:r w:rsidRPr="00BB02D1">
              <w:rPr>
                <w:bCs/>
                <w:sz w:val="24"/>
                <w:szCs w:val="24"/>
                <w:lang w:val="uk-UA"/>
              </w:rPr>
              <w:t>судом,</w:t>
            </w:r>
            <w:r w:rsidRPr="00BB02D1">
              <w:rPr>
                <w:bCs/>
                <w:spacing w:val="4"/>
                <w:sz w:val="24"/>
                <w:szCs w:val="24"/>
                <w:lang w:val="uk-UA"/>
              </w:rPr>
              <w:t xml:space="preserve"> </w:t>
            </w:r>
            <w:r w:rsidRPr="00BB02D1">
              <w:rPr>
                <w:bCs/>
                <w:sz w:val="24"/>
                <w:szCs w:val="24"/>
                <w:lang w:val="uk-UA"/>
              </w:rPr>
              <w:t>млн</w:t>
            </w:r>
            <w:r w:rsidRPr="00BB02D1">
              <w:rPr>
                <w:bCs/>
                <w:spacing w:val="-1"/>
                <w:sz w:val="24"/>
                <w:szCs w:val="24"/>
                <w:lang w:val="uk-UA"/>
              </w:rPr>
              <w:t xml:space="preserve"> </w:t>
            </w:r>
            <w:r w:rsidRPr="00BB02D1">
              <w:rPr>
                <w:bCs/>
                <w:sz w:val="24"/>
                <w:szCs w:val="24"/>
                <w:lang w:val="uk-UA"/>
              </w:rPr>
              <w:t>.грн.</w:t>
            </w:r>
          </w:p>
        </w:tc>
        <w:tc>
          <w:tcPr>
            <w:tcW w:w="606" w:type="pct"/>
            <w:vAlign w:val="center"/>
          </w:tcPr>
          <w:p w14:paraId="0AE6548F"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317 581</w:t>
            </w:r>
          </w:p>
        </w:tc>
        <w:tc>
          <w:tcPr>
            <w:tcW w:w="606" w:type="pct"/>
            <w:vAlign w:val="center"/>
          </w:tcPr>
          <w:p w14:paraId="4146BB14"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106 369</w:t>
            </w:r>
          </w:p>
        </w:tc>
        <w:tc>
          <w:tcPr>
            <w:tcW w:w="606" w:type="pct"/>
            <w:vAlign w:val="center"/>
          </w:tcPr>
          <w:p w14:paraId="5183D2E5"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133 553</w:t>
            </w:r>
          </w:p>
        </w:tc>
        <w:tc>
          <w:tcPr>
            <w:tcW w:w="606" w:type="pct"/>
            <w:vAlign w:val="center"/>
          </w:tcPr>
          <w:p w14:paraId="493E72DB"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93 435</w:t>
            </w:r>
          </w:p>
        </w:tc>
        <w:tc>
          <w:tcPr>
            <w:tcW w:w="602" w:type="pct"/>
            <w:vAlign w:val="center"/>
          </w:tcPr>
          <w:p w14:paraId="7BC92953"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55 358</w:t>
            </w:r>
          </w:p>
        </w:tc>
      </w:tr>
      <w:tr w:rsidR="00094077" w:rsidRPr="00BB02D1" w14:paraId="6F5E6DF6" w14:textId="77777777" w:rsidTr="00BB02D1">
        <w:trPr>
          <w:trHeight w:val="758"/>
          <w:jc w:val="center"/>
        </w:trPr>
        <w:tc>
          <w:tcPr>
            <w:tcW w:w="1975" w:type="pct"/>
            <w:vAlign w:val="center"/>
          </w:tcPr>
          <w:p w14:paraId="05C6AEE1" w14:textId="77777777" w:rsidR="00094077" w:rsidRPr="00BB02D1" w:rsidRDefault="00094077" w:rsidP="00094077">
            <w:pPr>
              <w:pStyle w:val="TableParagraph"/>
              <w:jc w:val="center"/>
              <w:rPr>
                <w:bCs/>
                <w:sz w:val="24"/>
                <w:szCs w:val="24"/>
                <w:lang w:val="uk-UA"/>
              </w:rPr>
            </w:pPr>
            <w:r w:rsidRPr="00BB02D1">
              <w:rPr>
                <w:bCs/>
                <w:sz w:val="24"/>
                <w:szCs w:val="24"/>
                <w:lang w:val="uk-UA"/>
              </w:rPr>
              <w:t>Питома</w:t>
            </w:r>
            <w:r w:rsidRPr="00BB02D1">
              <w:rPr>
                <w:bCs/>
                <w:spacing w:val="-2"/>
                <w:sz w:val="24"/>
                <w:szCs w:val="24"/>
                <w:lang w:val="uk-UA"/>
              </w:rPr>
              <w:t xml:space="preserve"> </w:t>
            </w:r>
            <w:r w:rsidRPr="00BB02D1">
              <w:rPr>
                <w:bCs/>
                <w:sz w:val="24"/>
                <w:szCs w:val="24"/>
                <w:lang w:val="uk-UA"/>
              </w:rPr>
              <w:t>вага серед</w:t>
            </w:r>
            <w:r w:rsidRPr="00BB02D1">
              <w:rPr>
                <w:bCs/>
                <w:spacing w:val="-1"/>
                <w:sz w:val="24"/>
                <w:szCs w:val="24"/>
                <w:lang w:val="uk-UA"/>
              </w:rPr>
              <w:t xml:space="preserve"> </w:t>
            </w:r>
            <w:r w:rsidRPr="00BB02D1">
              <w:rPr>
                <w:bCs/>
                <w:sz w:val="24"/>
                <w:szCs w:val="24"/>
                <w:lang w:val="uk-UA"/>
              </w:rPr>
              <w:t>усіх</w:t>
            </w:r>
            <w:r w:rsidRPr="00BB02D1">
              <w:rPr>
                <w:bCs/>
                <w:spacing w:val="-3"/>
                <w:sz w:val="24"/>
                <w:szCs w:val="24"/>
                <w:lang w:val="uk-UA"/>
              </w:rPr>
              <w:t xml:space="preserve"> </w:t>
            </w:r>
            <w:r w:rsidRPr="00BB02D1">
              <w:rPr>
                <w:bCs/>
                <w:sz w:val="24"/>
                <w:szCs w:val="24"/>
                <w:lang w:val="uk-UA"/>
              </w:rPr>
              <w:t>вимог,</w:t>
            </w:r>
            <w:r w:rsidRPr="00BB02D1">
              <w:rPr>
                <w:bCs/>
                <w:spacing w:val="-1"/>
                <w:sz w:val="24"/>
                <w:szCs w:val="24"/>
                <w:lang w:val="uk-UA"/>
              </w:rPr>
              <w:t xml:space="preserve"> </w:t>
            </w:r>
            <w:r w:rsidRPr="00BB02D1">
              <w:rPr>
                <w:bCs/>
                <w:sz w:val="24"/>
                <w:szCs w:val="24"/>
                <w:lang w:val="uk-UA"/>
              </w:rPr>
              <w:t>заявлених</w:t>
            </w:r>
          </w:p>
          <w:p w14:paraId="322FAC9B" w14:textId="77777777" w:rsidR="00094077" w:rsidRPr="00BB02D1" w:rsidRDefault="00094077" w:rsidP="00094077">
            <w:pPr>
              <w:pStyle w:val="TableParagraph"/>
              <w:jc w:val="center"/>
              <w:rPr>
                <w:bCs/>
                <w:sz w:val="24"/>
                <w:szCs w:val="24"/>
                <w:lang w:val="uk-UA"/>
              </w:rPr>
            </w:pPr>
            <w:r w:rsidRPr="00BB02D1">
              <w:rPr>
                <w:bCs/>
                <w:sz w:val="24"/>
                <w:szCs w:val="24"/>
                <w:lang w:val="uk-UA"/>
              </w:rPr>
              <w:t>кредиторами,</w:t>
            </w:r>
            <w:r w:rsidRPr="00BB02D1">
              <w:rPr>
                <w:bCs/>
                <w:spacing w:val="-3"/>
                <w:sz w:val="24"/>
                <w:szCs w:val="24"/>
                <w:lang w:val="uk-UA"/>
              </w:rPr>
              <w:t xml:space="preserve"> </w:t>
            </w:r>
            <w:r w:rsidRPr="00BB02D1">
              <w:rPr>
                <w:bCs/>
                <w:sz w:val="24"/>
                <w:szCs w:val="24"/>
                <w:lang w:val="uk-UA"/>
              </w:rPr>
              <w:t>грошових</w:t>
            </w:r>
            <w:r w:rsidRPr="00BB02D1">
              <w:rPr>
                <w:bCs/>
                <w:spacing w:val="-4"/>
                <w:sz w:val="24"/>
                <w:szCs w:val="24"/>
                <w:lang w:val="uk-UA"/>
              </w:rPr>
              <w:t xml:space="preserve"> </w:t>
            </w:r>
            <w:r w:rsidRPr="00BB02D1">
              <w:rPr>
                <w:bCs/>
                <w:sz w:val="24"/>
                <w:szCs w:val="24"/>
                <w:lang w:val="uk-UA"/>
              </w:rPr>
              <w:t>вимог,</w:t>
            </w:r>
            <w:r w:rsidRPr="00BB02D1">
              <w:rPr>
                <w:bCs/>
                <w:spacing w:val="-7"/>
                <w:sz w:val="24"/>
                <w:szCs w:val="24"/>
                <w:lang w:val="uk-UA"/>
              </w:rPr>
              <w:t xml:space="preserve"> </w:t>
            </w:r>
            <w:r w:rsidRPr="00BB02D1">
              <w:rPr>
                <w:bCs/>
                <w:sz w:val="24"/>
                <w:szCs w:val="24"/>
                <w:lang w:val="uk-UA"/>
              </w:rPr>
              <w:t>задоволени</w:t>
            </w:r>
            <w:r w:rsidR="00B346B5" w:rsidRPr="00BB02D1">
              <w:rPr>
                <w:bCs/>
                <w:sz w:val="24"/>
                <w:szCs w:val="24"/>
                <w:lang w:val="uk-UA"/>
              </w:rPr>
              <w:t xml:space="preserve">х </w:t>
            </w:r>
            <w:r w:rsidRPr="00BB02D1">
              <w:rPr>
                <w:bCs/>
                <w:sz w:val="24"/>
                <w:szCs w:val="24"/>
                <w:lang w:val="uk-UA"/>
              </w:rPr>
              <w:t>судом,</w:t>
            </w:r>
            <w:r w:rsidRPr="00BB02D1">
              <w:rPr>
                <w:bCs/>
                <w:spacing w:val="3"/>
                <w:sz w:val="24"/>
                <w:szCs w:val="24"/>
                <w:lang w:val="uk-UA"/>
              </w:rPr>
              <w:t xml:space="preserve"> </w:t>
            </w:r>
            <w:r w:rsidRPr="00BB02D1">
              <w:rPr>
                <w:bCs/>
                <w:sz w:val="24"/>
                <w:szCs w:val="24"/>
                <w:lang w:val="uk-UA"/>
              </w:rPr>
              <w:t>%</w:t>
            </w:r>
          </w:p>
        </w:tc>
        <w:tc>
          <w:tcPr>
            <w:tcW w:w="606" w:type="pct"/>
            <w:vAlign w:val="center"/>
          </w:tcPr>
          <w:p w14:paraId="69FD78FE"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62,79%</w:t>
            </w:r>
          </w:p>
        </w:tc>
        <w:tc>
          <w:tcPr>
            <w:tcW w:w="606" w:type="pct"/>
            <w:vAlign w:val="center"/>
          </w:tcPr>
          <w:p w14:paraId="3C179B70"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91,84%</w:t>
            </w:r>
          </w:p>
        </w:tc>
        <w:tc>
          <w:tcPr>
            <w:tcW w:w="606" w:type="pct"/>
            <w:vAlign w:val="center"/>
          </w:tcPr>
          <w:p w14:paraId="70B2F87E"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88,98%</w:t>
            </w:r>
          </w:p>
        </w:tc>
        <w:tc>
          <w:tcPr>
            <w:tcW w:w="606" w:type="pct"/>
            <w:vAlign w:val="center"/>
          </w:tcPr>
          <w:p w14:paraId="1CF3EDB1"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82,04%</w:t>
            </w:r>
          </w:p>
        </w:tc>
        <w:tc>
          <w:tcPr>
            <w:tcW w:w="602" w:type="pct"/>
            <w:vAlign w:val="center"/>
          </w:tcPr>
          <w:p w14:paraId="54F252C7" w14:textId="77777777" w:rsidR="00094077" w:rsidRPr="00BB02D1" w:rsidRDefault="00094077" w:rsidP="00094077">
            <w:pPr>
              <w:jc w:val="center"/>
              <w:rPr>
                <w:rFonts w:ascii="Times New Roman" w:hAnsi="Times New Roman" w:cs="Times New Roman"/>
                <w:bCs/>
                <w:sz w:val="24"/>
                <w:szCs w:val="24"/>
                <w:lang w:val="uk-UA"/>
              </w:rPr>
            </w:pPr>
            <w:r w:rsidRPr="00BB02D1">
              <w:rPr>
                <w:rFonts w:ascii="Times New Roman" w:hAnsi="Times New Roman" w:cs="Times New Roman"/>
                <w:bCs/>
                <w:sz w:val="24"/>
                <w:szCs w:val="24"/>
                <w:lang w:val="uk-UA"/>
              </w:rPr>
              <w:t>67,82%</w:t>
            </w:r>
          </w:p>
        </w:tc>
      </w:tr>
    </w:tbl>
    <w:p w14:paraId="14AD761F" w14:textId="77777777" w:rsidR="00E77235" w:rsidRPr="00042924" w:rsidRDefault="00E77235" w:rsidP="006026B2">
      <w:pPr>
        <w:pStyle w:val="a4"/>
        <w:ind w:firstLine="284"/>
        <w:jc w:val="both"/>
        <w:rPr>
          <w:lang w:val="uk-UA"/>
        </w:rPr>
      </w:pPr>
      <w:r w:rsidRPr="00042924">
        <w:rPr>
          <w:lang w:val="uk-UA"/>
        </w:rPr>
        <w:t>Джерело:</w:t>
      </w:r>
      <w:r w:rsidR="0094111B" w:rsidRPr="00042924">
        <w:rPr>
          <w:lang w:val="uk-UA"/>
        </w:rPr>
        <w:t xml:space="preserve"> </w:t>
      </w:r>
      <w:r w:rsidR="00E32FFC" w:rsidRPr="00E32FFC">
        <w:rPr>
          <w:lang w:val="uk-UA"/>
        </w:rPr>
        <w:t>складено автором на основі</w:t>
      </w:r>
      <w:r w:rsidR="0094111B" w:rsidRPr="00042924">
        <w:rPr>
          <w:lang w:val="uk-UA"/>
        </w:rPr>
        <w:t xml:space="preserve"> [</w:t>
      </w:r>
      <w:r w:rsidR="00E16E58" w:rsidRPr="00042924">
        <w:rPr>
          <w:lang w:val="uk-UA"/>
        </w:rPr>
        <w:t>26</w:t>
      </w:r>
      <w:r w:rsidR="0094111B" w:rsidRPr="00042924">
        <w:rPr>
          <w:lang w:val="uk-UA"/>
        </w:rPr>
        <w:t>]</w:t>
      </w:r>
    </w:p>
    <w:p w14:paraId="5D99518F" w14:textId="77777777" w:rsidR="00BA4012" w:rsidRPr="00042924" w:rsidRDefault="00BA4012" w:rsidP="00BA4012">
      <w:pPr>
        <w:pStyle w:val="a4"/>
        <w:ind w:firstLine="709"/>
        <w:jc w:val="both"/>
        <w:rPr>
          <w:lang w:val="uk-UA"/>
        </w:rPr>
      </w:pPr>
    </w:p>
    <w:p w14:paraId="5DDAD408" w14:textId="77777777" w:rsidR="00797D6C" w:rsidRPr="00042924" w:rsidRDefault="00797D6C" w:rsidP="00797D6C">
      <w:pPr>
        <w:pStyle w:val="a4"/>
        <w:ind w:firstLine="709"/>
        <w:jc w:val="both"/>
        <w:rPr>
          <w:lang w:val="uk-UA"/>
        </w:rPr>
      </w:pPr>
      <w:r w:rsidRPr="00042924">
        <w:rPr>
          <w:lang w:val="uk-UA"/>
        </w:rPr>
        <w:t xml:space="preserve">За даними табл. </w:t>
      </w:r>
      <w:r w:rsidR="00C13497" w:rsidRPr="00042924">
        <w:rPr>
          <w:lang w:val="uk-UA"/>
        </w:rPr>
        <w:t>1</w:t>
      </w:r>
      <w:r w:rsidRPr="00042924">
        <w:rPr>
          <w:lang w:val="uk-UA"/>
        </w:rPr>
        <w:t>.</w:t>
      </w:r>
      <w:r w:rsidR="00C13497" w:rsidRPr="00042924">
        <w:rPr>
          <w:lang w:val="uk-UA"/>
        </w:rPr>
        <w:t>6</w:t>
      </w:r>
      <w:r w:rsidRPr="00042924">
        <w:rPr>
          <w:lang w:val="uk-UA"/>
        </w:rPr>
        <w:t xml:space="preserve"> відзначається різке зниження кількості заяв кредиторів та суми заявлених вимог у період з 2018 по 2022 роки. Одночасно частка задоволених судом грошових вимог залишається на досить високому рівні - понад 60%. Це може </w:t>
      </w:r>
      <w:r w:rsidR="006A2E00">
        <w:rPr>
          <w:lang w:val="uk-UA"/>
        </w:rPr>
        <w:t>вказувати на</w:t>
      </w:r>
      <w:r w:rsidRPr="00042924">
        <w:rPr>
          <w:lang w:val="uk-UA"/>
        </w:rPr>
        <w:t xml:space="preserve"> більшу обґрунтованість вимог кредиторів, незважаючи на загальне зниження їх кількості.</w:t>
      </w:r>
    </w:p>
    <w:p w14:paraId="2F052521" w14:textId="77777777" w:rsidR="00E6681A" w:rsidRPr="00042924" w:rsidRDefault="00797D6C" w:rsidP="00797D6C">
      <w:pPr>
        <w:pStyle w:val="a4"/>
        <w:ind w:firstLine="709"/>
        <w:jc w:val="both"/>
        <w:rPr>
          <w:lang w:val="uk-UA"/>
        </w:rPr>
      </w:pPr>
      <w:r w:rsidRPr="00042924">
        <w:rPr>
          <w:lang w:val="uk-UA"/>
        </w:rPr>
        <w:t xml:space="preserve">У розглянутому періоді з 2018 по 2022 роки відзначалися коливання кількості завершених справ про банкрутство, ініційованих як заявами кредиторів, так і заявами боржників. За проаналізованими роками, за винятком 2018 року, більшість справ було порушено саме за ініціативою кредиторів (див. табл. </w:t>
      </w:r>
      <w:r w:rsidR="00C13497" w:rsidRPr="00042924">
        <w:rPr>
          <w:lang w:val="uk-UA"/>
        </w:rPr>
        <w:t>1</w:t>
      </w:r>
      <w:r w:rsidRPr="00042924">
        <w:rPr>
          <w:lang w:val="uk-UA"/>
        </w:rPr>
        <w:t>.</w:t>
      </w:r>
      <w:r w:rsidR="00C13497" w:rsidRPr="00042924">
        <w:rPr>
          <w:lang w:val="uk-UA"/>
        </w:rPr>
        <w:t>7</w:t>
      </w:r>
      <w:r w:rsidRPr="00042924">
        <w:rPr>
          <w:lang w:val="uk-UA"/>
        </w:rPr>
        <w:t>).</w:t>
      </w:r>
    </w:p>
    <w:p w14:paraId="736E1DE1" w14:textId="77777777" w:rsidR="00797D6C" w:rsidRPr="00042924" w:rsidRDefault="00797D6C" w:rsidP="004002D9">
      <w:pPr>
        <w:pStyle w:val="a4"/>
        <w:ind w:firstLine="709"/>
        <w:jc w:val="both"/>
        <w:rPr>
          <w:lang w:val="uk-UA"/>
        </w:rPr>
      </w:pPr>
    </w:p>
    <w:p w14:paraId="627D3819" w14:textId="77777777" w:rsidR="00BA4012" w:rsidRPr="00042924" w:rsidRDefault="00BA4012" w:rsidP="005B0EB6">
      <w:pPr>
        <w:pStyle w:val="a4"/>
        <w:ind w:firstLine="709"/>
        <w:jc w:val="both"/>
        <w:rPr>
          <w:lang w:val="uk-UA"/>
        </w:rPr>
      </w:pPr>
      <w:r w:rsidRPr="00042924">
        <w:rPr>
          <w:lang w:val="uk-UA"/>
        </w:rPr>
        <w:t xml:space="preserve">Таблиця </w:t>
      </w:r>
      <w:r w:rsidR="00C13497" w:rsidRPr="00042924">
        <w:rPr>
          <w:lang w:val="uk-UA"/>
        </w:rPr>
        <w:t>1</w:t>
      </w:r>
      <w:r w:rsidRPr="00042924">
        <w:rPr>
          <w:lang w:val="uk-UA"/>
        </w:rPr>
        <w:t>.</w:t>
      </w:r>
      <w:r w:rsidR="00C13497" w:rsidRPr="00042924">
        <w:rPr>
          <w:lang w:val="uk-UA"/>
        </w:rPr>
        <w:t>7</w:t>
      </w:r>
      <w:r w:rsidR="00E77235" w:rsidRPr="00042924">
        <w:rPr>
          <w:lang w:val="uk-UA"/>
        </w:rPr>
        <w:t xml:space="preserve"> – </w:t>
      </w:r>
      <w:r w:rsidRPr="00042924">
        <w:rPr>
          <w:lang w:val="uk-UA"/>
        </w:rPr>
        <w:t>Загальна</w:t>
      </w:r>
      <w:r w:rsidRPr="00042924">
        <w:rPr>
          <w:spacing w:val="-6"/>
          <w:lang w:val="uk-UA"/>
        </w:rPr>
        <w:t xml:space="preserve"> </w:t>
      </w:r>
      <w:r w:rsidRPr="00042924">
        <w:rPr>
          <w:lang w:val="uk-UA"/>
        </w:rPr>
        <w:t>характеристика</w:t>
      </w:r>
      <w:r w:rsidRPr="00042924">
        <w:rPr>
          <w:spacing w:val="-6"/>
          <w:lang w:val="uk-UA"/>
        </w:rPr>
        <w:t xml:space="preserve"> </w:t>
      </w:r>
      <w:r w:rsidRPr="00042924">
        <w:rPr>
          <w:lang w:val="uk-UA"/>
        </w:rPr>
        <w:t>справ</w:t>
      </w:r>
      <w:r w:rsidRPr="00042924">
        <w:rPr>
          <w:spacing w:val="-7"/>
          <w:lang w:val="uk-UA"/>
        </w:rPr>
        <w:t xml:space="preserve"> </w:t>
      </w:r>
      <w:r w:rsidRPr="00042924">
        <w:rPr>
          <w:lang w:val="uk-UA"/>
        </w:rPr>
        <w:t>про</w:t>
      </w:r>
      <w:r w:rsidRPr="00042924">
        <w:rPr>
          <w:spacing w:val="-7"/>
          <w:lang w:val="uk-UA"/>
        </w:rPr>
        <w:t xml:space="preserve"> </w:t>
      </w:r>
      <w:r w:rsidRPr="00042924">
        <w:rPr>
          <w:lang w:val="uk-UA"/>
        </w:rPr>
        <w:t>банкрутство,</w:t>
      </w:r>
      <w:r w:rsidRPr="00042924">
        <w:rPr>
          <w:spacing w:val="-4"/>
          <w:lang w:val="uk-UA"/>
        </w:rPr>
        <w:t xml:space="preserve"> </w:t>
      </w:r>
      <w:r w:rsidRPr="00042924">
        <w:rPr>
          <w:lang w:val="uk-UA"/>
        </w:rPr>
        <w:t>закінчених</w:t>
      </w:r>
      <w:r w:rsidRPr="00042924">
        <w:rPr>
          <w:spacing w:val="-10"/>
          <w:lang w:val="uk-UA"/>
        </w:rPr>
        <w:t xml:space="preserve"> </w:t>
      </w:r>
      <w:r w:rsidRPr="00042924">
        <w:rPr>
          <w:lang w:val="uk-UA"/>
        </w:rPr>
        <w:t>провадженням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3714"/>
        <w:gridCol w:w="1239"/>
        <w:gridCol w:w="1239"/>
        <w:gridCol w:w="1241"/>
        <w:gridCol w:w="1239"/>
        <w:gridCol w:w="1239"/>
      </w:tblGrid>
      <w:tr w:rsidR="00281F6F" w:rsidRPr="00042924" w14:paraId="59183A45" w14:textId="77777777" w:rsidTr="006026B2">
        <w:trPr>
          <w:trHeight w:val="311"/>
        </w:trPr>
        <w:tc>
          <w:tcPr>
            <w:tcW w:w="1874" w:type="pct"/>
            <w:vMerge w:val="restart"/>
            <w:vAlign w:val="center"/>
          </w:tcPr>
          <w:p w14:paraId="78DDFE8E" w14:textId="77777777" w:rsidR="00BA4012" w:rsidRPr="00042924" w:rsidRDefault="00BA4012" w:rsidP="009939BA">
            <w:pPr>
              <w:pStyle w:val="TableParagraph"/>
              <w:jc w:val="center"/>
              <w:rPr>
                <w:b/>
                <w:sz w:val="24"/>
                <w:szCs w:val="24"/>
                <w:lang w:val="uk-UA"/>
              </w:rPr>
            </w:pPr>
            <w:r w:rsidRPr="00042924">
              <w:rPr>
                <w:b/>
                <w:sz w:val="24"/>
                <w:szCs w:val="24"/>
                <w:lang w:val="uk-UA"/>
              </w:rPr>
              <w:t>Найменування</w:t>
            </w:r>
            <w:r w:rsidRPr="00042924">
              <w:rPr>
                <w:b/>
                <w:spacing w:val="-2"/>
                <w:sz w:val="24"/>
                <w:szCs w:val="24"/>
                <w:lang w:val="uk-UA"/>
              </w:rPr>
              <w:t xml:space="preserve"> </w:t>
            </w:r>
            <w:r w:rsidRPr="00042924">
              <w:rPr>
                <w:b/>
                <w:sz w:val="24"/>
                <w:szCs w:val="24"/>
                <w:lang w:val="uk-UA"/>
              </w:rPr>
              <w:t>показника</w:t>
            </w:r>
          </w:p>
        </w:tc>
        <w:tc>
          <w:tcPr>
            <w:tcW w:w="3126" w:type="pct"/>
            <w:gridSpan w:val="5"/>
            <w:vAlign w:val="center"/>
          </w:tcPr>
          <w:p w14:paraId="777B87DE" w14:textId="77777777" w:rsidR="00BA4012" w:rsidRPr="00042924" w:rsidRDefault="00BA4012" w:rsidP="009939BA">
            <w:pPr>
              <w:pStyle w:val="TableParagraph"/>
              <w:jc w:val="center"/>
              <w:rPr>
                <w:b/>
                <w:sz w:val="24"/>
                <w:szCs w:val="24"/>
                <w:lang w:val="uk-UA"/>
              </w:rPr>
            </w:pPr>
            <w:r w:rsidRPr="00042924">
              <w:rPr>
                <w:b/>
                <w:sz w:val="24"/>
                <w:szCs w:val="24"/>
                <w:lang w:val="uk-UA"/>
              </w:rPr>
              <w:t>Роки</w:t>
            </w:r>
          </w:p>
        </w:tc>
      </w:tr>
      <w:tr w:rsidR="00094077" w:rsidRPr="00042924" w14:paraId="48763306" w14:textId="77777777" w:rsidTr="006026B2">
        <w:trPr>
          <w:trHeight w:val="316"/>
        </w:trPr>
        <w:tc>
          <w:tcPr>
            <w:tcW w:w="1874" w:type="pct"/>
            <w:vMerge/>
            <w:tcBorders>
              <w:top w:val="nil"/>
            </w:tcBorders>
            <w:vAlign w:val="center"/>
          </w:tcPr>
          <w:p w14:paraId="11805531" w14:textId="77777777" w:rsidR="00094077" w:rsidRPr="00042924" w:rsidRDefault="00094077" w:rsidP="00094077">
            <w:pPr>
              <w:jc w:val="center"/>
              <w:rPr>
                <w:rFonts w:ascii="Times New Roman" w:hAnsi="Times New Roman" w:cs="Times New Roman"/>
                <w:sz w:val="24"/>
                <w:szCs w:val="24"/>
                <w:lang w:val="uk-UA"/>
              </w:rPr>
            </w:pPr>
          </w:p>
        </w:tc>
        <w:tc>
          <w:tcPr>
            <w:tcW w:w="625" w:type="pct"/>
            <w:vAlign w:val="center"/>
          </w:tcPr>
          <w:p w14:paraId="0350F067" w14:textId="77777777" w:rsidR="00094077" w:rsidRPr="00042924" w:rsidRDefault="00094077" w:rsidP="00094077">
            <w:pPr>
              <w:pStyle w:val="TableParagraph"/>
              <w:jc w:val="center"/>
              <w:rPr>
                <w:b/>
                <w:sz w:val="24"/>
                <w:szCs w:val="24"/>
                <w:lang w:val="uk-UA"/>
              </w:rPr>
            </w:pPr>
            <w:r w:rsidRPr="00042924">
              <w:rPr>
                <w:b/>
                <w:sz w:val="24"/>
                <w:szCs w:val="24"/>
                <w:lang w:val="uk-UA"/>
              </w:rPr>
              <w:t>2018</w:t>
            </w:r>
          </w:p>
        </w:tc>
        <w:tc>
          <w:tcPr>
            <w:tcW w:w="625" w:type="pct"/>
            <w:vAlign w:val="center"/>
          </w:tcPr>
          <w:p w14:paraId="53234A5A" w14:textId="77777777" w:rsidR="00094077" w:rsidRPr="00042924" w:rsidRDefault="00094077" w:rsidP="00094077">
            <w:pPr>
              <w:pStyle w:val="TableParagraph"/>
              <w:jc w:val="center"/>
              <w:rPr>
                <w:b/>
                <w:sz w:val="24"/>
                <w:szCs w:val="24"/>
                <w:lang w:val="uk-UA"/>
              </w:rPr>
            </w:pPr>
            <w:r w:rsidRPr="00042924">
              <w:rPr>
                <w:b/>
                <w:sz w:val="24"/>
                <w:szCs w:val="24"/>
                <w:lang w:val="uk-UA"/>
              </w:rPr>
              <w:t>2019</w:t>
            </w:r>
          </w:p>
        </w:tc>
        <w:tc>
          <w:tcPr>
            <w:tcW w:w="626" w:type="pct"/>
            <w:vAlign w:val="center"/>
          </w:tcPr>
          <w:p w14:paraId="0BE83B9D" w14:textId="77777777" w:rsidR="00094077" w:rsidRPr="00042924" w:rsidRDefault="00094077" w:rsidP="00094077">
            <w:pPr>
              <w:pStyle w:val="TableParagraph"/>
              <w:jc w:val="center"/>
              <w:rPr>
                <w:b/>
                <w:sz w:val="24"/>
                <w:szCs w:val="24"/>
                <w:lang w:val="uk-UA"/>
              </w:rPr>
            </w:pPr>
            <w:r w:rsidRPr="00042924">
              <w:rPr>
                <w:b/>
                <w:sz w:val="24"/>
                <w:szCs w:val="24"/>
                <w:lang w:val="uk-UA"/>
              </w:rPr>
              <w:t>2020</w:t>
            </w:r>
          </w:p>
        </w:tc>
        <w:tc>
          <w:tcPr>
            <w:tcW w:w="625" w:type="pct"/>
            <w:vAlign w:val="center"/>
          </w:tcPr>
          <w:p w14:paraId="6743A324" w14:textId="77777777" w:rsidR="00094077" w:rsidRPr="00042924" w:rsidRDefault="00094077" w:rsidP="00094077">
            <w:pPr>
              <w:pStyle w:val="TableParagraph"/>
              <w:jc w:val="center"/>
              <w:rPr>
                <w:b/>
                <w:sz w:val="24"/>
                <w:szCs w:val="24"/>
                <w:lang w:val="uk-UA"/>
              </w:rPr>
            </w:pPr>
            <w:r w:rsidRPr="00042924">
              <w:rPr>
                <w:b/>
                <w:sz w:val="24"/>
                <w:szCs w:val="24"/>
                <w:lang w:val="uk-UA"/>
              </w:rPr>
              <w:t>2021</w:t>
            </w:r>
          </w:p>
        </w:tc>
        <w:tc>
          <w:tcPr>
            <w:tcW w:w="625" w:type="pct"/>
            <w:vAlign w:val="center"/>
          </w:tcPr>
          <w:p w14:paraId="28D68342" w14:textId="77777777" w:rsidR="00094077" w:rsidRPr="00042924" w:rsidRDefault="00094077" w:rsidP="00094077">
            <w:pPr>
              <w:pStyle w:val="TableParagraph"/>
              <w:jc w:val="center"/>
              <w:rPr>
                <w:b/>
                <w:sz w:val="24"/>
                <w:szCs w:val="24"/>
                <w:lang w:val="uk-UA"/>
              </w:rPr>
            </w:pPr>
            <w:r w:rsidRPr="00042924">
              <w:rPr>
                <w:b/>
                <w:sz w:val="24"/>
                <w:szCs w:val="24"/>
                <w:lang w:val="uk-UA"/>
              </w:rPr>
              <w:t>2022</w:t>
            </w:r>
          </w:p>
        </w:tc>
      </w:tr>
      <w:tr w:rsidR="003C439A" w:rsidRPr="00042924" w14:paraId="01F5ABF9" w14:textId="77777777" w:rsidTr="006026B2">
        <w:trPr>
          <w:trHeight w:val="282"/>
        </w:trPr>
        <w:tc>
          <w:tcPr>
            <w:tcW w:w="1874" w:type="pct"/>
            <w:vAlign w:val="center"/>
          </w:tcPr>
          <w:p w14:paraId="799041EC" w14:textId="77777777" w:rsidR="003C439A" w:rsidRPr="00042924" w:rsidRDefault="003C439A" w:rsidP="003C439A">
            <w:pPr>
              <w:pStyle w:val="TableParagraph"/>
              <w:jc w:val="center"/>
              <w:rPr>
                <w:sz w:val="24"/>
                <w:szCs w:val="24"/>
                <w:lang w:val="uk-UA"/>
              </w:rPr>
            </w:pPr>
            <w:r w:rsidRPr="00042924">
              <w:rPr>
                <w:sz w:val="24"/>
                <w:szCs w:val="24"/>
                <w:lang w:val="uk-UA"/>
              </w:rPr>
              <w:t>Кількість</w:t>
            </w:r>
            <w:r w:rsidRPr="00042924">
              <w:rPr>
                <w:spacing w:val="-4"/>
                <w:sz w:val="24"/>
                <w:szCs w:val="24"/>
                <w:lang w:val="uk-UA"/>
              </w:rPr>
              <w:t xml:space="preserve"> </w:t>
            </w:r>
            <w:r w:rsidRPr="00042924">
              <w:rPr>
                <w:sz w:val="24"/>
                <w:szCs w:val="24"/>
                <w:lang w:val="uk-UA"/>
              </w:rPr>
              <w:t>справ,</w:t>
            </w:r>
            <w:r w:rsidRPr="00042924">
              <w:rPr>
                <w:spacing w:val="-5"/>
                <w:sz w:val="24"/>
                <w:szCs w:val="24"/>
                <w:lang w:val="uk-UA"/>
              </w:rPr>
              <w:t xml:space="preserve"> </w:t>
            </w:r>
            <w:r w:rsidRPr="00042924">
              <w:rPr>
                <w:sz w:val="24"/>
                <w:szCs w:val="24"/>
                <w:lang w:val="uk-UA"/>
              </w:rPr>
              <w:t>закінчених</w:t>
            </w:r>
            <w:r w:rsidRPr="00042924">
              <w:rPr>
                <w:spacing w:val="-3"/>
                <w:sz w:val="24"/>
                <w:szCs w:val="24"/>
                <w:lang w:val="uk-UA"/>
              </w:rPr>
              <w:t xml:space="preserve"> </w:t>
            </w:r>
            <w:r w:rsidRPr="00042924">
              <w:rPr>
                <w:sz w:val="24"/>
                <w:szCs w:val="24"/>
                <w:lang w:val="uk-UA"/>
              </w:rPr>
              <w:t>провадженням,</w:t>
            </w:r>
            <w:r w:rsidRPr="00042924">
              <w:rPr>
                <w:spacing w:val="-1"/>
                <w:sz w:val="24"/>
                <w:szCs w:val="24"/>
                <w:lang w:val="uk-UA"/>
              </w:rPr>
              <w:t xml:space="preserve"> </w:t>
            </w:r>
            <w:r w:rsidRPr="00042924">
              <w:rPr>
                <w:sz w:val="24"/>
                <w:szCs w:val="24"/>
                <w:lang w:val="uk-UA"/>
              </w:rPr>
              <w:t>од</w:t>
            </w:r>
          </w:p>
        </w:tc>
        <w:tc>
          <w:tcPr>
            <w:tcW w:w="625" w:type="pct"/>
            <w:vAlign w:val="center"/>
          </w:tcPr>
          <w:p w14:paraId="2E3DE549" w14:textId="77777777" w:rsidR="003C439A" w:rsidRPr="00042924" w:rsidRDefault="003C439A" w:rsidP="003C439A">
            <w:pPr>
              <w:pStyle w:val="TableParagraph"/>
              <w:jc w:val="center"/>
              <w:rPr>
                <w:sz w:val="24"/>
                <w:szCs w:val="24"/>
                <w:lang w:val="uk-UA"/>
              </w:rPr>
            </w:pPr>
            <w:r w:rsidRPr="00042924">
              <w:rPr>
                <w:sz w:val="24"/>
                <w:szCs w:val="24"/>
                <w:lang w:val="uk-UA"/>
              </w:rPr>
              <w:t>1 368</w:t>
            </w:r>
          </w:p>
        </w:tc>
        <w:tc>
          <w:tcPr>
            <w:tcW w:w="625" w:type="pct"/>
            <w:vAlign w:val="center"/>
          </w:tcPr>
          <w:p w14:paraId="1791E063" w14:textId="77777777" w:rsidR="003C439A" w:rsidRPr="00042924" w:rsidRDefault="003C439A" w:rsidP="003C439A">
            <w:pPr>
              <w:pStyle w:val="TableParagraph"/>
              <w:jc w:val="center"/>
              <w:rPr>
                <w:sz w:val="24"/>
                <w:szCs w:val="24"/>
                <w:lang w:val="uk-UA"/>
              </w:rPr>
            </w:pPr>
            <w:r w:rsidRPr="00042924">
              <w:rPr>
                <w:sz w:val="24"/>
                <w:szCs w:val="24"/>
                <w:lang w:val="uk-UA"/>
              </w:rPr>
              <w:t>1 184</w:t>
            </w:r>
          </w:p>
        </w:tc>
        <w:tc>
          <w:tcPr>
            <w:tcW w:w="626" w:type="pct"/>
            <w:vAlign w:val="center"/>
          </w:tcPr>
          <w:p w14:paraId="5259F8A6" w14:textId="77777777" w:rsidR="003C439A" w:rsidRPr="00042924" w:rsidRDefault="00B5434B" w:rsidP="003C439A">
            <w:pPr>
              <w:pStyle w:val="TableParagraph"/>
              <w:jc w:val="center"/>
              <w:rPr>
                <w:sz w:val="24"/>
                <w:szCs w:val="24"/>
                <w:lang w:val="uk-UA"/>
              </w:rPr>
            </w:pPr>
            <w:r w:rsidRPr="00042924">
              <w:rPr>
                <w:sz w:val="24"/>
                <w:szCs w:val="24"/>
                <w:lang w:val="uk-UA"/>
              </w:rPr>
              <w:t>745</w:t>
            </w:r>
          </w:p>
        </w:tc>
        <w:tc>
          <w:tcPr>
            <w:tcW w:w="625" w:type="pct"/>
            <w:vAlign w:val="center"/>
          </w:tcPr>
          <w:p w14:paraId="60A4EB78" w14:textId="77777777" w:rsidR="003C439A" w:rsidRPr="00042924" w:rsidRDefault="00B5434B" w:rsidP="003C439A">
            <w:pPr>
              <w:pStyle w:val="TableParagraph"/>
              <w:jc w:val="center"/>
              <w:rPr>
                <w:sz w:val="24"/>
                <w:szCs w:val="24"/>
                <w:lang w:val="uk-UA"/>
              </w:rPr>
            </w:pPr>
            <w:r w:rsidRPr="00042924">
              <w:rPr>
                <w:sz w:val="24"/>
                <w:szCs w:val="24"/>
                <w:lang w:val="uk-UA"/>
              </w:rPr>
              <w:t>2 210</w:t>
            </w:r>
          </w:p>
        </w:tc>
        <w:tc>
          <w:tcPr>
            <w:tcW w:w="625" w:type="pct"/>
            <w:vAlign w:val="center"/>
          </w:tcPr>
          <w:p w14:paraId="31EA3B67" w14:textId="77777777" w:rsidR="003C439A" w:rsidRPr="00042924" w:rsidRDefault="00A73C2D" w:rsidP="003C439A">
            <w:pPr>
              <w:pStyle w:val="TableParagraph"/>
              <w:jc w:val="center"/>
              <w:rPr>
                <w:sz w:val="24"/>
                <w:szCs w:val="24"/>
                <w:lang w:val="uk-UA"/>
              </w:rPr>
            </w:pPr>
            <w:r w:rsidRPr="00042924">
              <w:rPr>
                <w:sz w:val="24"/>
                <w:szCs w:val="24"/>
                <w:lang w:val="uk-UA"/>
              </w:rPr>
              <w:t>1 894</w:t>
            </w:r>
          </w:p>
        </w:tc>
      </w:tr>
      <w:tr w:rsidR="003C439A" w:rsidRPr="00042924" w14:paraId="66CC27B6" w14:textId="77777777" w:rsidTr="006026B2">
        <w:trPr>
          <w:trHeight w:val="316"/>
        </w:trPr>
        <w:tc>
          <w:tcPr>
            <w:tcW w:w="1874" w:type="pct"/>
            <w:vAlign w:val="center"/>
          </w:tcPr>
          <w:p w14:paraId="48D322DC" w14:textId="77777777" w:rsidR="003C439A" w:rsidRPr="00042924" w:rsidRDefault="003C439A" w:rsidP="003C439A">
            <w:pPr>
              <w:pStyle w:val="TableParagraph"/>
              <w:jc w:val="center"/>
              <w:rPr>
                <w:sz w:val="24"/>
                <w:szCs w:val="24"/>
                <w:lang w:val="uk-UA"/>
              </w:rPr>
            </w:pPr>
            <w:r w:rsidRPr="00042924">
              <w:rPr>
                <w:sz w:val="24"/>
                <w:szCs w:val="24"/>
                <w:lang w:val="uk-UA"/>
              </w:rPr>
              <w:t>-</w:t>
            </w:r>
            <w:r w:rsidRPr="00042924">
              <w:rPr>
                <w:spacing w:val="-3"/>
                <w:sz w:val="24"/>
                <w:szCs w:val="24"/>
                <w:lang w:val="uk-UA"/>
              </w:rPr>
              <w:t xml:space="preserve"> </w:t>
            </w:r>
            <w:r w:rsidRPr="00042924">
              <w:rPr>
                <w:sz w:val="24"/>
                <w:szCs w:val="24"/>
                <w:lang w:val="uk-UA"/>
              </w:rPr>
              <w:t>порушено</w:t>
            </w:r>
            <w:r w:rsidRPr="00042924">
              <w:rPr>
                <w:spacing w:val="-7"/>
                <w:sz w:val="24"/>
                <w:szCs w:val="24"/>
                <w:lang w:val="uk-UA"/>
              </w:rPr>
              <w:t xml:space="preserve"> </w:t>
            </w:r>
            <w:r w:rsidRPr="00042924">
              <w:rPr>
                <w:sz w:val="24"/>
                <w:szCs w:val="24"/>
                <w:lang w:val="uk-UA"/>
              </w:rPr>
              <w:t>за</w:t>
            </w:r>
            <w:r w:rsidRPr="00042924">
              <w:rPr>
                <w:spacing w:val="2"/>
                <w:sz w:val="24"/>
                <w:szCs w:val="24"/>
                <w:lang w:val="uk-UA"/>
              </w:rPr>
              <w:t xml:space="preserve"> </w:t>
            </w:r>
            <w:r w:rsidRPr="00042924">
              <w:rPr>
                <w:sz w:val="24"/>
                <w:szCs w:val="24"/>
                <w:lang w:val="uk-UA"/>
              </w:rPr>
              <w:t>заявою</w:t>
            </w:r>
            <w:r w:rsidRPr="00042924">
              <w:rPr>
                <w:spacing w:val="-4"/>
                <w:sz w:val="24"/>
                <w:szCs w:val="24"/>
                <w:lang w:val="uk-UA"/>
              </w:rPr>
              <w:t xml:space="preserve"> </w:t>
            </w:r>
            <w:r w:rsidRPr="00042924">
              <w:rPr>
                <w:sz w:val="24"/>
                <w:szCs w:val="24"/>
                <w:lang w:val="uk-UA"/>
              </w:rPr>
              <w:t>кредиторів, од.</w:t>
            </w:r>
          </w:p>
        </w:tc>
        <w:tc>
          <w:tcPr>
            <w:tcW w:w="625" w:type="pct"/>
            <w:vAlign w:val="center"/>
          </w:tcPr>
          <w:p w14:paraId="66ED1CA0" w14:textId="77777777" w:rsidR="003C439A" w:rsidRPr="00042924" w:rsidRDefault="003C439A" w:rsidP="003C439A">
            <w:pPr>
              <w:pStyle w:val="TableParagraph"/>
              <w:jc w:val="center"/>
              <w:rPr>
                <w:sz w:val="24"/>
                <w:szCs w:val="24"/>
                <w:lang w:val="uk-UA"/>
              </w:rPr>
            </w:pPr>
            <w:r w:rsidRPr="00042924">
              <w:rPr>
                <w:sz w:val="24"/>
                <w:szCs w:val="24"/>
                <w:lang w:val="uk-UA"/>
              </w:rPr>
              <w:t>672</w:t>
            </w:r>
          </w:p>
        </w:tc>
        <w:tc>
          <w:tcPr>
            <w:tcW w:w="625" w:type="pct"/>
            <w:vAlign w:val="center"/>
          </w:tcPr>
          <w:p w14:paraId="31701AA4" w14:textId="77777777" w:rsidR="003C439A" w:rsidRPr="00042924" w:rsidRDefault="003C439A" w:rsidP="003C439A">
            <w:pPr>
              <w:pStyle w:val="TableParagraph"/>
              <w:jc w:val="center"/>
              <w:rPr>
                <w:sz w:val="24"/>
                <w:szCs w:val="24"/>
                <w:lang w:val="uk-UA"/>
              </w:rPr>
            </w:pPr>
            <w:r w:rsidRPr="00042924">
              <w:rPr>
                <w:sz w:val="24"/>
                <w:szCs w:val="24"/>
                <w:lang w:val="uk-UA"/>
              </w:rPr>
              <w:t>637</w:t>
            </w:r>
          </w:p>
        </w:tc>
        <w:tc>
          <w:tcPr>
            <w:tcW w:w="626" w:type="pct"/>
            <w:vAlign w:val="center"/>
          </w:tcPr>
          <w:p w14:paraId="34BACA5D" w14:textId="77777777" w:rsidR="003C439A" w:rsidRPr="00042924" w:rsidRDefault="00B5434B" w:rsidP="003C439A">
            <w:pPr>
              <w:pStyle w:val="TableParagraph"/>
              <w:jc w:val="center"/>
              <w:rPr>
                <w:sz w:val="24"/>
                <w:szCs w:val="24"/>
                <w:lang w:val="uk-UA"/>
              </w:rPr>
            </w:pPr>
            <w:r w:rsidRPr="00042924">
              <w:rPr>
                <w:sz w:val="24"/>
                <w:szCs w:val="24"/>
                <w:lang w:val="uk-UA"/>
              </w:rPr>
              <w:t>455</w:t>
            </w:r>
          </w:p>
        </w:tc>
        <w:tc>
          <w:tcPr>
            <w:tcW w:w="625" w:type="pct"/>
            <w:vAlign w:val="center"/>
          </w:tcPr>
          <w:p w14:paraId="7CF221E1" w14:textId="77777777" w:rsidR="003C439A" w:rsidRPr="00042924" w:rsidRDefault="00B5434B" w:rsidP="003C439A">
            <w:pPr>
              <w:pStyle w:val="TableParagraph"/>
              <w:jc w:val="center"/>
              <w:rPr>
                <w:sz w:val="24"/>
                <w:szCs w:val="24"/>
                <w:lang w:val="uk-UA"/>
              </w:rPr>
            </w:pPr>
            <w:r w:rsidRPr="00042924">
              <w:rPr>
                <w:sz w:val="24"/>
                <w:szCs w:val="24"/>
                <w:lang w:val="uk-UA"/>
              </w:rPr>
              <w:t>1 204</w:t>
            </w:r>
          </w:p>
        </w:tc>
        <w:tc>
          <w:tcPr>
            <w:tcW w:w="625" w:type="pct"/>
            <w:vAlign w:val="center"/>
          </w:tcPr>
          <w:p w14:paraId="700ABB9B" w14:textId="77777777" w:rsidR="003C439A" w:rsidRPr="00042924" w:rsidRDefault="00477718" w:rsidP="003C439A">
            <w:pPr>
              <w:pStyle w:val="TableParagraph"/>
              <w:jc w:val="center"/>
              <w:rPr>
                <w:sz w:val="24"/>
                <w:szCs w:val="24"/>
                <w:lang w:val="uk-UA"/>
              </w:rPr>
            </w:pPr>
            <w:r w:rsidRPr="00042924">
              <w:rPr>
                <w:sz w:val="24"/>
                <w:szCs w:val="24"/>
                <w:lang w:val="uk-UA"/>
              </w:rPr>
              <w:t>974</w:t>
            </w:r>
          </w:p>
        </w:tc>
      </w:tr>
      <w:tr w:rsidR="003C439A" w:rsidRPr="00042924" w14:paraId="7AE7DC5A" w14:textId="77777777" w:rsidTr="006026B2">
        <w:trPr>
          <w:trHeight w:val="312"/>
        </w:trPr>
        <w:tc>
          <w:tcPr>
            <w:tcW w:w="1874" w:type="pct"/>
            <w:vAlign w:val="center"/>
          </w:tcPr>
          <w:p w14:paraId="411C5B71" w14:textId="77777777" w:rsidR="003C439A" w:rsidRPr="00042924" w:rsidRDefault="003C439A" w:rsidP="003C439A">
            <w:pPr>
              <w:pStyle w:val="TableParagraph"/>
              <w:jc w:val="center"/>
              <w:rPr>
                <w:sz w:val="24"/>
                <w:szCs w:val="24"/>
                <w:lang w:val="uk-UA"/>
              </w:rPr>
            </w:pPr>
            <w:r w:rsidRPr="00042924">
              <w:rPr>
                <w:sz w:val="24"/>
                <w:szCs w:val="24"/>
                <w:lang w:val="uk-UA"/>
              </w:rPr>
              <w:t>-</w:t>
            </w:r>
            <w:r w:rsidRPr="00042924">
              <w:rPr>
                <w:spacing w:val="-2"/>
                <w:sz w:val="24"/>
                <w:szCs w:val="24"/>
                <w:lang w:val="uk-UA"/>
              </w:rPr>
              <w:t xml:space="preserve"> </w:t>
            </w:r>
            <w:r w:rsidRPr="00042924">
              <w:rPr>
                <w:sz w:val="24"/>
                <w:szCs w:val="24"/>
                <w:lang w:val="uk-UA"/>
              </w:rPr>
              <w:t>порушено</w:t>
            </w:r>
            <w:r w:rsidRPr="00042924">
              <w:rPr>
                <w:spacing w:val="-6"/>
                <w:sz w:val="24"/>
                <w:szCs w:val="24"/>
                <w:lang w:val="uk-UA"/>
              </w:rPr>
              <w:t xml:space="preserve"> </w:t>
            </w:r>
            <w:r w:rsidRPr="00042924">
              <w:rPr>
                <w:sz w:val="24"/>
                <w:szCs w:val="24"/>
                <w:lang w:val="uk-UA"/>
              </w:rPr>
              <w:t>за</w:t>
            </w:r>
            <w:r w:rsidRPr="00042924">
              <w:rPr>
                <w:spacing w:val="2"/>
                <w:sz w:val="24"/>
                <w:szCs w:val="24"/>
                <w:lang w:val="uk-UA"/>
              </w:rPr>
              <w:t xml:space="preserve"> </w:t>
            </w:r>
            <w:r w:rsidRPr="00042924">
              <w:rPr>
                <w:sz w:val="24"/>
                <w:szCs w:val="24"/>
                <w:lang w:val="uk-UA"/>
              </w:rPr>
              <w:t>заявою</w:t>
            </w:r>
            <w:r w:rsidRPr="00042924">
              <w:rPr>
                <w:spacing w:val="-3"/>
                <w:sz w:val="24"/>
                <w:szCs w:val="24"/>
                <w:lang w:val="uk-UA"/>
              </w:rPr>
              <w:t xml:space="preserve"> </w:t>
            </w:r>
            <w:r w:rsidRPr="00042924">
              <w:rPr>
                <w:sz w:val="24"/>
                <w:szCs w:val="24"/>
                <w:lang w:val="uk-UA"/>
              </w:rPr>
              <w:t>боржників,</w:t>
            </w:r>
            <w:r w:rsidRPr="00042924">
              <w:rPr>
                <w:spacing w:val="1"/>
                <w:sz w:val="24"/>
                <w:szCs w:val="24"/>
                <w:lang w:val="uk-UA"/>
              </w:rPr>
              <w:t xml:space="preserve"> </w:t>
            </w:r>
            <w:r w:rsidRPr="00042924">
              <w:rPr>
                <w:sz w:val="24"/>
                <w:szCs w:val="24"/>
                <w:lang w:val="uk-UA"/>
              </w:rPr>
              <w:t>од.</w:t>
            </w:r>
          </w:p>
        </w:tc>
        <w:tc>
          <w:tcPr>
            <w:tcW w:w="625" w:type="pct"/>
            <w:vAlign w:val="center"/>
          </w:tcPr>
          <w:p w14:paraId="77ECCE39" w14:textId="77777777" w:rsidR="003C439A" w:rsidRPr="00042924" w:rsidRDefault="003C439A" w:rsidP="003C439A">
            <w:pPr>
              <w:pStyle w:val="TableParagraph"/>
              <w:jc w:val="center"/>
              <w:rPr>
                <w:sz w:val="24"/>
                <w:szCs w:val="24"/>
                <w:lang w:val="uk-UA"/>
              </w:rPr>
            </w:pPr>
            <w:r w:rsidRPr="00042924">
              <w:rPr>
                <w:sz w:val="24"/>
                <w:szCs w:val="24"/>
                <w:lang w:val="uk-UA"/>
              </w:rPr>
              <w:t>692</w:t>
            </w:r>
          </w:p>
        </w:tc>
        <w:tc>
          <w:tcPr>
            <w:tcW w:w="625" w:type="pct"/>
            <w:vAlign w:val="center"/>
          </w:tcPr>
          <w:p w14:paraId="52B0482F" w14:textId="77777777" w:rsidR="003C439A" w:rsidRPr="00042924" w:rsidRDefault="003C439A" w:rsidP="003C439A">
            <w:pPr>
              <w:pStyle w:val="TableParagraph"/>
              <w:jc w:val="center"/>
              <w:rPr>
                <w:sz w:val="24"/>
                <w:szCs w:val="24"/>
                <w:lang w:val="uk-UA"/>
              </w:rPr>
            </w:pPr>
            <w:r w:rsidRPr="00042924">
              <w:rPr>
                <w:sz w:val="24"/>
                <w:szCs w:val="24"/>
                <w:lang w:val="uk-UA"/>
              </w:rPr>
              <w:t>546</w:t>
            </w:r>
          </w:p>
        </w:tc>
        <w:tc>
          <w:tcPr>
            <w:tcW w:w="626" w:type="pct"/>
            <w:vAlign w:val="center"/>
          </w:tcPr>
          <w:p w14:paraId="4FCE0711" w14:textId="77777777" w:rsidR="003C439A" w:rsidRPr="00042924" w:rsidRDefault="00470519" w:rsidP="003C439A">
            <w:pPr>
              <w:pStyle w:val="TableParagraph"/>
              <w:jc w:val="center"/>
              <w:rPr>
                <w:sz w:val="24"/>
                <w:szCs w:val="24"/>
                <w:lang w:val="uk-UA"/>
              </w:rPr>
            </w:pPr>
            <w:r w:rsidRPr="00042924">
              <w:rPr>
                <w:sz w:val="24"/>
                <w:szCs w:val="24"/>
                <w:lang w:val="uk-UA"/>
              </w:rPr>
              <w:t>286</w:t>
            </w:r>
          </w:p>
        </w:tc>
        <w:tc>
          <w:tcPr>
            <w:tcW w:w="625" w:type="pct"/>
            <w:vAlign w:val="center"/>
          </w:tcPr>
          <w:p w14:paraId="2DF208C5" w14:textId="77777777" w:rsidR="003C439A" w:rsidRPr="00042924" w:rsidRDefault="00B5434B" w:rsidP="003C439A">
            <w:pPr>
              <w:pStyle w:val="TableParagraph"/>
              <w:jc w:val="center"/>
              <w:rPr>
                <w:sz w:val="24"/>
                <w:szCs w:val="24"/>
                <w:lang w:val="uk-UA"/>
              </w:rPr>
            </w:pPr>
            <w:r w:rsidRPr="00042924">
              <w:rPr>
                <w:sz w:val="24"/>
                <w:szCs w:val="24"/>
                <w:lang w:val="uk-UA"/>
              </w:rPr>
              <w:t>855</w:t>
            </w:r>
          </w:p>
        </w:tc>
        <w:tc>
          <w:tcPr>
            <w:tcW w:w="625" w:type="pct"/>
            <w:vAlign w:val="center"/>
          </w:tcPr>
          <w:p w14:paraId="39472F21" w14:textId="77777777" w:rsidR="003C439A" w:rsidRPr="00042924" w:rsidRDefault="00477718" w:rsidP="003C439A">
            <w:pPr>
              <w:pStyle w:val="TableParagraph"/>
              <w:jc w:val="center"/>
              <w:rPr>
                <w:sz w:val="24"/>
                <w:szCs w:val="24"/>
                <w:lang w:val="uk-UA"/>
              </w:rPr>
            </w:pPr>
            <w:r w:rsidRPr="00042924">
              <w:rPr>
                <w:sz w:val="24"/>
                <w:szCs w:val="24"/>
                <w:lang w:val="uk-UA"/>
              </w:rPr>
              <w:t>679</w:t>
            </w:r>
          </w:p>
        </w:tc>
      </w:tr>
      <w:tr w:rsidR="00BA3547" w:rsidRPr="00042924" w14:paraId="327D5F03" w14:textId="77777777" w:rsidTr="006026B2">
        <w:trPr>
          <w:trHeight w:val="311"/>
        </w:trPr>
        <w:tc>
          <w:tcPr>
            <w:tcW w:w="5000" w:type="pct"/>
            <w:gridSpan w:val="6"/>
            <w:vAlign w:val="center"/>
          </w:tcPr>
          <w:p w14:paraId="2BFD60F5" w14:textId="77777777" w:rsidR="00BA3547" w:rsidRPr="00042924" w:rsidRDefault="00BA3547" w:rsidP="009939BA">
            <w:pPr>
              <w:pStyle w:val="TableParagraph"/>
              <w:jc w:val="center"/>
              <w:rPr>
                <w:sz w:val="24"/>
                <w:szCs w:val="24"/>
                <w:lang w:val="uk-UA"/>
              </w:rPr>
            </w:pPr>
            <w:r w:rsidRPr="00042924">
              <w:rPr>
                <w:sz w:val="24"/>
                <w:szCs w:val="24"/>
                <w:lang w:val="uk-UA"/>
              </w:rPr>
              <w:t>Припинено:</w:t>
            </w:r>
          </w:p>
        </w:tc>
      </w:tr>
      <w:tr w:rsidR="003C439A" w:rsidRPr="00042924" w14:paraId="7618B3A5" w14:textId="77777777" w:rsidTr="006026B2">
        <w:trPr>
          <w:trHeight w:val="311"/>
        </w:trPr>
        <w:tc>
          <w:tcPr>
            <w:tcW w:w="1874" w:type="pct"/>
            <w:vAlign w:val="center"/>
          </w:tcPr>
          <w:p w14:paraId="0EB2BEEC" w14:textId="77777777" w:rsidR="003C439A" w:rsidRPr="00042924" w:rsidRDefault="003C439A" w:rsidP="003C439A">
            <w:pPr>
              <w:pStyle w:val="TableParagraph"/>
              <w:jc w:val="center"/>
              <w:rPr>
                <w:sz w:val="24"/>
                <w:szCs w:val="24"/>
                <w:lang w:val="uk-UA"/>
              </w:rPr>
            </w:pPr>
            <w:r w:rsidRPr="00042924">
              <w:rPr>
                <w:sz w:val="24"/>
                <w:szCs w:val="24"/>
                <w:lang w:val="uk-UA"/>
              </w:rPr>
              <w:t>-</w:t>
            </w:r>
            <w:r w:rsidRPr="00042924">
              <w:rPr>
                <w:spacing w:val="-1"/>
                <w:sz w:val="24"/>
                <w:szCs w:val="24"/>
                <w:lang w:val="uk-UA"/>
              </w:rPr>
              <w:t xml:space="preserve"> </w:t>
            </w:r>
            <w:r w:rsidRPr="00042924">
              <w:rPr>
                <w:sz w:val="24"/>
                <w:szCs w:val="24"/>
                <w:lang w:val="uk-UA"/>
              </w:rPr>
              <w:t>із</w:t>
            </w:r>
            <w:r w:rsidRPr="00042924">
              <w:rPr>
                <w:spacing w:val="-1"/>
                <w:sz w:val="24"/>
                <w:szCs w:val="24"/>
                <w:lang w:val="uk-UA"/>
              </w:rPr>
              <w:t xml:space="preserve"> </w:t>
            </w:r>
            <w:r w:rsidRPr="00042924">
              <w:rPr>
                <w:sz w:val="24"/>
                <w:szCs w:val="24"/>
                <w:lang w:val="uk-UA"/>
              </w:rPr>
              <w:t>затвердженням</w:t>
            </w:r>
            <w:r w:rsidRPr="00042924">
              <w:rPr>
                <w:spacing w:val="-1"/>
                <w:sz w:val="24"/>
                <w:szCs w:val="24"/>
                <w:lang w:val="uk-UA"/>
              </w:rPr>
              <w:t xml:space="preserve"> </w:t>
            </w:r>
            <w:r w:rsidRPr="00042924">
              <w:rPr>
                <w:sz w:val="24"/>
                <w:szCs w:val="24"/>
                <w:lang w:val="uk-UA"/>
              </w:rPr>
              <w:t>звіту</w:t>
            </w:r>
            <w:r w:rsidRPr="00042924">
              <w:rPr>
                <w:spacing w:val="-5"/>
                <w:sz w:val="24"/>
                <w:szCs w:val="24"/>
                <w:lang w:val="uk-UA"/>
              </w:rPr>
              <w:t xml:space="preserve"> </w:t>
            </w:r>
            <w:r w:rsidRPr="00042924">
              <w:rPr>
                <w:sz w:val="24"/>
                <w:szCs w:val="24"/>
                <w:lang w:val="uk-UA"/>
              </w:rPr>
              <w:t>керуючого</w:t>
            </w:r>
            <w:r w:rsidRPr="00042924">
              <w:rPr>
                <w:spacing w:val="-5"/>
                <w:sz w:val="24"/>
                <w:szCs w:val="24"/>
                <w:lang w:val="uk-UA"/>
              </w:rPr>
              <w:t xml:space="preserve"> </w:t>
            </w:r>
            <w:r w:rsidRPr="00042924">
              <w:rPr>
                <w:sz w:val="24"/>
                <w:szCs w:val="24"/>
                <w:lang w:val="uk-UA"/>
              </w:rPr>
              <w:t>санацією</w:t>
            </w:r>
          </w:p>
        </w:tc>
        <w:tc>
          <w:tcPr>
            <w:tcW w:w="625" w:type="pct"/>
            <w:vAlign w:val="center"/>
          </w:tcPr>
          <w:p w14:paraId="7A532C7D" w14:textId="77777777" w:rsidR="003C439A" w:rsidRPr="00042924" w:rsidRDefault="003C439A" w:rsidP="003C439A">
            <w:pPr>
              <w:pStyle w:val="TableParagraph"/>
              <w:jc w:val="center"/>
              <w:rPr>
                <w:sz w:val="24"/>
                <w:szCs w:val="24"/>
                <w:lang w:val="uk-UA"/>
              </w:rPr>
            </w:pPr>
            <w:r w:rsidRPr="00042924">
              <w:rPr>
                <w:sz w:val="24"/>
                <w:szCs w:val="24"/>
                <w:lang w:val="uk-UA"/>
              </w:rPr>
              <w:t>0</w:t>
            </w:r>
          </w:p>
        </w:tc>
        <w:tc>
          <w:tcPr>
            <w:tcW w:w="625" w:type="pct"/>
            <w:vAlign w:val="center"/>
          </w:tcPr>
          <w:p w14:paraId="63DE9F8F" w14:textId="77777777" w:rsidR="003C439A" w:rsidRPr="00042924" w:rsidRDefault="003C439A" w:rsidP="003C439A">
            <w:pPr>
              <w:pStyle w:val="TableParagraph"/>
              <w:jc w:val="center"/>
              <w:rPr>
                <w:sz w:val="24"/>
                <w:szCs w:val="24"/>
                <w:lang w:val="uk-UA"/>
              </w:rPr>
            </w:pPr>
            <w:r w:rsidRPr="00042924">
              <w:rPr>
                <w:sz w:val="24"/>
                <w:szCs w:val="24"/>
                <w:lang w:val="uk-UA"/>
              </w:rPr>
              <w:t>4</w:t>
            </w:r>
          </w:p>
        </w:tc>
        <w:tc>
          <w:tcPr>
            <w:tcW w:w="626" w:type="pct"/>
            <w:vAlign w:val="center"/>
          </w:tcPr>
          <w:p w14:paraId="6E9C1D5E" w14:textId="77777777" w:rsidR="003C439A" w:rsidRPr="00042924" w:rsidRDefault="0064329F" w:rsidP="003C439A">
            <w:pPr>
              <w:pStyle w:val="TableParagraph"/>
              <w:jc w:val="center"/>
              <w:rPr>
                <w:sz w:val="24"/>
                <w:szCs w:val="24"/>
                <w:lang w:val="uk-UA"/>
              </w:rPr>
            </w:pPr>
            <w:r w:rsidRPr="00042924">
              <w:rPr>
                <w:sz w:val="24"/>
                <w:szCs w:val="24"/>
                <w:lang w:val="uk-UA"/>
              </w:rPr>
              <w:t>4</w:t>
            </w:r>
          </w:p>
        </w:tc>
        <w:tc>
          <w:tcPr>
            <w:tcW w:w="625" w:type="pct"/>
            <w:vAlign w:val="center"/>
          </w:tcPr>
          <w:p w14:paraId="761F98FB" w14:textId="77777777" w:rsidR="003C439A" w:rsidRPr="00042924" w:rsidRDefault="0064329F" w:rsidP="003C439A">
            <w:pPr>
              <w:pStyle w:val="TableParagraph"/>
              <w:jc w:val="center"/>
              <w:rPr>
                <w:sz w:val="24"/>
                <w:szCs w:val="24"/>
                <w:lang w:val="uk-UA"/>
              </w:rPr>
            </w:pPr>
            <w:r w:rsidRPr="00042924">
              <w:rPr>
                <w:sz w:val="24"/>
                <w:szCs w:val="24"/>
                <w:lang w:val="uk-UA"/>
              </w:rPr>
              <w:t>10</w:t>
            </w:r>
          </w:p>
        </w:tc>
        <w:tc>
          <w:tcPr>
            <w:tcW w:w="625" w:type="pct"/>
            <w:vAlign w:val="center"/>
          </w:tcPr>
          <w:p w14:paraId="353CBC83" w14:textId="77777777" w:rsidR="003C439A" w:rsidRPr="00042924" w:rsidRDefault="00E77235" w:rsidP="003C439A">
            <w:pPr>
              <w:pStyle w:val="TableParagraph"/>
              <w:jc w:val="center"/>
              <w:rPr>
                <w:sz w:val="24"/>
                <w:szCs w:val="24"/>
                <w:lang w:val="uk-UA"/>
              </w:rPr>
            </w:pPr>
            <w:r w:rsidRPr="00042924">
              <w:rPr>
                <w:sz w:val="24"/>
                <w:szCs w:val="24"/>
                <w:lang w:val="uk-UA"/>
              </w:rPr>
              <w:t>5</w:t>
            </w:r>
          </w:p>
        </w:tc>
      </w:tr>
      <w:tr w:rsidR="003C439A" w:rsidRPr="00042924" w14:paraId="2D25AD8B" w14:textId="77777777" w:rsidTr="006026B2">
        <w:trPr>
          <w:trHeight w:val="311"/>
        </w:trPr>
        <w:tc>
          <w:tcPr>
            <w:tcW w:w="1874" w:type="pct"/>
            <w:vAlign w:val="center"/>
          </w:tcPr>
          <w:p w14:paraId="2CB0BAC7" w14:textId="77777777" w:rsidR="003C439A" w:rsidRPr="00042924" w:rsidRDefault="003C439A" w:rsidP="003C439A">
            <w:pPr>
              <w:pStyle w:val="TableParagraph"/>
              <w:jc w:val="center"/>
              <w:rPr>
                <w:sz w:val="24"/>
                <w:szCs w:val="24"/>
                <w:lang w:val="uk-UA"/>
              </w:rPr>
            </w:pPr>
            <w:r w:rsidRPr="00042924">
              <w:rPr>
                <w:sz w:val="24"/>
                <w:szCs w:val="24"/>
                <w:lang w:val="uk-UA"/>
              </w:rPr>
              <w:t>-</w:t>
            </w:r>
            <w:r w:rsidRPr="00042924">
              <w:rPr>
                <w:spacing w:val="-3"/>
                <w:sz w:val="24"/>
                <w:szCs w:val="24"/>
                <w:lang w:val="uk-UA"/>
              </w:rPr>
              <w:t xml:space="preserve"> </w:t>
            </w:r>
            <w:r w:rsidRPr="00042924">
              <w:rPr>
                <w:sz w:val="24"/>
                <w:szCs w:val="24"/>
                <w:lang w:val="uk-UA"/>
              </w:rPr>
              <w:t>із</w:t>
            </w:r>
            <w:r w:rsidRPr="00042924">
              <w:rPr>
                <w:spacing w:val="-2"/>
                <w:sz w:val="24"/>
                <w:szCs w:val="24"/>
                <w:lang w:val="uk-UA"/>
              </w:rPr>
              <w:t xml:space="preserve"> </w:t>
            </w:r>
            <w:r w:rsidRPr="00042924">
              <w:rPr>
                <w:sz w:val="24"/>
                <w:szCs w:val="24"/>
                <w:lang w:val="uk-UA"/>
              </w:rPr>
              <w:t>затвердженням</w:t>
            </w:r>
            <w:r w:rsidRPr="00042924">
              <w:rPr>
                <w:spacing w:val="-2"/>
                <w:sz w:val="24"/>
                <w:szCs w:val="24"/>
                <w:lang w:val="uk-UA"/>
              </w:rPr>
              <w:t xml:space="preserve"> </w:t>
            </w:r>
            <w:r w:rsidRPr="00042924">
              <w:rPr>
                <w:sz w:val="24"/>
                <w:szCs w:val="24"/>
                <w:lang w:val="uk-UA"/>
              </w:rPr>
              <w:t>звіту</w:t>
            </w:r>
            <w:r w:rsidRPr="00042924">
              <w:rPr>
                <w:spacing w:val="-6"/>
                <w:sz w:val="24"/>
                <w:szCs w:val="24"/>
                <w:lang w:val="uk-UA"/>
              </w:rPr>
              <w:t xml:space="preserve"> </w:t>
            </w:r>
            <w:r w:rsidRPr="00042924">
              <w:rPr>
                <w:sz w:val="24"/>
                <w:szCs w:val="24"/>
                <w:lang w:val="uk-UA"/>
              </w:rPr>
              <w:t>ліквідатора</w:t>
            </w:r>
          </w:p>
        </w:tc>
        <w:tc>
          <w:tcPr>
            <w:tcW w:w="625" w:type="pct"/>
            <w:vAlign w:val="center"/>
          </w:tcPr>
          <w:p w14:paraId="12FA2542" w14:textId="77777777" w:rsidR="003C439A" w:rsidRPr="00042924" w:rsidRDefault="003C439A" w:rsidP="003C439A">
            <w:pPr>
              <w:pStyle w:val="TableParagraph"/>
              <w:jc w:val="center"/>
              <w:rPr>
                <w:sz w:val="24"/>
                <w:szCs w:val="24"/>
                <w:lang w:val="uk-UA"/>
              </w:rPr>
            </w:pPr>
            <w:r w:rsidRPr="00042924">
              <w:rPr>
                <w:sz w:val="24"/>
                <w:szCs w:val="24"/>
                <w:lang w:val="uk-UA"/>
              </w:rPr>
              <w:t>1 055</w:t>
            </w:r>
          </w:p>
        </w:tc>
        <w:tc>
          <w:tcPr>
            <w:tcW w:w="625" w:type="pct"/>
            <w:vAlign w:val="center"/>
          </w:tcPr>
          <w:p w14:paraId="21741AF6" w14:textId="77777777" w:rsidR="003C439A" w:rsidRPr="00042924" w:rsidRDefault="003C439A" w:rsidP="003C439A">
            <w:pPr>
              <w:pStyle w:val="TableParagraph"/>
              <w:jc w:val="center"/>
              <w:rPr>
                <w:sz w:val="24"/>
                <w:szCs w:val="24"/>
                <w:lang w:val="uk-UA"/>
              </w:rPr>
            </w:pPr>
            <w:r w:rsidRPr="00042924">
              <w:rPr>
                <w:sz w:val="24"/>
                <w:szCs w:val="24"/>
                <w:lang w:val="uk-UA"/>
              </w:rPr>
              <w:t>953</w:t>
            </w:r>
          </w:p>
        </w:tc>
        <w:tc>
          <w:tcPr>
            <w:tcW w:w="626" w:type="pct"/>
            <w:vAlign w:val="center"/>
          </w:tcPr>
          <w:p w14:paraId="7E3B1BDE" w14:textId="77777777" w:rsidR="003C439A" w:rsidRPr="00042924" w:rsidRDefault="0064329F" w:rsidP="003C439A">
            <w:pPr>
              <w:pStyle w:val="TableParagraph"/>
              <w:jc w:val="center"/>
              <w:rPr>
                <w:sz w:val="24"/>
                <w:szCs w:val="24"/>
                <w:lang w:val="uk-UA"/>
              </w:rPr>
            </w:pPr>
            <w:r w:rsidRPr="00042924">
              <w:rPr>
                <w:sz w:val="24"/>
                <w:szCs w:val="24"/>
                <w:lang w:val="uk-UA"/>
              </w:rPr>
              <w:t>612</w:t>
            </w:r>
          </w:p>
        </w:tc>
        <w:tc>
          <w:tcPr>
            <w:tcW w:w="625" w:type="pct"/>
            <w:vAlign w:val="center"/>
          </w:tcPr>
          <w:p w14:paraId="3CA8FEF2" w14:textId="77777777" w:rsidR="003C439A" w:rsidRPr="00042924" w:rsidRDefault="0064329F" w:rsidP="003C439A">
            <w:pPr>
              <w:pStyle w:val="TableParagraph"/>
              <w:jc w:val="center"/>
              <w:rPr>
                <w:sz w:val="24"/>
                <w:szCs w:val="24"/>
                <w:lang w:val="uk-UA"/>
              </w:rPr>
            </w:pPr>
            <w:r w:rsidRPr="00042924">
              <w:rPr>
                <w:sz w:val="24"/>
                <w:szCs w:val="24"/>
                <w:lang w:val="uk-UA"/>
              </w:rPr>
              <w:t>665</w:t>
            </w:r>
          </w:p>
        </w:tc>
        <w:tc>
          <w:tcPr>
            <w:tcW w:w="625" w:type="pct"/>
            <w:vAlign w:val="center"/>
          </w:tcPr>
          <w:p w14:paraId="3A4967F3" w14:textId="77777777" w:rsidR="003C439A" w:rsidRPr="00042924" w:rsidRDefault="00E77235" w:rsidP="003C439A">
            <w:pPr>
              <w:pStyle w:val="TableParagraph"/>
              <w:jc w:val="center"/>
              <w:rPr>
                <w:sz w:val="24"/>
                <w:szCs w:val="24"/>
                <w:lang w:val="uk-UA"/>
              </w:rPr>
            </w:pPr>
            <w:r w:rsidRPr="00042924">
              <w:rPr>
                <w:sz w:val="24"/>
                <w:szCs w:val="24"/>
                <w:lang w:val="uk-UA"/>
              </w:rPr>
              <w:t>462</w:t>
            </w:r>
          </w:p>
        </w:tc>
      </w:tr>
    </w:tbl>
    <w:p w14:paraId="197F864A" w14:textId="77777777" w:rsidR="00E77235" w:rsidRPr="00042924" w:rsidRDefault="00E77235" w:rsidP="006026B2">
      <w:pPr>
        <w:pStyle w:val="a4"/>
        <w:ind w:firstLine="284"/>
        <w:jc w:val="both"/>
        <w:rPr>
          <w:lang w:val="uk-UA"/>
        </w:rPr>
      </w:pPr>
      <w:r w:rsidRPr="00042924">
        <w:rPr>
          <w:lang w:val="uk-UA"/>
        </w:rPr>
        <w:t>Джерело:</w:t>
      </w:r>
      <w:r w:rsidR="0094111B" w:rsidRPr="00042924">
        <w:rPr>
          <w:lang w:val="uk-UA"/>
        </w:rPr>
        <w:t xml:space="preserve"> </w:t>
      </w:r>
      <w:bookmarkStart w:id="8" w:name="_Hlk151581577"/>
      <w:r w:rsidR="00E32FFC" w:rsidRPr="00E32FFC">
        <w:rPr>
          <w:lang w:val="uk-UA"/>
        </w:rPr>
        <w:t>складено автором на основі</w:t>
      </w:r>
      <w:r w:rsidR="0094111B" w:rsidRPr="00042924">
        <w:rPr>
          <w:lang w:val="uk-UA"/>
        </w:rPr>
        <w:t xml:space="preserve"> </w:t>
      </w:r>
      <w:bookmarkEnd w:id="8"/>
      <w:r w:rsidR="0094111B" w:rsidRPr="00042924">
        <w:rPr>
          <w:lang w:val="uk-UA"/>
        </w:rPr>
        <w:t>[</w:t>
      </w:r>
      <w:r w:rsidR="00E16E58" w:rsidRPr="00042924">
        <w:rPr>
          <w:lang w:val="uk-UA"/>
        </w:rPr>
        <w:t>26</w:t>
      </w:r>
      <w:r w:rsidR="0094111B" w:rsidRPr="00042924">
        <w:rPr>
          <w:lang w:val="uk-UA"/>
        </w:rPr>
        <w:t>]</w:t>
      </w:r>
    </w:p>
    <w:bookmarkEnd w:id="7"/>
    <w:p w14:paraId="4C4F81B9" w14:textId="77777777" w:rsidR="00BA4012" w:rsidRPr="00042924" w:rsidRDefault="00BA4012" w:rsidP="004002D9">
      <w:pPr>
        <w:pStyle w:val="a4"/>
        <w:ind w:firstLine="709"/>
        <w:jc w:val="both"/>
        <w:rPr>
          <w:lang w:val="uk-UA"/>
        </w:rPr>
      </w:pPr>
    </w:p>
    <w:p w14:paraId="213082EE" w14:textId="77777777" w:rsidR="00E6681A" w:rsidRPr="00042924" w:rsidRDefault="00254629" w:rsidP="00F93720">
      <w:pPr>
        <w:pStyle w:val="a4"/>
        <w:ind w:firstLine="709"/>
        <w:jc w:val="both"/>
        <w:rPr>
          <w:lang w:val="uk-UA"/>
        </w:rPr>
      </w:pPr>
      <w:r w:rsidRPr="00042924">
        <w:rPr>
          <w:lang w:val="uk-UA"/>
        </w:rPr>
        <w:t xml:space="preserve">За даними табл. </w:t>
      </w:r>
      <w:r w:rsidR="00C13497" w:rsidRPr="00042924">
        <w:rPr>
          <w:lang w:val="uk-UA"/>
        </w:rPr>
        <w:t>1</w:t>
      </w:r>
      <w:r w:rsidRPr="00042924">
        <w:rPr>
          <w:lang w:val="uk-UA"/>
        </w:rPr>
        <w:t>.</w:t>
      </w:r>
      <w:r w:rsidR="00C13497" w:rsidRPr="00042924">
        <w:rPr>
          <w:lang w:val="uk-UA"/>
        </w:rPr>
        <w:t>7</w:t>
      </w:r>
      <w:r w:rsidRPr="00042924">
        <w:rPr>
          <w:lang w:val="uk-UA"/>
        </w:rPr>
        <w:t xml:space="preserve">, кількість закінчених провадженням справ у період з 2018 по 2021 роки суттєво коливалася. У 2022 році відзначається різке зниження цього показника. Більшість справ порушується за заявами кредиторів, а частка заяв </w:t>
      </w:r>
      <w:r w:rsidRPr="00042924">
        <w:rPr>
          <w:lang w:val="uk-UA"/>
        </w:rPr>
        <w:lastRenderedPageBreak/>
        <w:t>боржників також є значною. У переважній більшості випадків справи завершуються затвердженням звіту ліквідатора. Кількість випадків санації зафіксована як надзвичайно мала.</w:t>
      </w:r>
    </w:p>
    <w:p w14:paraId="5D1BAD71" w14:textId="77777777" w:rsidR="003C58E7" w:rsidRPr="00042924" w:rsidRDefault="003C58E7" w:rsidP="003C58E7">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Отже, загалом статистика вказує на скорочення кількості справ про банкрутство та сум які вим</w:t>
      </w:r>
      <w:r w:rsidR="008A6067" w:rsidRPr="00042924">
        <w:rPr>
          <w:rFonts w:ascii="Times New Roman" w:hAnsi="Times New Roman" w:cs="Times New Roman"/>
          <w:sz w:val="28"/>
          <w:szCs w:val="28"/>
          <w:lang w:val="uk-UA"/>
        </w:rPr>
        <w:t>а</w:t>
      </w:r>
      <w:r w:rsidRPr="00042924">
        <w:rPr>
          <w:rFonts w:ascii="Times New Roman" w:hAnsi="Times New Roman" w:cs="Times New Roman"/>
          <w:sz w:val="28"/>
          <w:szCs w:val="28"/>
          <w:lang w:val="uk-UA"/>
        </w:rPr>
        <w:t>г</w:t>
      </w:r>
      <w:r w:rsidR="008A6067" w:rsidRPr="00042924">
        <w:rPr>
          <w:rFonts w:ascii="Times New Roman" w:hAnsi="Times New Roman" w:cs="Times New Roman"/>
          <w:sz w:val="28"/>
          <w:szCs w:val="28"/>
          <w:lang w:val="uk-UA"/>
        </w:rPr>
        <w:t>ають</w:t>
      </w:r>
      <w:r w:rsidRPr="00042924">
        <w:rPr>
          <w:rFonts w:ascii="Times New Roman" w:hAnsi="Times New Roman" w:cs="Times New Roman"/>
          <w:sz w:val="28"/>
          <w:szCs w:val="28"/>
          <w:lang w:val="uk-UA"/>
        </w:rPr>
        <w:t xml:space="preserve"> кредитор</w:t>
      </w:r>
      <w:r w:rsidR="008A6067" w:rsidRPr="00042924">
        <w:rPr>
          <w:rFonts w:ascii="Times New Roman" w:hAnsi="Times New Roman" w:cs="Times New Roman"/>
          <w:sz w:val="28"/>
          <w:szCs w:val="28"/>
          <w:lang w:val="uk-UA"/>
        </w:rPr>
        <w:t>и</w:t>
      </w:r>
      <w:r w:rsidRPr="00042924">
        <w:rPr>
          <w:rFonts w:ascii="Times New Roman" w:hAnsi="Times New Roman" w:cs="Times New Roman"/>
          <w:sz w:val="28"/>
          <w:szCs w:val="28"/>
          <w:lang w:val="uk-UA"/>
        </w:rPr>
        <w:t xml:space="preserve"> в останні роки. Проте частка задоволених вимог залишається високою. Переважна більшість справ закінчується ліквідацією, а не відновленням платоспроможності боржників. Це </w:t>
      </w:r>
      <w:r w:rsidR="0064295A">
        <w:rPr>
          <w:rFonts w:ascii="Times New Roman" w:hAnsi="Times New Roman" w:cs="Times New Roman"/>
          <w:sz w:val="28"/>
          <w:szCs w:val="28"/>
          <w:lang w:val="uk-UA"/>
        </w:rPr>
        <w:t>свідчить</w:t>
      </w:r>
      <w:r w:rsidR="00BD47F9">
        <w:rPr>
          <w:rFonts w:ascii="Times New Roman" w:hAnsi="Times New Roman" w:cs="Times New Roman"/>
          <w:sz w:val="28"/>
          <w:szCs w:val="28"/>
          <w:lang w:val="uk-UA"/>
        </w:rPr>
        <w:t xml:space="preserve"> про</w:t>
      </w:r>
      <w:r w:rsidRPr="00042924">
        <w:rPr>
          <w:rFonts w:ascii="Times New Roman" w:hAnsi="Times New Roman" w:cs="Times New Roman"/>
          <w:sz w:val="28"/>
          <w:szCs w:val="28"/>
          <w:lang w:val="uk-UA"/>
        </w:rPr>
        <w:t xml:space="preserve"> недосконалість процедур банкрутства в Україні.</w:t>
      </w:r>
    </w:p>
    <w:p w14:paraId="09D99EBF" w14:textId="77777777" w:rsidR="003C58E7" w:rsidRPr="00042924" w:rsidRDefault="003C58E7" w:rsidP="003C58E7">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У зв'язку з цим, у 2023 році були внесені основні зміни до процедури банкрутства в Україні. Зокрема, в умовах воєнного стану передбачено можливість дистанційних зборів кредиторів, звільнення арбітражного керуючого від відповідальності за неможливість виконання обов'язків, зупинення нарахування відсотків за реструктуризованими зобов’язаннями. Також розширено повноваження розпорядника майна щодо доступу до облікових даних боржника, перелік ухвал для оскарження у касаційному порядку. Зміна місцезнаходження боржника після подання заяви про банкрутство не впливає на юрисдикцію.</w:t>
      </w:r>
    </w:p>
    <w:p w14:paraId="7CABBEEE" w14:textId="77777777" w:rsidR="00C62862" w:rsidRPr="00042924" w:rsidRDefault="003C58E7" w:rsidP="003C58E7">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Крім того, заяви у справі про банкрутство розглядаються за правилами спрощеного позовного провадження, врегульовано порядок пересилання матеріалів справи до судів. Розширено коло осіб для субсидіарної відповідальності, дозволено мирові угоди і санацію після визнання банкрутом. Запроваджено автоматизовану систему для such справ. Очікується, що ці зміни сприятимуть ефективнішому вирішенню справ про банкрутство в Україні</w:t>
      </w:r>
      <w:r w:rsidR="00EB40FC">
        <w:rPr>
          <w:rFonts w:ascii="Times New Roman" w:hAnsi="Times New Roman" w:cs="Times New Roman"/>
          <w:sz w:val="28"/>
          <w:szCs w:val="28"/>
          <w:lang w:val="uk-UA"/>
        </w:rPr>
        <w:t xml:space="preserve"> </w:t>
      </w:r>
      <w:r w:rsidR="00E16E58" w:rsidRPr="00042924">
        <w:rPr>
          <w:rFonts w:ascii="Times New Roman" w:hAnsi="Times New Roman" w:cs="Times New Roman"/>
          <w:sz w:val="28"/>
          <w:szCs w:val="28"/>
          <w:lang w:val="uk-UA"/>
        </w:rPr>
        <w:t>[27]</w:t>
      </w:r>
      <w:r w:rsidR="00EB40FC">
        <w:rPr>
          <w:rFonts w:ascii="Times New Roman" w:hAnsi="Times New Roman" w:cs="Times New Roman"/>
          <w:sz w:val="28"/>
          <w:szCs w:val="28"/>
          <w:lang w:val="uk-UA"/>
        </w:rPr>
        <w:t>.</w:t>
      </w:r>
    </w:p>
    <w:bookmarkEnd w:id="6"/>
    <w:p w14:paraId="63C89D7B" w14:textId="77777777" w:rsidR="00EC1BD5" w:rsidRPr="00042924" w:rsidRDefault="006A4CB5" w:rsidP="003C58E7">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Підбиваючи підсумки, можна констатувати, що вітчизняні підприємства в Україні перебувають у стані глибокої фінансової кризи та підвищеного ризику банкрутства внаслідок сукупного впливу наслідків війни, системних економічних проблем та недосконалості правового регулювання у сфері банкрутства. Ця складна ситуація вимагає негайного вжиття комплексних системних реформ, спрямованих на стабілізацію національної економіки, поліпшення загального бізнес-клімату в країні та вдосконалення процедур банкрутства, що дозволить відновити інвестиційну привабливість України та подолати кризу</w:t>
      </w:r>
      <w:r w:rsidR="00977A23" w:rsidRPr="00042924">
        <w:rPr>
          <w:rFonts w:ascii="Times New Roman" w:hAnsi="Times New Roman" w:cs="Times New Roman"/>
          <w:sz w:val="28"/>
          <w:szCs w:val="28"/>
          <w:lang w:val="uk-UA"/>
        </w:rPr>
        <w:t>.</w:t>
      </w:r>
      <w:bookmarkEnd w:id="2"/>
    </w:p>
    <w:p w14:paraId="224E5C9D" w14:textId="77777777" w:rsidR="008B734C" w:rsidRPr="00042924" w:rsidRDefault="00853DDD" w:rsidP="003C58E7">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Таким чином, в розділі 1 </w:t>
      </w:r>
      <w:r w:rsidR="0022369A" w:rsidRPr="00042924">
        <w:rPr>
          <w:rFonts w:ascii="Times New Roman" w:hAnsi="Times New Roman" w:cs="Times New Roman"/>
          <w:sz w:val="28"/>
          <w:szCs w:val="28"/>
          <w:lang w:val="uk-UA"/>
        </w:rPr>
        <w:t>проаналізовано</w:t>
      </w:r>
      <w:r w:rsidR="00467DC8" w:rsidRPr="00042924">
        <w:rPr>
          <w:rFonts w:ascii="Times New Roman" w:hAnsi="Times New Roman" w:cs="Times New Roman"/>
          <w:sz w:val="28"/>
          <w:szCs w:val="28"/>
          <w:lang w:val="uk-UA"/>
        </w:rPr>
        <w:t xml:space="preserve"> теоретичну</w:t>
      </w:r>
      <w:r w:rsidR="0022369A" w:rsidRPr="00042924">
        <w:rPr>
          <w:rFonts w:ascii="Times New Roman" w:hAnsi="Times New Roman" w:cs="Times New Roman"/>
          <w:sz w:val="28"/>
          <w:szCs w:val="28"/>
          <w:lang w:val="uk-UA"/>
        </w:rPr>
        <w:t xml:space="preserve"> сутність банкрутства як складного комплексного явища, що поєднує</w:t>
      </w:r>
      <w:r w:rsidR="00467DC8" w:rsidRPr="00042924">
        <w:rPr>
          <w:rFonts w:ascii="Times New Roman" w:hAnsi="Times New Roman" w:cs="Times New Roman"/>
          <w:sz w:val="28"/>
          <w:szCs w:val="28"/>
          <w:lang w:val="uk-UA"/>
        </w:rPr>
        <w:t xml:space="preserve"> в собі</w:t>
      </w:r>
      <w:r w:rsidR="0022369A" w:rsidRPr="00042924">
        <w:rPr>
          <w:rFonts w:ascii="Times New Roman" w:hAnsi="Times New Roman" w:cs="Times New Roman"/>
          <w:sz w:val="28"/>
          <w:szCs w:val="28"/>
          <w:lang w:val="uk-UA"/>
        </w:rPr>
        <w:t xml:space="preserve"> юридичні, фінансові та економічні аспекти. Висвітлено різноманітні наукові підходи до визначення та класифікації банкрутства. Розглянуто методи діагностики фінансової кризи та прогнозування банкрутства, такі як експертні оцінки, статистичне моделювання, штучний інтелект, аналіз фінансових показників та їх комплексне поєднання.</w:t>
      </w:r>
      <w:r w:rsidRPr="00042924">
        <w:rPr>
          <w:rFonts w:ascii="Times New Roman" w:hAnsi="Times New Roman" w:cs="Times New Roman"/>
          <w:sz w:val="28"/>
          <w:szCs w:val="28"/>
          <w:lang w:val="uk-UA"/>
        </w:rPr>
        <w:t xml:space="preserve"> </w:t>
      </w:r>
    </w:p>
    <w:p w14:paraId="3343C036" w14:textId="77777777" w:rsidR="004E4CF2" w:rsidRPr="00042924" w:rsidRDefault="008B734C" w:rsidP="003C58E7">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Крім того,</w:t>
      </w:r>
      <w:r w:rsidR="006E2803" w:rsidRPr="00042924">
        <w:rPr>
          <w:rFonts w:ascii="Times New Roman" w:hAnsi="Times New Roman" w:cs="Times New Roman"/>
          <w:sz w:val="28"/>
          <w:szCs w:val="28"/>
          <w:lang w:val="uk-UA"/>
        </w:rPr>
        <w:t xml:space="preserve"> було проведено дослідження </w:t>
      </w:r>
      <w:r w:rsidRPr="00042924">
        <w:rPr>
          <w:rFonts w:ascii="Times New Roman" w:hAnsi="Times New Roman" w:cs="Times New Roman"/>
          <w:sz w:val="28"/>
          <w:szCs w:val="28"/>
          <w:lang w:val="uk-UA"/>
        </w:rPr>
        <w:t>вітчизнян</w:t>
      </w:r>
      <w:r w:rsidR="006E2803" w:rsidRPr="00042924">
        <w:rPr>
          <w:rFonts w:ascii="Times New Roman" w:hAnsi="Times New Roman" w:cs="Times New Roman"/>
          <w:sz w:val="28"/>
          <w:szCs w:val="28"/>
          <w:lang w:val="uk-UA"/>
        </w:rPr>
        <w:t>их</w:t>
      </w:r>
      <w:r w:rsidRPr="00042924">
        <w:rPr>
          <w:rFonts w:ascii="Times New Roman" w:hAnsi="Times New Roman" w:cs="Times New Roman"/>
          <w:sz w:val="28"/>
          <w:szCs w:val="28"/>
          <w:lang w:val="uk-UA"/>
        </w:rPr>
        <w:t xml:space="preserve"> підприємств</w:t>
      </w:r>
      <w:r w:rsidR="00595B4A" w:rsidRPr="00042924">
        <w:rPr>
          <w:rFonts w:ascii="Times New Roman" w:hAnsi="Times New Roman" w:cs="Times New Roman"/>
          <w:sz w:val="28"/>
          <w:szCs w:val="28"/>
          <w:lang w:val="uk-UA"/>
        </w:rPr>
        <w:t>,</w:t>
      </w:r>
      <w:r w:rsidR="006E2803" w:rsidRPr="00042924">
        <w:rPr>
          <w:rFonts w:ascii="Times New Roman" w:hAnsi="Times New Roman" w:cs="Times New Roman"/>
          <w:sz w:val="28"/>
          <w:szCs w:val="28"/>
          <w:lang w:val="uk-UA"/>
        </w:rPr>
        <w:t xml:space="preserve"> які</w:t>
      </w:r>
      <w:r w:rsidRPr="00042924">
        <w:rPr>
          <w:rFonts w:ascii="Times New Roman" w:hAnsi="Times New Roman" w:cs="Times New Roman"/>
          <w:sz w:val="28"/>
          <w:szCs w:val="28"/>
          <w:lang w:val="uk-UA"/>
        </w:rPr>
        <w:t xml:space="preserve"> зазнають глибокої фінансової кризи через наслідки війни, системні економічні проблеми та недоліки у регулюванні банкрутства. </w:t>
      </w:r>
      <w:r w:rsidR="003F6C5E" w:rsidRPr="00042924">
        <w:rPr>
          <w:rFonts w:ascii="Times New Roman" w:hAnsi="Times New Roman" w:cs="Times New Roman"/>
          <w:sz w:val="28"/>
          <w:szCs w:val="28"/>
          <w:lang w:val="uk-UA"/>
        </w:rPr>
        <w:t>Що</w:t>
      </w:r>
      <w:r w:rsidRPr="00042924">
        <w:rPr>
          <w:rFonts w:ascii="Times New Roman" w:hAnsi="Times New Roman" w:cs="Times New Roman"/>
          <w:sz w:val="28"/>
          <w:szCs w:val="28"/>
          <w:lang w:val="uk-UA"/>
        </w:rPr>
        <w:t xml:space="preserve"> вимагає термінових комплексних реформ задля стабілізації економіки та вдосконалення процедур банкрутства.</w:t>
      </w:r>
    </w:p>
    <w:p w14:paraId="4931B4E7" w14:textId="77777777" w:rsidR="00793371" w:rsidRPr="00042924" w:rsidRDefault="009F7E45" w:rsidP="00467DC8">
      <w:pPr>
        <w:spacing w:after="0" w:line="240" w:lineRule="auto"/>
        <w:ind w:firstLine="709"/>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Отже, </w:t>
      </w:r>
      <w:r w:rsidR="00ED36A0">
        <w:rPr>
          <w:rFonts w:ascii="Times New Roman" w:hAnsi="Times New Roman" w:cs="Times New Roman"/>
          <w:sz w:val="28"/>
          <w:szCs w:val="28"/>
          <w:lang w:val="uk-UA"/>
        </w:rPr>
        <w:t>в даному розділі було</w:t>
      </w:r>
      <w:r w:rsidRPr="00042924">
        <w:rPr>
          <w:rFonts w:ascii="Times New Roman" w:hAnsi="Times New Roman" w:cs="Times New Roman"/>
          <w:sz w:val="28"/>
          <w:szCs w:val="28"/>
          <w:lang w:val="uk-UA"/>
        </w:rPr>
        <w:t xml:space="preserve"> заклад</w:t>
      </w:r>
      <w:r w:rsidR="00ED36A0">
        <w:rPr>
          <w:rFonts w:ascii="Times New Roman" w:hAnsi="Times New Roman" w:cs="Times New Roman"/>
          <w:sz w:val="28"/>
          <w:szCs w:val="28"/>
          <w:lang w:val="uk-UA"/>
        </w:rPr>
        <w:t>ено</w:t>
      </w:r>
      <w:r w:rsidRPr="00042924">
        <w:rPr>
          <w:rFonts w:ascii="Times New Roman" w:hAnsi="Times New Roman" w:cs="Times New Roman"/>
          <w:sz w:val="28"/>
          <w:szCs w:val="28"/>
          <w:lang w:val="uk-UA"/>
        </w:rPr>
        <w:t xml:space="preserve"> необхідне теоретико-методологічне підґрунтя</w:t>
      </w:r>
      <w:r w:rsidR="00652C08" w:rsidRPr="00042924">
        <w:rPr>
          <w:rFonts w:ascii="Times New Roman" w:hAnsi="Times New Roman" w:cs="Times New Roman"/>
          <w:sz w:val="28"/>
          <w:szCs w:val="28"/>
          <w:lang w:val="uk-UA"/>
        </w:rPr>
        <w:t xml:space="preserve"> для</w:t>
      </w:r>
      <w:r w:rsidRPr="00042924">
        <w:rPr>
          <w:rFonts w:ascii="Times New Roman" w:hAnsi="Times New Roman" w:cs="Times New Roman"/>
          <w:sz w:val="28"/>
          <w:szCs w:val="28"/>
          <w:lang w:val="uk-UA"/>
        </w:rPr>
        <w:t xml:space="preserve"> подальшого аналізу </w:t>
      </w:r>
      <w:r w:rsidR="0041398E" w:rsidRPr="00042924">
        <w:rPr>
          <w:rFonts w:ascii="Times New Roman" w:hAnsi="Times New Roman" w:cs="Times New Roman"/>
          <w:sz w:val="28"/>
          <w:szCs w:val="28"/>
          <w:lang w:val="uk-UA"/>
        </w:rPr>
        <w:t>та визначення ймовірності банкрутства на підприємствах</w:t>
      </w:r>
      <w:r w:rsidRPr="00042924">
        <w:rPr>
          <w:rFonts w:ascii="Times New Roman" w:hAnsi="Times New Roman" w:cs="Times New Roman"/>
          <w:sz w:val="28"/>
          <w:szCs w:val="28"/>
          <w:lang w:val="uk-UA"/>
        </w:rPr>
        <w:t>.</w:t>
      </w:r>
      <w:r w:rsidR="00467DC8" w:rsidRPr="00042924">
        <w:rPr>
          <w:rFonts w:ascii="Times New Roman" w:hAnsi="Times New Roman" w:cs="Times New Roman"/>
          <w:sz w:val="28"/>
          <w:szCs w:val="28"/>
          <w:lang w:val="uk-UA"/>
        </w:rPr>
        <w:t xml:space="preserve"> </w:t>
      </w:r>
      <w:r w:rsidR="00793371" w:rsidRPr="00042924">
        <w:rPr>
          <w:rFonts w:ascii="Times New Roman" w:hAnsi="Times New Roman" w:cs="Times New Roman"/>
          <w:sz w:val="28"/>
          <w:szCs w:val="28"/>
          <w:lang w:val="uk-UA"/>
        </w:rPr>
        <w:br w:type="page"/>
      </w:r>
    </w:p>
    <w:p w14:paraId="12F5E13B" w14:textId="77777777" w:rsidR="00E97CFC" w:rsidRPr="00042924" w:rsidRDefault="00E97CFC" w:rsidP="009068A7">
      <w:pPr>
        <w:spacing w:after="0" w:line="240" w:lineRule="auto"/>
        <w:jc w:val="center"/>
        <w:rPr>
          <w:rFonts w:ascii="Times New Roman" w:eastAsia="Times New Roman" w:hAnsi="Times New Roman" w:cs="Times New Roman"/>
          <w:b/>
          <w:bCs/>
          <w:sz w:val="28"/>
          <w:lang w:val="uk-UA"/>
        </w:rPr>
      </w:pPr>
      <w:bookmarkStart w:id="9" w:name="_Hlk150853175"/>
      <w:r w:rsidRPr="00042924">
        <w:rPr>
          <w:rFonts w:ascii="Times New Roman" w:eastAsia="Times New Roman" w:hAnsi="Times New Roman" w:cs="Times New Roman"/>
          <w:b/>
          <w:bCs/>
          <w:sz w:val="28"/>
          <w:lang w:val="uk-UA"/>
        </w:rPr>
        <w:lastRenderedPageBreak/>
        <w:t>2</w:t>
      </w:r>
      <w:r w:rsidR="009068A7">
        <w:rPr>
          <w:rFonts w:ascii="Times New Roman" w:eastAsia="Times New Roman" w:hAnsi="Times New Roman" w:cs="Times New Roman"/>
          <w:b/>
          <w:bCs/>
          <w:sz w:val="28"/>
          <w:lang w:val="uk-UA"/>
        </w:rPr>
        <w:t xml:space="preserve"> </w:t>
      </w:r>
      <w:r w:rsidRPr="00042924">
        <w:rPr>
          <w:rFonts w:ascii="Times New Roman" w:eastAsia="Times New Roman" w:hAnsi="Times New Roman" w:cs="Times New Roman"/>
          <w:b/>
          <w:bCs/>
          <w:sz w:val="28"/>
          <w:lang w:val="uk-UA"/>
        </w:rPr>
        <w:t>ФІНАНСОВИЙ АНАЛІЗ ТА ДІАГНОСТИКА БАНКРУТСТВА ПАТ «АРСЕЛОРМІТТАЛ КРИВИЙ</w:t>
      </w:r>
      <w:r w:rsidRPr="00042924">
        <w:rPr>
          <w:rFonts w:ascii="Times New Roman" w:eastAsia="Times New Roman" w:hAnsi="Times New Roman" w:cs="Times New Roman"/>
          <w:b/>
          <w:bCs/>
          <w:spacing w:val="-3"/>
          <w:sz w:val="28"/>
          <w:lang w:val="uk-UA"/>
        </w:rPr>
        <w:t xml:space="preserve"> </w:t>
      </w:r>
      <w:r w:rsidRPr="00042924">
        <w:rPr>
          <w:rFonts w:ascii="Times New Roman" w:eastAsia="Times New Roman" w:hAnsi="Times New Roman" w:cs="Times New Roman"/>
          <w:b/>
          <w:bCs/>
          <w:sz w:val="28"/>
          <w:lang w:val="uk-UA"/>
        </w:rPr>
        <w:t>РІГ»</w:t>
      </w:r>
    </w:p>
    <w:p w14:paraId="7DCE49B4" w14:textId="77777777" w:rsidR="00E97CFC" w:rsidRDefault="00E97CFC" w:rsidP="00E97CFC">
      <w:pPr>
        <w:tabs>
          <w:tab w:val="left" w:pos="3137"/>
          <w:tab w:val="left" w:pos="5281"/>
        </w:tabs>
        <w:spacing w:after="0" w:line="240" w:lineRule="auto"/>
        <w:ind w:left="340"/>
        <w:jc w:val="center"/>
        <w:rPr>
          <w:rFonts w:ascii="Times New Roman" w:eastAsia="Times New Roman" w:hAnsi="Times New Roman" w:cs="Times New Roman"/>
          <w:b/>
          <w:bCs/>
          <w:sz w:val="28"/>
          <w:lang w:val="uk-UA"/>
        </w:rPr>
      </w:pPr>
    </w:p>
    <w:p w14:paraId="6DEE8436" w14:textId="77777777" w:rsidR="009068A7" w:rsidRPr="00042924" w:rsidRDefault="009068A7" w:rsidP="00E97CFC">
      <w:pPr>
        <w:tabs>
          <w:tab w:val="left" w:pos="3137"/>
          <w:tab w:val="left" w:pos="5281"/>
        </w:tabs>
        <w:spacing w:after="0" w:line="240" w:lineRule="auto"/>
        <w:ind w:left="340"/>
        <w:jc w:val="center"/>
        <w:rPr>
          <w:rFonts w:ascii="Times New Roman" w:eastAsia="Times New Roman" w:hAnsi="Times New Roman" w:cs="Times New Roman"/>
          <w:b/>
          <w:bCs/>
          <w:sz w:val="28"/>
          <w:lang w:val="uk-UA"/>
        </w:rPr>
      </w:pPr>
    </w:p>
    <w:p w14:paraId="7252F557" w14:textId="77777777" w:rsidR="00E97CFC" w:rsidRPr="00042924" w:rsidRDefault="00E97CFC" w:rsidP="009068A7">
      <w:pPr>
        <w:tabs>
          <w:tab w:val="left" w:pos="3137"/>
          <w:tab w:val="left" w:pos="5281"/>
        </w:tabs>
        <w:spacing w:after="0" w:line="240" w:lineRule="auto"/>
        <w:ind w:firstLine="709"/>
        <w:jc w:val="both"/>
        <w:rPr>
          <w:rFonts w:ascii="Times New Roman" w:eastAsia="Times New Roman" w:hAnsi="Times New Roman" w:cs="Times New Roman"/>
          <w:b/>
          <w:bCs/>
          <w:sz w:val="28"/>
          <w:lang w:val="uk-UA"/>
        </w:rPr>
      </w:pPr>
      <w:bookmarkStart w:id="10" w:name="_Hlk152760307"/>
      <w:r w:rsidRPr="00042924">
        <w:rPr>
          <w:rFonts w:ascii="Times New Roman" w:eastAsia="Times New Roman" w:hAnsi="Times New Roman" w:cs="Times New Roman"/>
          <w:b/>
          <w:bCs/>
          <w:sz w:val="28"/>
          <w:lang w:val="uk-UA"/>
        </w:rPr>
        <w:t xml:space="preserve">2.1. Організаційно-економічна характеристика ПАТ «АрселорМіттал Кривий Ріг» та його діяльності </w:t>
      </w:r>
    </w:p>
    <w:p w14:paraId="739AEFD5" w14:textId="77777777" w:rsidR="00E97CFC" w:rsidRDefault="00E97CFC" w:rsidP="00E97CFC">
      <w:pPr>
        <w:tabs>
          <w:tab w:val="left" w:pos="3137"/>
          <w:tab w:val="left" w:pos="5281"/>
        </w:tabs>
        <w:spacing w:after="0" w:line="240" w:lineRule="auto"/>
        <w:jc w:val="center"/>
        <w:rPr>
          <w:rFonts w:ascii="Times New Roman" w:eastAsia="Times New Roman" w:hAnsi="Times New Roman" w:cs="Times New Roman"/>
          <w:b/>
          <w:bCs/>
          <w:sz w:val="28"/>
          <w:lang w:val="uk-UA"/>
        </w:rPr>
      </w:pPr>
    </w:p>
    <w:p w14:paraId="19EFA782" w14:textId="77777777" w:rsidR="009068A7" w:rsidRPr="00042924" w:rsidRDefault="009068A7" w:rsidP="00E97CFC">
      <w:pPr>
        <w:tabs>
          <w:tab w:val="left" w:pos="3137"/>
          <w:tab w:val="left" w:pos="5281"/>
        </w:tabs>
        <w:spacing w:after="0" w:line="240" w:lineRule="auto"/>
        <w:jc w:val="center"/>
        <w:rPr>
          <w:rFonts w:ascii="Times New Roman" w:eastAsia="Times New Roman" w:hAnsi="Times New Roman" w:cs="Times New Roman"/>
          <w:b/>
          <w:bCs/>
          <w:sz w:val="28"/>
          <w:lang w:val="uk-UA"/>
        </w:rPr>
      </w:pPr>
    </w:p>
    <w:p w14:paraId="19F9D3B6"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Публічне акціонерне товариство </w:t>
      </w:r>
      <w:r w:rsidR="00BD701D">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АрселорМіттал Кривий Ріг</w:t>
      </w:r>
      <w:r w:rsidR="00BD701D">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 xml:space="preserve"> </w:t>
      </w:r>
      <w:r w:rsidR="00FB641A">
        <w:rPr>
          <w:rFonts w:ascii="Times New Roman" w:eastAsia="Times New Roman" w:hAnsi="Times New Roman" w:cs="Times New Roman"/>
          <w:spacing w:val="-1"/>
          <w:kern w:val="0"/>
          <w:sz w:val="28"/>
          <w:szCs w:val="28"/>
          <w:lang w:val="uk-UA"/>
          <w14:ligatures w14:val="none"/>
        </w:rPr>
        <w:t>(далі</w:t>
      </w:r>
      <w:r w:rsidR="005B0EB6">
        <w:rPr>
          <w:rFonts w:ascii="Times New Roman" w:eastAsia="Times New Roman" w:hAnsi="Times New Roman" w:cs="Times New Roman"/>
          <w:spacing w:val="-1"/>
          <w:kern w:val="0"/>
          <w:sz w:val="28"/>
          <w:szCs w:val="28"/>
          <w:lang w:val="uk-UA"/>
          <w14:ligatures w14:val="none"/>
        </w:rPr>
        <w:t xml:space="preserve"> </w:t>
      </w:r>
      <w:r w:rsidR="00936BB2">
        <w:rPr>
          <w:rFonts w:ascii="Times New Roman" w:eastAsia="Times New Roman" w:hAnsi="Times New Roman" w:cs="Times New Roman"/>
          <w:spacing w:val="-1"/>
          <w:kern w:val="0"/>
          <w:sz w:val="28"/>
          <w:szCs w:val="28"/>
          <w:lang w:val="uk-UA"/>
          <w14:ligatures w14:val="none"/>
        </w:rPr>
        <w:t>-</w:t>
      </w:r>
      <w:r w:rsidR="005B0EB6">
        <w:rPr>
          <w:rFonts w:ascii="Times New Roman" w:eastAsia="Times New Roman" w:hAnsi="Times New Roman" w:cs="Times New Roman"/>
          <w:spacing w:val="-1"/>
          <w:kern w:val="0"/>
          <w:sz w:val="28"/>
          <w:szCs w:val="28"/>
          <w:lang w:val="uk-UA"/>
          <w14:ligatures w14:val="none"/>
        </w:rPr>
        <w:t xml:space="preserve"> </w:t>
      </w:r>
      <w:r w:rsidR="00FB641A">
        <w:rPr>
          <w:rFonts w:ascii="Times New Roman" w:eastAsia="Times New Roman" w:hAnsi="Times New Roman" w:cs="Times New Roman"/>
          <w:spacing w:val="-1"/>
          <w:kern w:val="0"/>
          <w:sz w:val="28"/>
          <w:szCs w:val="28"/>
          <w:lang w:val="uk-UA"/>
          <w14:ligatures w14:val="none"/>
        </w:rPr>
        <w:t>ПАТ «АМКР»)</w:t>
      </w:r>
      <w:r w:rsidR="00977CEC">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spacing w:val="-1"/>
          <w:kern w:val="0"/>
          <w:sz w:val="28"/>
          <w:szCs w:val="28"/>
          <w:lang w:val="uk-UA"/>
          <w14:ligatures w14:val="none"/>
        </w:rPr>
        <w:t xml:space="preserve">виступає як економічний та технічний гігант, відрізняючись вражаючими розмірами та високим потенціалом. Це велике підприємство, яке займає визначальні позиції серед найбільших установ гірничо-металургійного комплексу як України так і всієї Європи, проявляючи здатність розв'язувати складні завдання в галузі економіки та техніки. Воно є ключовою частиною міжнародної корпорації </w:t>
      </w:r>
      <w:r w:rsidR="00BD701D">
        <w:rPr>
          <w:rFonts w:ascii="Times New Roman" w:eastAsia="Times New Roman" w:hAnsi="Times New Roman" w:cs="Times New Roman"/>
          <w:spacing w:val="-1"/>
          <w:kern w:val="0"/>
          <w:sz w:val="28"/>
          <w:szCs w:val="28"/>
          <w:lang w:val="uk-UA"/>
          <w14:ligatures w14:val="none"/>
        </w:rPr>
        <w:t>«</w:t>
      </w:r>
      <w:r w:rsidR="002B4633" w:rsidRPr="00042924">
        <w:rPr>
          <w:rFonts w:ascii="Times New Roman" w:eastAsia="Times New Roman" w:hAnsi="Times New Roman" w:cs="Times New Roman"/>
          <w:spacing w:val="-1"/>
          <w:kern w:val="0"/>
          <w:sz w:val="28"/>
          <w:szCs w:val="28"/>
          <w:lang w:val="uk-UA"/>
          <w14:ligatures w14:val="none"/>
        </w:rPr>
        <w:t>Arcelor Mittal</w:t>
      </w:r>
      <w:r w:rsidR="00BD701D">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 що визнається головним виробником сталі у світі і одним із найбільших іноземних інвесторів в Україні. Компанія налічує понад 199 тисяч співробітників і має представництва у 60 країнах світу</w:t>
      </w:r>
      <w:r w:rsidR="00093D2C" w:rsidRPr="00042924">
        <w:rPr>
          <w:rFonts w:ascii="Times New Roman" w:eastAsia="Times New Roman" w:hAnsi="Times New Roman" w:cs="Times New Roman"/>
          <w:spacing w:val="-1"/>
          <w:kern w:val="0"/>
          <w:sz w:val="28"/>
          <w:szCs w:val="28"/>
          <w:lang w:val="uk-UA"/>
          <w14:ligatures w14:val="none"/>
        </w:rPr>
        <w:t xml:space="preserve"> [</w:t>
      </w:r>
      <w:r w:rsidR="00203E30" w:rsidRPr="00042924">
        <w:rPr>
          <w:rFonts w:ascii="Times New Roman" w:eastAsia="Times New Roman" w:hAnsi="Times New Roman" w:cs="Times New Roman"/>
          <w:spacing w:val="-1"/>
          <w:kern w:val="0"/>
          <w:sz w:val="28"/>
          <w:szCs w:val="28"/>
          <w:lang w:val="uk-UA"/>
          <w14:ligatures w14:val="none"/>
        </w:rPr>
        <w:t>28</w:t>
      </w:r>
      <w:r w:rsidR="00093D2C" w:rsidRPr="00042924">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w:t>
      </w:r>
    </w:p>
    <w:p w14:paraId="203BAA69"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Історія закладу починається з 4 серпня 1934 року, коли в рамках доменної печі №1 було вироблено перший чавун. У 1996 році почалася період реконструкції комплексу, коли Новокриворізький гірничо-збагачувальний комбінат став частиною структури Криворізького державного гірничо-металургійного комбінату "Криворіжсталь", утворивши агропромисловий комплекс. У 1997 році був приєднаний коксохімічний завод. </w:t>
      </w:r>
    </w:p>
    <w:p w14:paraId="2C0547F3"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В 2001 році в результаті реорганізації виробничих потужностей рудоуправління ім. Кірова виникло рудоуправління підземного видобутку як самостійний структурний підрозділ "Криворіжсталі". З того часу підприємство еволюціонувало у велике інтегроване металургійне підприємство з повним металургійним циклом, охоплюючи шахтне управління, гірничо-збагачувальний комплекс, виробництво коксу та хімічної продукції, а також металургійне виробництво. </w:t>
      </w:r>
    </w:p>
    <w:p w14:paraId="61A60BE5"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З 2004 року носить назву ВАТ </w:t>
      </w:r>
      <w:r w:rsidR="00BD701D">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Криворізький гірничо-металургійний комбінат</w:t>
      </w:r>
      <w:r w:rsidR="00AC129E">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 У 2005 році компанія стала частиною Mittal</w:t>
      </w:r>
      <w:r w:rsidRPr="00486B60">
        <w:rPr>
          <w:rFonts w:ascii="Times New Roman" w:eastAsia="Times New Roman" w:hAnsi="Times New Roman" w:cs="Times New Roman"/>
          <w:spacing w:val="-1"/>
          <w:kern w:val="0"/>
          <w:sz w:val="28"/>
          <w:szCs w:val="28"/>
          <w:lang w:val="uk-UA"/>
          <w14:ligatures w14:val="none"/>
        </w:rPr>
        <w:t xml:space="preserve"> </w:t>
      </w:r>
      <w:r w:rsidRPr="002B4633">
        <w:rPr>
          <w:rFonts w:ascii="Times New Roman" w:eastAsia="Times New Roman" w:hAnsi="Times New Roman" w:cs="Times New Roman"/>
          <w:spacing w:val="-1"/>
          <w:kern w:val="0"/>
          <w:sz w:val="28"/>
          <w:szCs w:val="28"/>
          <w:lang w:val="en-GB"/>
          <w14:ligatures w14:val="none"/>
        </w:rPr>
        <w:t>Steel</w:t>
      </w:r>
      <w:r w:rsidRPr="00042924">
        <w:rPr>
          <w:rFonts w:ascii="Times New Roman" w:eastAsia="Times New Roman" w:hAnsi="Times New Roman" w:cs="Times New Roman"/>
          <w:spacing w:val="-1"/>
          <w:kern w:val="0"/>
          <w:sz w:val="28"/>
          <w:szCs w:val="28"/>
          <w:lang w:val="uk-UA"/>
          <w14:ligatures w14:val="none"/>
        </w:rPr>
        <w:t xml:space="preserve">, а в 2007 році ввійшла до складу глобальної корпорації </w:t>
      </w:r>
      <w:r w:rsidR="002B4633" w:rsidRPr="00042924">
        <w:rPr>
          <w:rFonts w:ascii="Times New Roman" w:eastAsia="Times New Roman" w:hAnsi="Times New Roman" w:cs="Times New Roman"/>
          <w:spacing w:val="-1"/>
          <w:kern w:val="0"/>
          <w:sz w:val="28"/>
          <w:szCs w:val="28"/>
          <w:lang w:val="uk-UA"/>
          <w14:ligatures w14:val="none"/>
        </w:rPr>
        <w:t>Arcelor Mittal</w:t>
      </w:r>
      <w:r w:rsidRPr="00042924">
        <w:rPr>
          <w:rFonts w:ascii="Times New Roman" w:eastAsia="Times New Roman" w:hAnsi="Times New Roman" w:cs="Times New Roman"/>
          <w:spacing w:val="-1"/>
          <w:kern w:val="0"/>
          <w:sz w:val="28"/>
          <w:szCs w:val="28"/>
          <w:lang w:val="uk-UA"/>
          <w14:ligatures w14:val="none"/>
        </w:rPr>
        <w:t xml:space="preserve">. У червні 2007 року Загальні збори акціонерів прийняли рішення про перейменування компанії з ВАТ </w:t>
      </w:r>
      <w:r w:rsidR="00AC129E">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Міттал Стіл Кривий Ріг</w:t>
      </w:r>
      <w:r w:rsidR="00AC129E">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 xml:space="preserve"> на ВАТ </w:t>
      </w:r>
      <w:r w:rsidR="00CB5CE4">
        <w:rPr>
          <w:rFonts w:ascii="Times New Roman" w:eastAsia="Times New Roman" w:hAnsi="Times New Roman" w:cs="Times New Roman"/>
          <w:spacing w:val="-1"/>
          <w:kern w:val="0"/>
          <w:sz w:val="28"/>
          <w:szCs w:val="28"/>
          <w:lang w:val="uk-UA"/>
          <w14:ligatures w14:val="none"/>
        </w:rPr>
        <w:t>«</w:t>
      </w:r>
      <w:r w:rsidR="00AC129E" w:rsidRPr="00042924">
        <w:rPr>
          <w:rFonts w:ascii="Times New Roman" w:eastAsia="Times New Roman" w:hAnsi="Times New Roman" w:cs="Times New Roman"/>
          <w:spacing w:val="-1"/>
          <w:kern w:val="0"/>
          <w:sz w:val="28"/>
          <w:szCs w:val="28"/>
          <w:lang w:val="uk-UA"/>
          <w14:ligatures w14:val="none"/>
        </w:rPr>
        <w:t>АрселорМіттал Кривий Ріг</w:t>
      </w:r>
      <w:r w:rsidR="00CB5CE4">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 У травні 2009 року внаслідок форс-мажорних обставин компанія уклала угоду з</w:t>
      </w:r>
      <w:r w:rsidRPr="00486B60">
        <w:rPr>
          <w:rFonts w:ascii="Times New Roman" w:eastAsia="Times New Roman" w:hAnsi="Times New Roman" w:cs="Times New Roman"/>
          <w:spacing w:val="-1"/>
          <w:kern w:val="0"/>
          <w:sz w:val="28"/>
          <w:szCs w:val="28"/>
          <w:lang w:val="uk-UA"/>
          <w14:ligatures w14:val="none"/>
        </w:rPr>
        <w:t xml:space="preserve"> </w:t>
      </w:r>
      <w:r w:rsidRPr="002B4633">
        <w:rPr>
          <w:rFonts w:ascii="Times New Roman" w:eastAsia="Times New Roman" w:hAnsi="Times New Roman" w:cs="Times New Roman"/>
          <w:spacing w:val="-1"/>
          <w:kern w:val="0"/>
          <w:sz w:val="28"/>
          <w:szCs w:val="28"/>
          <w:lang w:val="en-AU"/>
          <w14:ligatures w14:val="none"/>
        </w:rPr>
        <w:t>ArcelorMittal</w:t>
      </w:r>
      <w:r w:rsidRPr="00486B60">
        <w:rPr>
          <w:rFonts w:ascii="Times New Roman" w:eastAsia="Times New Roman" w:hAnsi="Times New Roman" w:cs="Times New Roman"/>
          <w:spacing w:val="-1"/>
          <w:kern w:val="0"/>
          <w:sz w:val="28"/>
          <w:szCs w:val="28"/>
          <w:lang w:val="uk-UA"/>
          <w14:ligatures w14:val="none"/>
        </w:rPr>
        <w:t xml:space="preserve"> </w:t>
      </w:r>
      <w:r w:rsidRPr="002B4633">
        <w:rPr>
          <w:rFonts w:ascii="Times New Roman" w:eastAsia="Times New Roman" w:hAnsi="Times New Roman" w:cs="Times New Roman"/>
          <w:spacing w:val="-1"/>
          <w:kern w:val="0"/>
          <w:sz w:val="28"/>
          <w:szCs w:val="28"/>
          <w:lang w:val="en-GB"/>
          <w14:ligatures w14:val="none"/>
        </w:rPr>
        <w:t>Duisburg</w:t>
      </w:r>
      <w:r w:rsidRPr="00486B60">
        <w:rPr>
          <w:rFonts w:ascii="Times New Roman" w:eastAsia="Times New Roman" w:hAnsi="Times New Roman" w:cs="Times New Roman"/>
          <w:spacing w:val="-1"/>
          <w:kern w:val="0"/>
          <w:sz w:val="28"/>
          <w:szCs w:val="28"/>
          <w:lang w:val="uk-UA"/>
          <w14:ligatures w14:val="none"/>
        </w:rPr>
        <w:t xml:space="preserve"> </w:t>
      </w:r>
      <w:r w:rsidRPr="002B4633">
        <w:rPr>
          <w:rFonts w:ascii="Times New Roman" w:eastAsia="Times New Roman" w:hAnsi="Times New Roman" w:cs="Times New Roman"/>
          <w:spacing w:val="-1"/>
          <w:kern w:val="0"/>
          <w:sz w:val="28"/>
          <w:szCs w:val="28"/>
          <w:lang w:val="en-GB"/>
          <w14:ligatures w14:val="none"/>
        </w:rPr>
        <w:t>GmbH</w:t>
      </w:r>
      <w:r w:rsidRPr="00042924">
        <w:rPr>
          <w:rFonts w:ascii="Times New Roman" w:eastAsia="Times New Roman" w:hAnsi="Times New Roman" w:cs="Times New Roman"/>
          <w:spacing w:val="-1"/>
          <w:kern w:val="0"/>
          <w:sz w:val="28"/>
          <w:szCs w:val="28"/>
          <w:lang w:val="uk-UA"/>
          <w14:ligatures w14:val="none"/>
        </w:rPr>
        <w:t xml:space="preserve"> та Фондом державного майна України щодо тимчасового призупинення виконання деяких інвестиційних зобов'язань. У червні 2010 року </w:t>
      </w:r>
      <w:r w:rsidR="002B4633" w:rsidRPr="00042924">
        <w:rPr>
          <w:rFonts w:ascii="Times New Roman" w:eastAsia="Times New Roman" w:hAnsi="Times New Roman" w:cs="Times New Roman"/>
          <w:spacing w:val="-1"/>
          <w:kern w:val="0"/>
          <w:sz w:val="28"/>
          <w:szCs w:val="28"/>
          <w:lang w:val="uk-UA"/>
          <w14:ligatures w14:val="none"/>
        </w:rPr>
        <w:t>Arcelor Mittal</w:t>
      </w:r>
      <w:r w:rsidRPr="00042924">
        <w:rPr>
          <w:rFonts w:ascii="Times New Roman" w:eastAsia="Times New Roman" w:hAnsi="Times New Roman" w:cs="Times New Roman"/>
          <w:spacing w:val="-1"/>
          <w:kern w:val="0"/>
          <w:sz w:val="28"/>
          <w:szCs w:val="28"/>
          <w:lang w:val="uk-UA"/>
          <w14:ligatures w14:val="none"/>
        </w:rPr>
        <w:t xml:space="preserve"> розпочав будівництво першої машини безперервного лиття заготовки у Кривому Розі. У квітні 2011 року Загальні збори акціонерів ухвалили рішення про зміну назви компанії на </w:t>
      </w:r>
      <w:r w:rsidR="00CB5CE4">
        <w:rPr>
          <w:rFonts w:ascii="Times New Roman" w:eastAsia="Times New Roman" w:hAnsi="Times New Roman" w:cs="Times New Roman"/>
          <w:spacing w:val="-1"/>
          <w:kern w:val="0"/>
          <w:sz w:val="28"/>
          <w:szCs w:val="28"/>
          <w:lang w:val="uk-UA"/>
          <w14:ligatures w14:val="none"/>
        </w:rPr>
        <w:t>«</w:t>
      </w:r>
      <w:r w:rsidR="00CB5CE4" w:rsidRPr="00042924">
        <w:rPr>
          <w:rFonts w:ascii="Times New Roman" w:eastAsia="Times New Roman" w:hAnsi="Times New Roman" w:cs="Times New Roman"/>
          <w:spacing w:val="-1"/>
          <w:kern w:val="0"/>
          <w:sz w:val="28"/>
          <w:szCs w:val="28"/>
          <w:lang w:val="uk-UA"/>
          <w14:ligatures w14:val="none"/>
        </w:rPr>
        <w:t>АрселорМіттал Кривий Ріг</w:t>
      </w:r>
      <w:r w:rsidR="00CB5CE4">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 У лютому 2017 року ПАТ «АМКР» розпочало гарячі випробування на новій коксовій батареї №6 за передовою технологією трамбування шахти, що є першою такого роду в Україні</w:t>
      </w:r>
      <w:r w:rsidR="00645471" w:rsidRPr="00042924">
        <w:rPr>
          <w:rFonts w:ascii="Times New Roman" w:eastAsia="Times New Roman" w:hAnsi="Times New Roman" w:cs="Times New Roman"/>
          <w:spacing w:val="-1"/>
          <w:kern w:val="0"/>
          <w:sz w:val="28"/>
          <w:szCs w:val="28"/>
          <w:lang w:val="uk-UA"/>
          <w14:ligatures w14:val="none"/>
        </w:rPr>
        <w:t xml:space="preserve"> [29]</w:t>
      </w:r>
      <w:r w:rsidRPr="00042924">
        <w:rPr>
          <w:rFonts w:ascii="Times New Roman" w:eastAsia="Times New Roman" w:hAnsi="Times New Roman" w:cs="Times New Roman"/>
          <w:spacing w:val="-1"/>
          <w:kern w:val="0"/>
          <w:sz w:val="28"/>
          <w:szCs w:val="28"/>
          <w:lang w:val="uk-UA"/>
          <w14:ligatures w14:val="none"/>
        </w:rPr>
        <w:t>.</w:t>
      </w:r>
    </w:p>
    <w:p w14:paraId="3A232922"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Структурно комплекс ПАТ </w:t>
      </w:r>
      <w:r w:rsidR="00CB5CE4"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spacing w:val="-1"/>
          <w:kern w:val="0"/>
          <w:sz w:val="28"/>
          <w:szCs w:val="28"/>
          <w:lang w:val="uk-UA"/>
          <w14:ligatures w14:val="none"/>
        </w:rPr>
        <w:t xml:space="preserve"> включає такі різноманітні галузі виробництва, як коксохімічне, гірничо-збагачувальне (відкриті розробки та </w:t>
      </w:r>
      <w:r w:rsidRPr="00042924">
        <w:rPr>
          <w:rFonts w:ascii="Times New Roman" w:eastAsia="Times New Roman" w:hAnsi="Times New Roman" w:cs="Times New Roman"/>
          <w:spacing w:val="-1"/>
          <w:kern w:val="0"/>
          <w:sz w:val="28"/>
          <w:szCs w:val="28"/>
          <w:lang w:val="uk-UA"/>
          <w14:ligatures w14:val="none"/>
        </w:rPr>
        <w:lastRenderedPageBreak/>
        <w:t xml:space="preserve">підземне видобування руди) і металургійне виробництво, у складі якого діють аглодоменний, сталеплавильний та прокатний департаменти. </w:t>
      </w:r>
    </w:p>
    <w:p w14:paraId="71EDC821"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1.Аглодоменний департамент займається виробництвом чавуну, об'єднуючи три агломераційні цехи (№1, №2 і №3) та два доменні цехи (№1 і №2).</w:t>
      </w:r>
    </w:p>
    <w:p w14:paraId="4A237E78"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2.Сталеплавильний департамент, в свою чергу, спеціалізується на виробництві сталевих злитків та безперервної литої заготівки відповідно до всіх стандартів. Цей відділ складається з шести цехів: конвертерного, мартенівського, підготовки складів, вогнетривко-вапняного, копрового, а також цеху з ремонту металургійних печей.</w:t>
      </w:r>
    </w:p>
    <w:p w14:paraId="4EB78B66"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3.Прокатний департамент, спеціалізується на виробництві основних видів продукції ПАТ </w:t>
      </w:r>
      <w:r w:rsidR="00CB5CE4"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spacing w:val="-1"/>
          <w:kern w:val="0"/>
          <w:sz w:val="28"/>
          <w:szCs w:val="28"/>
          <w:lang w:val="uk-UA"/>
          <w14:ligatures w14:val="none"/>
        </w:rPr>
        <w:t>. Він також включає шість цехів: блюмінговий, сортопрокатні №1 і №2, прокатний №3, вальцетокарний, а також цех з переробки металопродукції.</w:t>
      </w:r>
    </w:p>
    <w:p w14:paraId="726B9EAB"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Підприємство спеціалізується на виробництві арматури та катанки з простої і низьколегованої сталі, а також на виробництво агломерату, концентратів, коксу, чавуну, сталевої продукції, сортового та фасонного прокату. Основним напрямком діяльності є виробництво та реалізація чорного металопрокату</w:t>
      </w:r>
      <w:r w:rsidR="008B41B2" w:rsidRPr="00042924">
        <w:rPr>
          <w:rFonts w:ascii="Times New Roman" w:eastAsia="Times New Roman" w:hAnsi="Times New Roman" w:cs="Times New Roman"/>
          <w:spacing w:val="-1"/>
          <w:kern w:val="0"/>
          <w:sz w:val="28"/>
          <w:szCs w:val="28"/>
          <w:lang w:val="uk-UA"/>
          <w14:ligatures w14:val="none"/>
        </w:rPr>
        <w:t xml:space="preserve"> [28]</w:t>
      </w:r>
      <w:r w:rsidRPr="00042924">
        <w:rPr>
          <w:rFonts w:ascii="Times New Roman" w:eastAsia="Times New Roman" w:hAnsi="Times New Roman" w:cs="Times New Roman"/>
          <w:spacing w:val="-1"/>
          <w:kern w:val="0"/>
          <w:sz w:val="28"/>
          <w:szCs w:val="28"/>
          <w:lang w:val="uk-UA"/>
          <w14:ligatures w14:val="none"/>
        </w:rPr>
        <w:t xml:space="preserve">. </w:t>
      </w:r>
    </w:p>
    <w:p w14:paraId="25B3056D"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Виробничі потужності комбінату, що має повний виробничий цикл, розраховані на виробництво понад 6 млн тон сталі, понад 5 млн тон прокату й понад 5,5 млн </w:t>
      </w:r>
      <w:r w:rsidR="00C24141" w:rsidRPr="00042924">
        <w:rPr>
          <w:rFonts w:ascii="Times New Roman" w:eastAsia="Times New Roman" w:hAnsi="Times New Roman" w:cs="Times New Roman"/>
          <w:spacing w:val="-1"/>
          <w:kern w:val="0"/>
          <w:sz w:val="28"/>
          <w:szCs w:val="28"/>
          <w:lang w:val="uk-UA"/>
          <w14:ligatures w14:val="none"/>
        </w:rPr>
        <w:t>тон</w:t>
      </w:r>
      <w:r w:rsidRPr="00042924">
        <w:rPr>
          <w:rFonts w:ascii="Times New Roman" w:eastAsia="Times New Roman" w:hAnsi="Times New Roman" w:cs="Times New Roman"/>
          <w:spacing w:val="-1"/>
          <w:kern w:val="0"/>
          <w:sz w:val="28"/>
          <w:szCs w:val="28"/>
          <w:lang w:val="uk-UA"/>
          <w14:ligatures w14:val="none"/>
        </w:rPr>
        <w:t xml:space="preserve"> чавуну щорічно. Компанія, світовий лідер у виробництві сталі, утримує провідні позиції на ключових світових ринках збуту металу, таких як автомобільна промисловість, будівництво, виробництво побутової техніки та упаковки. Великі запаси сировини й ефективна система збуту на внутрішньому та зовнішньому ринках роблять його найбільшим експортером України - 85% готової продукції експортується до Західної і Північної Африки, на Близький Схід, до країн СНД та на Балкани</w:t>
      </w:r>
      <w:r w:rsidR="00FF2589" w:rsidRPr="00042924">
        <w:rPr>
          <w:rFonts w:ascii="Times New Roman" w:eastAsia="Times New Roman" w:hAnsi="Times New Roman" w:cs="Times New Roman"/>
          <w:spacing w:val="-1"/>
          <w:kern w:val="0"/>
          <w:sz w:val="28"/>
          <w:szCs w:val="28"/>
          <w:lang w:val="uk-UA"/>
          <w14:ligatures w14:val="none"/>
        </w:rPr>
        <w:t xml:space="preserve"> [</w:t>
      </w:r>
      <w:r w:rsidR="002774DE" w:rsidRPr="00042924">
        <w:rPr>
          <w:rFonts w:ascii="Times New Roman" w:eastAsia="Times New Roman" w:hAnsi="Times New Roman" w:cs="Times New Roman"/>
          <w:spacing w:val="-1"/>
          <w:kern w:val="0"/>
          <w:sz w:val="28"/>
          <w:szCs w:val="28"/>
          <w:lang w:val="uk-UA"/>
          <w14:ligatures w14:val="none"/>
        </w:rPr>
        <w:t>31</w:t>
      </w:r>
      <w:r w:rsidR="00FF2589" w:rsidRPr="00042924">
        <w:rPr>
          <w:rFonts w:ascii="Times New Roman" w:eastAsia="Times New Roman" w:hAnsi="Times New Roman" w:cs="Times New Roman"/>
          <w:spacing w:val="-1"/>
          <w:kern w:val="0"/>
          <w:sz w:val="28"/>
          <w:szCs w:val="28"/>
          <w:lang w:val="uk-UA"/>
          <w14:ligatures w14:val="none"/>
        </w:rPr>
        <w:t>]</w:t>
      </w:r>
      <w:r w:rsidRPr="00042924">
        <w:rPr>
          <w:rFonts w:ascii="Times New Roman" w:eastAsia="Times New Roman" w:hAnsi="Times New Roman" w:cs="Times New Roman"/>
          <w:spacing w:val="-1"/>
          <w:kern w:val="0"/>
          <w:sz w:val="28"/>
          <w:szCs w:val="28"/>
          <w:lang w:val="uk-UA"/>
          <w14:ligatures w14:val="none"/>
        </w:rPr>
        <w:t>.</w:t>
      </w:r>
    </w:p>
    <w:p w14:paraId="5FE3F173"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28"/>
          <w:lang w:val="uk-UA"/>
          <w14:ligatures w14:val="none"/>
        </w:rPr>
      </w:pPr>
      <w:r w:rsidRPr="00042924">
        <w:rPr>
          <w:rFonts w:ascii="Times New Roman" w:eastAsia="Times New Roman" w:hAnsi="Times New Roman" w:cs="Times New Roman"/>
          <w:spacing w:val="-1"/>
          <w:kern w:val="0"/>
          <w:sz w:val="28"/>
          <w:szCs w:val="28"/>
          <w:lang w:val="uk-UA"/>
          <w14:ligatures w14:val="none"/>
        </w:rPr>
        <w:t xml:space="preserve">Територіально підприємство охоплює площу 2200 гектарів, на якій розташовано 4390 будов та споруд. Загальна протяжність залізничних колій становить 622,5 кілометри, а автодоріг - 180 кілометрів. </w:t>
      </w:r>
    </w:p>
    <w:p w14:paraId="46B2B439"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 xml:space="preserve">Публічне акціонерне товариство </w:t>
      </w:r>
      <w:r w:rsidR="00CB5CE4"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color w:val="000000" w:themeColor="text1"/>
          <w:spacing w:val="-1"/>
          <w:kern w:val="0"/>
          <w:sz w:val="28"/>
          <w:szCs w:val="28"/>
          <w:lang w:val="uk-UA"/>
          <w14:ligatures w14:val="none"/>
        </w:rPr>
        <w:t xml:space="preserve"> володіє організаційною структурою лінійно-функціонального типу, яка включає більше ніж 20 взаємопов'язаних департаментів (додаток </w:t>
      </w:r>
      <w:r w:rsidR="00837A7B" w:rsidRPr="00042924">
        <w:rPr>
          <w:rFonts w:ascii="Times New Roman" w:eastAsia="Times New Roman" w:hAnsi="Times New Roman" w:cs="Times New Roman"/>
          <w:color w:val="000000" w:themeColor="text1"/>
          <w:spacing w:val="-1"/>
          <w:kern w:val="0"/>
          <w:sz w:val="28"/>
          <w:szCs w:val="28"/>
          <w:lang w:val="uk-UA"/>
          <w14:ligatures w14:val="none"/>
        </w:rPr>
        <w:t>А</w:t>
      </w:r>
      <w:r w:rsidRPr="00042924">
        <w:rPr>
          <w:rFonts w:ascii="Times New Roman" w:eastAsia="Times New Roman" w:hAnsi="Times New Roman" w:cs="Times New Roman"/>
          <w:color w:val="000000" w:themeColor="text1"/>
          <w:spacing w:val="-1"/>
          <w:kern w:val="0"/>
          <w:sz w:val="28"/>
          <w:szCs w:val="28"/>
          <w:lang w:val="uk-UA"/>
          <w14:ligatures w14:val="none"/>
        </w:rPr>
        <w:t>). Управління діяльністю Товариства концептуально реалізується через наступні органи:</w:t>
      </w:r>
    </w:p>
    <w:p w14:paraId="50B8DAAE"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1.  Загальні збори акціонерів Товариства: Як вищий орган, вони мають право приймати рішення з усіх аспектів діяльності Товариства, включаючи ті, що підпадають під компетенцію Наглядової ради та Генерального директора Товариства.</w:t>
      </w:r>
    </w:p>
    <w:p w14:paraId="5EAA153C"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2. Наглядова рада: Вона є органом, що захищає права акціонерів та, відповідно до компетенції, визначеної Статутом та законодавством, контролює та регулює діяльність Генерального директора.</w:t>
      </w:r>
    </w:p>
    <w:p w14:paraId="3DFD7856"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3. Виконавчий орган Товариства – Генеральний директор: Генеральний директор, як одноосібний виконавчий орган, управляє поточною діяльністю Товариства. Він приймає рішення в межах своєї компетенції, звітує перед Загальними зборами та Наглядовою радою, і відповідає за організацію виконання їх рішень</w:t>
      </w:r>
      <w:r w:rsidR="004C6DC0" w:rsidRPr="00042924">
        <w:rPr>
          <w:rFonts w:ascii="Times New Roman" w:eastAsia="Times New Roman" w:hAnsi="Times New Roman" w:cs="Times New Roman"/>
          <w:color w:val="000000" w:themeColor="text1"/>
          <w:spacing w:val="-1"/>
          <w:kern w:val="0"/>
          <w:sz w:val="28"/>
          <w:szCs w:val="28"/>
          <w:lang w:val="uk-UA"/>
          <w14:ligatures w14:val="none"/>
        </w:rPr>
        <w:t xml:space="preserve"> [30]</w:t>
      </w:r>
      <w:r w:rsidRPr="00042924">
        <w:rPr>
          <w:rFonts w:ascii="Times New Roman" w:eastAsia="Times New Roman" w:hAnsi="Times New Roman" w:cs="Times New Roman"/>
          <w:color w:val="000000" w:themeColor="text1"/>
          <w:spacing w:val="-1"/>
          <w:kern w:val="0"/>
          <w:sz w:val="28"/>
          <w:szCs w:val="28"/>
          <w:lang w:val="uk-UA"/>
          <w14:ligatures w14:val="none"/>
        </w:rPr>
        <w:t>.</w:t>
      </w:r>
    </w:p>
    <w:p w14:paraId="3FFE5768"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lastRenderedPageBreak/>
        <w:t>Структура управління досліджуваного підприємства передбачає ієрархічну ланцюгову систему, де загальні збори акціонерів є найвищим органом, за яким стоять наглядова рада та генеральний директор.</w:t>
      </w:r>
    </w:p>
    <w:p w14:paraId="1B6BF44B"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Головний керівний комітет включає генерального директора, до якого підпорядковані п'ять ключових департаментів:</w:t>
      </w:r>
    </w:p>
    <w:p w14:paraId="1787ADFA"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1) департамент маркетингу і збуту;</w:t>
      </w:r>
    </w:p>
    <w:p w14:paraId="4B2A034C"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2) департамент з постачання;</w:t>
      </w:r>
    </w:p>
    <w:p w14:paraId="25CD4C48"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3) департамент з персоналу;</w:t>
      </w:r>
    </w:p>
    <w:p w14:paraId="4FF43F8C"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4) департамент з технології та екології;</w:t>
      </w:r>
    </w:p>
    <w:p w14:paraId="6836AC15"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5) фінансовий департамент</w:t>
      </w:r>
      <w:r w:rsidR="00837A7B" w:rsidRPr="00042924">
        <w:rPr>
          <w:rFonts w:ascii="Times New Roman" w:eastAsia="Times New Roman" w:hAnsi="Times New Roman" w:cs="Times New Roman"/>
          <w:color w:val="000000" w:themeColor="text1"/>
          <w:spacing w:val="-1"/>
          <w:kern w:val="0"/>
          <w:sz w:val="28"/>
          <w:szCs w:val="28"/>
          <w:lang w:val="uk-UA"/>
          <w14:ligatures w14:val="none"/>
        </w:rPr>
        <w:t xml:space="preserve"> [28]</w:t>
      </w:r>
      <w:r w:rsidRPr="00042924">
        <w:rPr>
          <w:rFonts w:ascii="Times New Roman" w:eastAsia="Times New Roman" w:hAnsi="Times New Roman" w:cs="Times New Roman"/>
          <w:color w:val="000000" w:themeColor="text1"/>
          <w:spacing w:val="-1"/>
          <w:kern w:val="0"/>
          <w:sz w:val="28"/>
          <w:szCs w:val="28"/>
          <w:lang w:val="uk-UA"/>
          <w14:ligatures w14:val="none"/>
        </w:rPr>
        <w:t>.</w:t>
      </w:r>
    </w:p>
    <w:p w14:paraId="147493BF" w14:textId="77777777" w:rsidR="00E97CFC" w:rsidRPr="00042924" w:rsidRDefault="00E97CFC" w:rsidP="00E97CFC">
      <w:pPr>
        <w:spacing w:after="0" w:line="240" w:lineRule="auto"/>
        <w:ind w:firstLine="709"/>
        <w:jc w:val="both"/>
        <w:rPr>
          <w:rFonts w:ascii="Times New Roman" w:hAnsi="Times New Roman" w:cs="Times New Roman"/>
          <w:kern w:val="0"/>
          <w:sz w:val="28"/>
          <w:szCs w:val="28"/>
          <w:lang w:val="uk-UA"/>
        </w:rPr>
      </w:pPr>
      <w:r w:rsidRPr="00042924">
        <w:rPr>
          <w:rFonts w:ascii="Times New Roman" w:hAnsi="Times New Roman" w:cs="Times New Roman"/>
          <w:kern w:val="0"/>
          <w:sz w:val="28"/>
          <w:szCs w:val="28"/>
          <w:lang w:val="uk-UA"/>
        </w:rPr>
        <w:t xml:space="preserve">Важливою складовою ефективного управління є проведення аналізу основних економічних показників діяльності підприємства. Детальну аналітичну оцінку цих показників можна знайти у таблиці </w:t>
      </w:r>
      <w:r w:rsidR="00BA1F2B">
        <w:rPr>
          <w:rFonts w:ascii="Times New Roman" w:hAnsi="Times New Roman" w:cs="Times New Roman"/>
          <w:kern w:val="0"/>
          <w:sz w:val="28"/>
          <w:szCs w:val="28"/>
          <w:lang w:val="uk-UA"/>
        </w:rPr>
        <w:t>2</w:t>
      </w:r>
      <w:r w:rsidRPr="00042924">
        <w:rPr>
          <w:rFonts w:ascii="Times New Roman" w:hAnsi="Times New Roman" w:cs="Times New Roman"/>
          <w:kern w:val="0"/>
          <w:sz w:val="28"/>
          <w:szCs w:val="28"/>
          <w:lang w:val="uk-UA"/>
        </w:rPr>
        <w:t>.</w:t>
      </w:r>
      <w:r w:rsidR="00BA1F2B">
        <w:rPr>
          <w:rFonts w:ascii="Times New Roman" w:hAnsi="Times New Roman" w:cs="Times New Roman"/>
          <w:kern w:val="0"/>
          <w:sz w:val="28"/>
          <w:szCs w:val="28"/>
          <w:lang w:val="uk-UA"/>
        </w:rPr>
        <w:t>1</w:t>
      </w:r>
      <w:r w:rsidRPr="00042924">
        <w:rPr>
          <w:rFonts w:ascii="Times New Roman" w:hAnsi="Times New Roman" w:cs="Times New Roman"/>
          <w:kern w:val="0"/>
          <w:sz w:val="28"/>
          <w:szCs w:val="28"/>
          <w:lang w:val="uk-UA"/>
        </w:rPr>
        <w:t>.</w:t>
      </w:r>
    </w:p>
    <w:p w14:paraId="5754D25D" w14:textId="77777777" w:rsidR="00E97CFC" w:rsidRPr="00042924" w:rsidRDefault="00E97CFC" w:rsidP="00E97CFC">
      <w:pPr>
        <w:spacing w:after="0" w:line="240" w:lineRule="auto"/>
        <w:ind w:firstLine="709"/>
        <w:jc w:val="both"/>
        <w:rPr>
          <w:rFonts w:ascii="Times New Roman" w:hAnsi="Times New Roman" w:cs="Times New Roman"/>
          <w:kern w:val="0"/>
          <w:sz w:val="28"/>
          <w:szCs w:val="28"/>
          <w:lang w:val="uk-UA"/>
        </w:rPr>
      </w:pPr>
    </w:p>
    <w:p w14:paraId="6C171AAA" w14:textId="77777777" w:rsidR="00E97CFC" w:rsidRPr="00042924" w:rsidRDefault="00E97CFC" w:rsidP="0008453D">
      <w:pPr>
        <w:spacing w:after="0" w:line="240" w:lineRule="auto"/>
        <w:ind w:firstLine="709"/>
        <w:jc w:val="both"/>
        <w:rPr>
          <w:rFonts w:ascii="Times New Roman" w:hAnsi="Times New Roman" w:cs="Times New Roman"/>
          <w:kern w:val="0"/>
          <w:sz w:val="28"/>
          <w:szCs w:val="28"/>
          <w:lang w:val="uk-UA"/>
        </w:rPr>
      </w:pPr>
      <w:bookmarkStart w:id="11" w:name="_Hlk151564165"/>
      <w:r w:rsidRPr="00042924">
        <w:rPr>
          <w:rFonts w:ascii="Times New Roman" w:hAnsi="Times New Roman" w:cs="Times New Roman"/>
          <w:kern w:val="0"/>
          <w:sz w:val="28"/>
          <w:szCs w:val="28"/>
          <w:lang w:val="uk-UA"/>
        </w:rPr>
        <w:t xml:space="preserve">Таблиця 2.1 – Основні показники економічної діяльності підприємства ПАТ </w:t>
      </w:r>
      <w:r w:rsidR="003D7C05"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hAnsi="Times New Roman" w:cs="Times New Roman"/>
          <w:kern w:val="0"/>
          <w:sz w:val="28"/>
          <w:szCs w:val="28"/>
          <w:lang w:val="uk-UA"/>
        </w:rPr>
        <w:t xml:space="preserve"> за 2020 - 2022 рр.</w:t>
      </w:r>
    </w:p>
    <w:tbl>
      <w:tblPr>
        <w:tblStyle w:val="a6"/>
        <w:tblW w:w="5000" w:type="pct"/>
        <w:jc w:val="center"/>
        <w:tblCellMar>
          <w:top w:w="28" w:type="dxa"/>
          <w:left w:w="28" w:type="dxa"/>
          <w:bottom w:w="28" w:type="dxa"/>
          <w:right w:w="28" w:type="dxa"/>
        </w:tblCellMar>
        <w:tblLook w:val="04A0" w:firstRow="1" w:lastRow="0" w:firstColumn="1" w:lastColumn="0" w:noHBand="0" w:noVBand="1"/>
      </w:tblPr>
      <w:tblGrid>
        <w:gridCol w:w="353"/>
        <w:gridCol w:w="2274"/>
        <w:gridCol w:w="961"/>
        <w:gridCol w:w="1126"/>
        <w:gridCol w:w="1128"/>
        <w:gridCol w:w="1128"/>
        <w:gridCol w:w="981"/>
        <w:gridCol w:w="981"/>
        <w:gridCol w:w="979"/>
      </w:tblGrid>
      <w:tr w:rsidR="00E97CFC" w:rsidRPr="00042924" w14:paraId="3A51552C" w14:textId="77777777" w:rsidTr="0029174C">
        <w:trPr>
          <w:trHeight w:val="243"/>
          <w:jc w:val="center"/>
        </w:trPr>
        <w:tc>
          <w:tcPr>
            <w:tcW w:w="178" w:type="pct"/>
            <w:vMerge w:val="restart"/>
            <w:vAlign w:val="center"/>
          </w:tcPr>
          <w:p w14:paraId="4D66E6A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 з/п</w:t>
            </w:r>
          </w:p>
        </w:tc>
        <w:tc>
          <w:tcPr>
            <w:tcW w:w="1147" w:type="pct"/>
            <w:vMerge w:val="restart"/>
            <w:vAlign w:val="center"/>
          </w:tcPr>
          <w:p w14:paraId="7FAAF73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Ключові показники</w:t>
            </w:r>
          </w:p>
        </w:tc>
        <w:tc>
          <w:tcPr>
            <w:tcW w:w="485" w:type="pct"/>
            <w:vMerge w:val="restart"/>
            <w:vAlign w:val="center"/>
          </w:tcPr>
          <w:p w14:paraId="5CDB10C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Од. виміру</w:t>
            </w:r>
          </w:p>
        </w:tc>
        <w:tc>
          <w:tcPr>
            <w:tcW w:w="1706" w:type="pct"/>
            <w:gridSpan w:val="3"/>
            <w:vAlign w:val="center"/>
          </w:tcPr>
          <w:p w14:paraId="5B1FC92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Роки</w:t>
            </w:r>
          </w:p>
        </w:tc>
        <w:tc>
          <w:tcPr>
            <w:tcW w:w="1484" w:type="pct"/>
            <w:gridSpan w:val="3"/>
            <w:vAlign w:val="center"/>
          </w:tcPr>
          <w:p w14:paraId="6D74F11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Відхилення за роками</w:t>
            </w:r>
          </w:p>
        </w:tc>
      </w:tr>
      <w:tr w:rsidR="00E97CFC" w:rsidRPr="00042924" w14:paraId="742481C7" w14:textId="77777777" w:rsidTr="008B62E0">
        <w:trPr>
          <w:trHeight w:val="432"/>
          <w:jc w:val="center"/>
        </w:trPr>
        <w:tc>
          <w:tcPr>
            <w:tcW w:w="178" w:type="pct"/>
            <w:vMerge/>
            <w:vAlign w:val="center"/>
          </w:tcPr>
          <w:p w14:paraId="5D3D48C8" w14:textId="77777777" w:rsidR="00E97CFC" w:rsidRPr="00042924" w:rsidRDefault="00E97CFC" w:rsidP="00E97CFC">
            <w:pPr>
              <w:jc w:val="center"/>
              <w:rPr>
                <w:rFonts w:ascii="Times New Roman" w:hAnsi="Times New Roman" w:cs="Times New Roman"/>
                <w:color w:val="000000" w:themeColor="text1"/>
                <w:sz w:val="20"/>
                <w:szCs w:val="20"/>
                <w:lang w:val="uk-UA"/>
              </w:rPr>
            </w:pPr>
          </w:p>
        </w:tc>
        <w:tc>
          <w:tcPr>
            <w:tcW w:w="1147" w:type="pct"/>
            <w:vMerge/>
            <w:vAlign w:val="center"/>
          </w:tcPr>
          <w:p w14:paraId="131E0BA8" w14:textId="77777777" w:rsidR="00E97CFC" w:rsidRPr="00042924" w:rsidRDefault="00E97CFC" w:rsidP="00E97CFC">
            <w:pPr>
              <w:jc w:val="center"/>
              <w:rPr>
                <w:rFonts w:ascii="Times New Roman" w:hAnsi="Times New Roman" w:cs="Times New Roman"/>
                <w:color w:val="000000" w:themeColor="text1"/>
                <w:sz w:val="20"/>
                <w:szCs w:val="20"/>
                <w:lang w:val="uk-UA"/>
              </w:rPr>
            </w:pPr>
          </w:p>
        </w:tc>
        <w:tc>
          <w:tcPr>
            <w:tcW w:w="485" w:type="pct"/>
            <w:vMerge/>
            <w:vAlign w:val="center"/>
          </w:tcPr>
          <w:p w14:paraId="02B1EE32" w14:textId="77777777" w:rsidR="00E97CFC" w:rsidRPr="00042924" w:rsidRDefault="00E97CFC" w:rsidP="00E97CFC">
            <w:pPr>
              <w:jc w:val="center"/>
              <w:rPr>
                <w:rFonts w:ascii="Times New Roman" w:hAnsi="Times New Roman" w:cs="Times New Roman"/>
                <w:color w:val="000000" w:themeColor="text1"/>
                <w:sz w:val="20"/>
                <w:szCs w:val="20"/>
                <w:lang w:val="uk-UA"/>
              </w:rPr>
            </w:pPr>
          </w:p>
        </w:tc>
        <w:tc>
          <w:tcPr>
            <w:tcW w:w="568" w:type="pct"/>
            <w:vAlign w:val="center"/>
          </w:tcPr>
          <w:p w14:paraId="7F0BB68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2020</w:t>
            </w:r>
          </w:p>
        </w:tc>
        <w:tc>
          <w:tcPr>
            <w:tcW w:w="569" w:type="pct"/>
            <w:vAlign w:val="center"/>
          </w:tcPr>
          <w:p w14:paraId="7F67168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2021</w:t>
            </w:r>
          </w:p>
        </w:tc>
        <w:tc>
          <w:tcPr>
            <w:tcW w:w="569" w:type="pct"/>
            <w:vAlign w:val="center"/>
          </w:tcPr>
          <w:p w14:paraId="30D7A7E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2022</w:t>
            </w:r>
          </w:p>
        </w:tc>
        <w:tc>
          <w:tcPr>
            <w:tcW w:w="495" w:type="pct"/>
            <w:vAlign w:val="center"/>
          </w:tcPr>
          <w:p w14:paraId="5C50728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2021/</w:t>
            </w:r>
          </w:p>
          <w:p w14:paraId="15466E5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2020</w:t>
            </w:r>
          </w:p>
        </w:tc>
        <w:tc>
          <w:tcPr>
            <w:tcW w:w="495" w:type="pct"/>
            <w:vAlign w:val="center"/>
          </w:tcPr>
          <w:p w14:paraId="4A03325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2022/</w:t>
            </w:r>
          </w:p>
          <w:p w14:paraId="77AF9C7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2021</w:t>
            </w:r>
          </w:p>
        </w:tc>
        <w:tc>
          <w:tcPr>
            <w:tcW w:w="494" w:type="pct"/>
            <w:vAlign w:val="center"/>
          </w:tcPr>
          <w:p w14:paraId="2713093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2022/</w:t>
            </w:r>
          </w:p>
          <w:p w14:paraId="2054E6B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2020</w:t>
            </w:r>
          </w:p>
        </w:tc>
      </w:tr>
      <w:tr w:rsidR="00E97CFC" w:rsidRPr="00042924" w14:paraId="4641FD7C" w14:textId="77777777" w:rsidTr="008B62E0">
        <w:trPr>
          <w:jc w:val="center"/>
        </w:trPr>
        <w:tc>
          <w:tcPr>
            <w:tcW w:w="178" w:type="pct"/>
          </w:tcPr>
          <w:p w14:paraId="3793941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w:t>
            </w:r>
          </w:p>
        </w:tc>
        <w:tc>
          <w:tcPr>
            <w:tcW w:w="1147" w:type="pct"/>
          </w:tcPr>
          <w:p w14:paraId="33A45C3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w:t>
            </w:r>
          </w:p>
        </w:tc>
        <w:tc>
          <w:tcPr>
            <w:tcW w:w="485" w:type="pct"/>
            <w:vAlign w:val="center"/>
          </w:tcPr>
          <w:p w14:paraId="4372967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w:t>
            </w:r>
          </w:p>
        </w:tc>
        <w:tc>
          <w:tcPr>
            <w:tcW w:w="568" w:type="pct"/>
          </w:tcPr>
          <w:p w14:paraId="1E03A0C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w:t>
            </w:r>
          </w:p>
        </w:tc>
        <w:tc>
          <w:tcPr>
            <w:tcW w:w="569" w:type="pct"/>
          </w:tcPr>
          <w:p w14:paraId="0C3B158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w:t>
            </w:r>
          </w:p>
        </w:tc>
        <w:tc>
          <w:tcPr>
            <w:tcW w:w="569" w:type="pct"/>
          </w:tcPr>
          <w:p w14:paraId="51B5E13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w:t>
            </w:r>
          </w:p>
        </w:tc>
        <w:tc>
          <w:tcPr>
            <w:tcW w:w="495" w:type="pct"/>
          </w:tcPr>
          <w:p w14:paraId="498CE60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w:t>
            </w:r>
          </w:p>
        </w:tc>
        <w:tc>
          <w:tcPr>
            <w:tcW w:w="495" w:type="pct"/>
          </w:tcPr>
          <w:p w14:paraId="3D614A1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w:t>
            </w:r>
          </w:p>
        </w:tc>
        <w:tc>
          <w:tcPr>
            <w:tcW w:w="494" w:type="pct"/>
          </w:tcPr>
          <w:p w14:paraId="58656E3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9</w:t>
            </w:r>
          </w:p>
        </w:tc>
      </w:tr>
      <w:tr w:rsidR="00E97CFC" w:rsidRPr="00042924" w14:paraId="0B259773" w14:textId="77777777" w:rsidTr="008B62E0">
        <w:trPr>
          <w:jc w:val="center"/>
        </w:trPr>
        <w:tc>
          <w:tcPr>
            <w:tcW w:w="178" w:type="pct"/>
            <w:vAlign w:val="center"/>
          </w:tcPr>
          <w:p w14:paraId="6CA65F2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sz w:val="20"/>
                <w:szCs w:val="20"/>
                <w:lang w:val="uk-UA"/>
              </w:rPr>
              <w:t>1</w:t>
            </w:r>
          </w:p>
        </w:tc>
        <w:tc>
          <w:tcPr>
            <w:tcW w:w="1147" w:type="pct"/>
            <w:vAlign w:val="center"/>
          </w:tcPr>
          <w:p w14:paraId="459D449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Активи</w:t>
            </w:r>
          </w:p>
        </w:tc>
        <w:tc>
          <w:tcPr>
            <w:tcW w:w="485" w:type="pct"/>
            <w:vAlign w:val="center"/>
          </w:tcPr>
          <w:p w14:paraId="3D5D449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3E1C8E9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88 349 556</w:t>
            </w:r>
          </w:p>
        </w:tc>
        <w:tc>
          <w:tcPr>
            <w:tcW w:w="569" w:type="pct"/>
            <w:vAlign w:val="center"/>
          </w:tcPr>
          <w:p w14:paraId="689668B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105 800 975</w:t>
            </w:r>
          </w:p>
        </w:tc>
        <w:tc>
          <w:tcPr>
            <w:tcW w:w="569" w:type="pct"/>
            <w:vAlign w:val="center"/>
          </w:tcPr>
          <w:p w14:paraId="6D3BB04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52 682 761</w:t>
            </w:r>
          </w:p>
        </w:tc>
        <w:tc>
          <w:tcPr>
            <w:tcW w:w="495" w:type="pct"/>
            <w:vAlign w:val="center"/>
          </w:tcPr>
          <w:p w14:paraId="25E6B3C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19,75%</w:t>
            </w:r>
          </w:p>
        </w:tc>
        <w:tc>
          <w:tcPr>
            <w:tcW w:w="495" w:type="pct"/>
            <w:vAlign w:val="center"/>
          </w:tcPr>
          <w:p w14:paraId="1E8B388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-50,21%</w:t>
            </w:r>
          </w:p>
        </w:tc>
        <w:tc>
          <w:tcPr>
            <w:tcW w:w="494" w:type="pct"/>
            <w:vAlign w:val="center"/>
          </w:tcPr>
          <w:p w14:paraId="5E05449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-40,37%</w:t>
            </w:r>
          </w:p>
        </w:tc>
      </w:tr>
      <w:tr w:rsidR="00E97CFC" w:rsidRPr="00042924" w14:paraId="0CBA7915" w14:textId="77777777" w:rsidTr="008B62E0">
        <w:trPr>
          <w:jc w:val="center"/>
        </w:trPr>
        <w:tc>
          <w:tcPr>
            <w:tcW w:w="178" w:type="pct"/>
            <w:vAlign w:val="center"/>
          </w:tcPr>
          <w:p w14:paraId="3C2FBF8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sz w:val="20"/>
                <w:szCs w:val="20"/>
                <w:lang w:val="uk-UA"/>
              </w:rPr>
              <w:t>2</w:t>
            </w:r>
          </w:p>
        </w:tc>
        <w:tc>
          <w:tcPr>
            <w:tcW w:w="1147" w:type="pct"/>
            <w:vAlign w:val="center"/>
          </w:tcPr>
          <w:p w14:paraId="0ED3E3C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Необоротні активи</w:t>
            </w:r>
          </w:p>
        </w:tc>
        <w:tc>
          <w:tcPr>
            <w:tcW w:w="485" w:type="pct"/>
            <w:vAlign w:val="center"/>
          </w:tcPr>
          <w:p w14:paraId="71D6308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411129E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58 303 758</w:t>
            </w:r>
          </w:p>
        </w:tc>
        <w:tc>
          <w:tcPr>
            <w:tcW w:w="569" w:type="pct"/>
            <w:vAlign w:val="center"/>
          </w:tcPr>
          <w:p w14:paraId="4A80471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60 187 446</w:t>
            </w:r>
          </w:p>
        </w:tc>
        <w:tc>
          <w:tcPr>
            <w:tcW w:w="569" w:type="pct"/>
            <w:vAlign w:val="center"/>
          </w:tcPr>
          <w:p w14:paraId="36336F6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22 979 342</w:t>
            </w:r>
          </w:p>
        </w:tc>
        <w:tc>
          <w:tcPr>
            <w:tcW w:w="495" w:type="pct"/>
            <w:vAlign w:val="center"/>
          </w:tcPr>
          <w:p w14:paraId="6E46AC6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3,23%</w:t>
            </w:r>
          </w:p>
        </w:tc>
        <w:tc>
          <w:tcPr>
            <w:tcW w:w="495" w:type="pct"/>
            <w:vAlign w:val="center"/>
          </w:tcPr>
          <w:p w14:paraId="28508BF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-61,82%</w:t>
            </w:r>
          </w:p>
        </w:tc>
        <w:tc>
          <w:tcPr>
            <w:tcW w:w="494" w:type="pct"/>
            <w:vAlign w:val="center"/>
          </w:tcPr>
          <w:p w14:paraId="351549B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-60,59%</w:t>
            </w:r>
          </w:p>
        </w:tc>
      </w:tr>
      <w:tr w:rsidR="00E97CFC" w:rsidRPr="00042924" w14:paraId="61AF8A74" w14:textId="77777777" w:rsidTr="008B62E0">
        <w:trPr>
          <w:jc w:val="center"/>
        </w:trPr>
        <w:tc>
          <w:tcPr>
            <w:tcW w:w="178" w:type="pct"/>
            <w:vAlign w:val="center"/>
          </w:tcPr>
          <w:p w14:paraId="68C3CE8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sz w:val="20"/>
                <w:szCs w:val="20"/>
                <w:lang w:val="uk-UA"/>
              </w:rPr>
              <w:t>3</w:t>
            </w:r>
          </w:p>
        </w:tc>
        <w:tc>
          <w:tcPr>
            <w:tcW w:w="1147" w:type="pct"/>
            <w:vAlign w:val="center"/>
          </w:tcPr>
          <w:p w14:paraId="3AD7F2B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Основні засоби</w:t>
            </w:r>
          </w:p>
        </w:tc>
        <w:tc>
          <w:tcPr>
            <w:tcW w:w="485" w:type="pct"/>
            <w:vAlign w:val="center"/>
          </w:tcPr>
          <w:p w14:paraId="0986CA6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13103B5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51 996 100</w:t>
            </w:r>
          </w:p>
        </w:tc>
        <w:tc>
          <w:tcPr>
            <w:tcW w:w="569" w:type="pct"/>
            <w:vAlign w:val="center"/>
          </w:tcPr>
          <w:p w14:paraId="70C17BF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51 945 454</w:t>
            </w:r>
          </w:p>
        </w:tc>
        <w:tc>
          <w:tcPr>
            <w:tcW w:w="569" w:type="pct"/>
            <w:vAlign w:val="center"/>
          </w:tcPr>
          <w:p w14:paraId="49BD297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18 996 729</w:t>
            </w:r>
          </w:p>
        </w:tc>
        <w:tc>
          <w:tcPr>
            <w:tcW w:w="495" w:type="pct"/>
            <w:vAlign w:val="center"/>
          </w:tcPr>
          <w:p w14:paraId="78EB99C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-0,10%</w:t>
            </w:r>
          </w:p>
        </w:tc>
        <w:tc>
          <w:tcPr>
            <w:tcW w:w="495" w:type="pct"/>
            <w:vAlign w:val="center"/>
          </w:tcPr>
          <w:p w14:paraId="0178782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-63,43%</w:t>
            </w:r>
          </w:p>
        </w:tc>
        <w:tc>
          <w:tcPr>
            <w:tcW w:w="494" w:type="pct"/>
            <w:vAlign w:val="center"/>
          </w:tcPr>
          <w:p w14:paraId="05A68E5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-63,47%</w:t>
            </w:r>
          </w:p>
        </w:tc>
      </w:tr>
      <w:tr w:rsidR="00E97CFC" w:rsidRPr="00042924" w14:paraId="37C5A2FF" w14:textId="77777777" w:rsidTr="008B62E0">
        <w:trPr>
          <w:jc w:val="center"/>
        </w:trPr>
        <w:tc>
          <w:tcPr>
            <w:tcW w:w="178" w:type="pct"/>
            <w:vAlign w:val="center"/>
          </w:tcPr>
          <w:p w14:paraId="265F6A3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sz w:val="20"/>
                <w:szCs w:val="20"/>
                <w:lang w:val="uk-UA"/>
              </w:rPr>
              <w:t>4</w:t>
            </w:r>
          </w:p>
        </w:tc>
        <w:tc>
          <w:tcPr>
            <w:tcW w:w="1147" w:type="pct"/>
            <w:vAlign w:val="center"/>
          </w:tcPr>
          <w:p w14:paraId="357B04BE" w14:textId="77777777" w:rsidR="00E97CFC" w:rsidRPr="00042924" w:rsidRDefault="00E97CFC" w:rsidP="00E97CFC">
            <w:pPr>
              <w:widowControl w:val="0"/>
              <w:tabs>
                <w:tab w:val="left" w:pos="594"/>
                <w:tab w:val="left" w:pos="1539"/>
                <w:tab w:val="left" w:pos="2134"/>
                <w:tab w:val="left" w:pos="3414"/>
              </w:tabs>
              <w:autoSpaceDE w:val="0"/>
              <w:autoSpaceDN w:val="0"/>
              <w:jc w:val="center"/>
              <w:rPr>
                <w:rFonts w:ascii="Times New Roman" w:eastAsia="Times New Roman" w:hAnsi="Times New Roman" w:cs="Times New Roman"/>
                <w:color w:val="000000" w:themeColor="text1"/>
                <w:sz w:val="20"/>
                <w:szCs w:val="20"/>
                <w:lang w:val="uk-UA"/>
                <w14:ligatures w14:val="none"/>
              </w:rPr>
            </w:pPr>
            <w:r w:rsidRPr="00042924">
              <w:rPr>
                <w:rFonts w:ascii="Times New Roman" w:eastAsia="Times New Roman" w:hAnsi="Times New Roman" w:cs="Times New Roman"/>
                <w:color w:val="000000" w:themeColor="text1"/>
                <w:sz w:val="20"/>
                <w:szCs w:val="20"/>
                <w:lang w:val="uk-UA"/>
                <w14:ligatures w14:val="none"/>
              </w:rPr>
              <w:t>Оборотні активи</w:t>
            </w:r>
          </w:p>
        </w:tc>
        <w:tc>
          <w:tcPr>
            <w:tcW w:w="485" w:type="pct"/>
            <w:vAlign w:val="center"/>
          </w:tcPr>
          <w:p w14:paraId="4B71C66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66D59EB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30 045 798</w:t>
            </w:r>
          </w:p>
        </w:tc>
        <w:tc>
          <w:tcPr>
            <w:tcW w:w="569" w:type="pct"/>
            <w:vAlign w:val="center"/>
          </w:tcPr>
          <w:p w14:paraId="2C375E0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45 613 529</w:t>
            </w:r>
          </w:p>
        </w:tc>
        <w:tc>
          <w:tcPr>
            <w:tcW w:w="569" w:type="pct"/>
            <w:vAlign w:val="center"/>
          </w:tcPr>
          <w:p w14:paraId="631FE4B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29 703 419</w:t>
            </w:r>
          </w:p>
        </w:tc>
        <w:tc>
          <w:tcPr>
            <w:tcW w:w="495" w:type="pct"/>
            <w:vAlign w:val="center"/>
          </w:tcPr>
          <w:p w14:paraId="599587E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51,81%</w:t>
            </w:r>
          </w:p>
        </w:tc>
        <w:tc>
          <w:tcPr>
            <w:tcW w:w="495" w:type="pct"/>
            <w:vAlign w:val="center"/>
          </w:tcPr>
          <w:p w14:paraId="588BCA2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-34,88%</w:t>
            </w:r>
          </w:p>
        </w:tc>
        <w:tc>
          <w:tcPr>
            <w:tcW w:w="494" w:type="pct"/>
            <w:vAlign w:val="center"/>
          </w:tcPr>
          <w:p w14:paraId="05D782E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-1,14%</w:t>
            </w:r>
          </w:p>
        </w:tc>
      </w:tr>
      <w:tr w:rsidR="00E97CFC" w:rsidRPr="00042924" w14:paraId="7236AAC5" w14:textId="77777777" w:rsidTr="008B62E0">
        <w:trPr>
          <w:jc w:val="center"/>
        </w:trPr>
        <w:tc>
          <w:tcPr>
            <w:tcW w:w="178" w:type="pct"/>
            <w:vAlign w:val="center"/>
          </w:tcPr>
          <w:p w14:paraId="340AEAA0"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w:t>
            </w:r>
          </w:p>
        </w:tc>
        <w:tc>
          <w:tcPr>
            <w:tcW w:w="1147" w:type="pct"/>
            <w:vAlign w:val="center"/>
          </w:tcPr>
          <w:p w14:paraId="21D7DBB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Дебіторська заборгованість</w:t>
            </w:r>
          </w:p>
        </w:tc>
        <w:tc>
          <w:tcPr>
            <w:tcW w:w="485" w:type="pct"/>
            <w:vAlign w:val="center"/>
          </w:tcPr>
          <w:p w14:paraId="71158C7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62B9C06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19 143 229</w:t>
            </w:r>
          </w:p>
        </w:tc>
        <w:tc>
          <w:tcPr>
            <w:tcW w:w="569" w:type="pct"/>
            <w:vAlign w:val="center"/>
          </w:tcPr>
          <w:p w14:paraId="0B16813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25 804 212</w:t>
            </w:r>
          </w:p>
        </w:tc>
        <w:tc>
          <w:tcPr>
            <w:tcW w:w="569" w:type="pct"/>
            <w:vAlign w:val="center"/>
          </w:tcPr>
          <w:p w14:paraId="7966E58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7 486 969</w:t>
            </w:r>
          </w:p>
        </w:tc>
        <w:tc>
          <w:tcPr>
            <w:tcW w:w="495" w:type="pct"/>
            <w:vAlign w:val="center"/>
          </w:tcPr>
          <w:p w14:paraId="7B7F623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34,80%</w:t>
            </w:r>
          </w:p>
        </w:tc>
        <w:tc>
          <w:tcPr>
            <w:tcW w:w="495" w:type="pct"/>
            <w:vAlign w:val="center"/>
          </w:tcPr>
          <w:p w14:paraId="60E909B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-70,99%</w:t>
            </w:r>
          </w:p>
        </w:tc>
        <w:tc>
          <w:tcPr>
            <w:tcW w:w="494" w:type="pct"/>
            <w:vAlign w:val="center"/>
          </w:tcPr>
          <w:p w14:paraId="6727856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-60,89%</w:t>
            </w:r>
          </w:p>
        </w:tc>
      </w:tr>
      <w:tr w:rsidR="00E97CFC" w:rsidRPr="00042924" w14:paraId="60189F0A" w14:textId="77777777" w:rsidTr="008B62E0">
        <w:trPr>
          <w:jc w:val="center"/>
        </w:trPr>
        <w:tc>
          <w:tcPr>
            <w:tcW w:w="178" w:type="pct"/>
            <w:vAlign w:val="center"/>
          </w:tcPr>
          <w:p w14:paraId="3642314B"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w:t>
            </w:r>
          </w:p>
        </w:tc>
        <w:tc>
          <w:tcPr>
            <w:tcW w:w="1147" w:type="pct"/>
            <w:vAlign w:val="center"/>
          </w:tcPr>
          <w:p w14:paraId="2469C91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Гроші та їх еквіваленти</w:t>
            </w:r>
          </w:p>
        </w:tc>
        <w:tc>
          <w:tcPr>
            <w:tcW w:w="485" w:type="pct"/>
            <w:vAlign w:val="center"/>
          </w:tcPr>
          <w:p w14:paraId="0955203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21C1F78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867 691</w:t>
            </w:r>
          </w:p>
        </w:tc>
        <w:tc>
          <w:tcPr>
            <w:tcW w:w="569" w:type="pct"/>
            <w:vAlign w:val="center"/>
          </w:tcPr>
          <w:p w14:paraId="2941170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1 374 859</w:t>
            </w:r>
          </w:p>
        </w:tc>
        <w:tc>
          <w:tcPr>
            <w:tcW w:w="569" w:type="pct"/>
            <w:vAlign w:val="center"/>
          </w:tcPr>
          <w:p w14:paraId="411D81D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954 053</w:t>
            </w:r>
          </w:p>
        </w:tc>
        <w:tc>
          <w:tcPr>
            <w:tcW w:w="495" w:type="pct"/>
            <w:vAlign w:val="center"/>
          </w:tcPr>
          <w:p w14:paraId="240A2F0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58,45%</w:t>
            </w:r>
          </w:p>
        </w:tc>
        <w:tc>
          <w:tcPr>
            <w:tcW w:w="495" w:type="pct"/>
            <w:vAlign w:val="center"/>
          </w:tcPr>
          <w:p w14:paraId="35BBF6C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-30,61%</w:t>
            </w:r>
          </w:p>
        </w:tc>
        <w:tc>
          <w:tcPr>
            <w:tcW w:w="494" w:type="pct"/>
            <w:vAlign w:val="center"/>
          </w:tcPr>
          <w:p w14:paraId="06F780E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9,95%</w:t>
            </w:r>
          </w:p>
        </w:tc>
      </w:tr>
      <w:tr w:rsidR="00E97CFC" w:rsidRPr="00042924" w14:paraId="6A469662" w14:textId="77777777" w:rsidTr="008B62E0">
        <w:trPr>
          <w:jc w:val="center"/>
        </w:trPr>
        <w:tc>
          <w:tcPr>
            <w:tcW w:w="178" w:type="pct"/>
            <w:vAlign w:val="center"/>
          </w:tcPr>
          <w:p w14:paraId="2B9A3846"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w:t>
            </w:r>
          </w:p>
        </w:tc>
        <w:tc>
          <w:tcPr>
            <w:tcW w:w="1147" w:type="pct"/>
            <w:vAlign w:val="center"/>
          </w:tcPr>
          <w:p w14:paraId="566D8FA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Інші оборотні активи</w:t>
            </w:r>
          </w:p>
        </w:tc>
        <w:tc>
          <w:tcPr>
            <w:tcW w:w="485" w:type="pct"/>
            <w:vAlign w:val="center"/>
          </w:tcPr>
          <w:p w14:paraId="442CB25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1C18D3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102 085</w:t>
            </w:r>
          </w:p>
        </w:tc>
        <w:tc>
          <w:tcPr>
            <w:tcW w:w="569" w:type="pct"/>
            <w:vAlign w:val="center"/>
          </w:tcPr>
          <w:p w14:paraId="79525A6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107 457</w:t>
            </w:r>
          </w:p>
        </w:tc>
        <w:tc>
          <w:tcPr>
            <w:tcW w:w="569" w:type="pct"/>
            <w:vAlign w:val="center"/>
          </w:tcPr>
          <w:p w14:paraId="6762235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325 687</w:t>
            </w:r>
          </w:p>
        </w:tc>
        <w:tc>
          <w:tcPr>
            <w:tcW w:w="495" w:type="pct"/>
            <w:vAlign w:val="center"/>
          </w:tcPr>
          <w:p w14:paraId="3AF1B05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5,26%</w:t>
            </w:r>
          </w:p>
        </w:tc>
        <w:tc>
          <w:tcPr>
            <w:tcW w:w="495" w:type="pct"/>
            <w:vAlign w:val="center"/>
          </w:tcPr>
          <w:p w14:paraId="6507ED1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203,09%</w:t>
            </w:r>
          </w:p>
        </w:tc>
        <w:tc>
          <w:tcPr>
            <w:tcW w:w="494" w:type="pct"/>
            <w:vAlign w:val="center"/>
          </w:tcPr>
          <w:p w14:paraId="7C1FC7F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219,04%</w:t>
            </w:r>
          </w:p>
        </w:tc>
      </w:tr>
      <w:tr w:rsidR="00E97CFC" w:rsidRPr="00042924" w14:paraId="33B231D0" w14:textId="77777777" w:rsidTr="008B62E0">
        <w:trPr>
          <w:jc w:val="center"/>
        </w:trPr>
        <w:tc>
          <w:tcPr>
            <w:tcW w:w="178" w:type="pct"/>
            <w:vAlign w:val="center"/>
          </w:tcPr>
          <w:p w14:paraId="31041707"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w:t>
            </w:r>
          </w:p>
        </w:tc>
        <w:tc>
          <w:tcPr>
            <w:tcW w:w="1147" w:type="pct"/>
            <w:vAlign w:val="center"/>
          </w:tcPr>
          <w:p w14:paraId="04F430D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Пасиви</w:t>
            </w:r>
          </w:p>
        </w:tc>
        <w:tc>
          <w:tcPr>
            <w:tcW w:w="485" w:type="pct"/>
            <w:vAlign w:val="center"/>
          </w:tcPr>
          <w:p w14:paraId="2701DAD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D35D2F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88 349 556</w:t>
            </w:r>
          </w:p>
        </w:tc>
        <w:tc>
          <w:tcPr>
            <w:tcW w:w="569" w:type="pct"/>
            <w:vAlign w:val="center"/>
          </w:tcPr>
          <w:p w14:paraId="64EBD5B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105 800 975</w:t>
            </w:r>
          </w:p>
        </w:tc>
        <w:tc>
          <w:tcPr>
            <w:tcW w:w="569" w:type="pct"/>
            <w:vAlign w:val="center"/>
          </w:tcPr>
          <w:p w14:paraId="4672312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52 682 761</w:t>
            </w:r>
          </w:p>
        </w:tc>
        <w:tc>
          <w:tcPr>
            <w:tcW w:w="495" w:type="pct"/>
            <w:vAlign w:val="center"/>
          </w:tcPr>
          <w:p w14:paraId="25D4B26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19,75%</w:t>
            </w:r>
          </w:p>
        </w:tc>
        <w:tc>
          <w:tcPr>
            <w:tcW w:w="495" w:type="pct"/>
            <w:vAlign w:val="center"/>
          </w:tcPr>
          <w:p w14:paraId="6BCD28A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-50,21%</w:t>
            </w:r>
          </w:p>
        </w:tc>
        <w:tc>
          <w:tcPr>
            <w:tcW w:w="494" w:type="pct"/>
            <w:vAlign w:val="center"/>
          </w:tcPr>
          <w:p w14:paraId="389E807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-40,37%</w:t>
            </w:r>
          </w:p>
        </w:tc>
      </w:tr>
      <w:tr w:rsidR="00E97CFC" w:rsidRPr="00042924" w14:paraId="348B69C6" w14:textId="77777777" w:rsidTr="008B62E0">
        <w:trPr>
          <w:jc w:val="center"/>
        </w:trPr>
        <w:tc>
          <w:tcPr>
            <w:tcW w:w="178" w:type="pct"/>
            <w:vAlign w:val="center"/>
          </w:tcPr>
          <w:p w14:paraId="562DCC55"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9</w:t>
            </w:r>
          </w:p>
        </w:tc>
        <w:tc>
          <w:tcPr>
            <w:tcW w:w="1147" w:type="pct"/>
            <w:vAlign w:val="center"/>
          </w:tcPr>
          <w:p w14:paraId="3604B59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Власний капітал</w:t>
            </w:r>
          </w:p>
        </w:tc>
        <w:tc>
          <w:tcPr>
            <w:tcW w:w="485" w:type="pct"/>
            <w:vAlign w:val="center"/>
          </w:tcPr>
          <w:p w14:paraId="6DB6499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5326F3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60 879 286</w:t>
            </w:r>
          </w:p>
        </w:tc>
        <w:tc>
          <w:tcPr>
            <w:tcW w:w="569" w:type="pct"/>
            <w:vAlign w:val="center"/>
          </w:tcPr>
          <w:p w14:paraId="7AE060F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76 552 000</w:t>
            </w:r>
          </w:p>
        </w:tc>
        <w:tc>
          <w:tcPr>
            <w:tcW w:w="569" w:type="pct"/>
            <w:vAlign w:val="center"/>
          </w:tcPr>
          <w:p w14:paraId="0CF516D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28 212 939</w:t>
            </w:r>
          </w:p>
        </w:tc>
        <w:tc>
          <w:tcPr>
            <w:tcW w:w="495" w:type="pct"/>
            <w:vAlign w:val="center"/>
          </w:tcPr>
          <w:p w14:paraId="3178E1D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25,74%</w:t>
            </w:r>
          </w:p>
        </w:tc>
        <w:tc>
          <w:tcPr>
            <w:tcW w:w="495" w:type="pct"/>
            <w:vAlign w:val="center"/>
          </w:tcPr>
          <w:p w14:paraId="057C920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-63,15%</w:t>
            </w:r>
          </w:p>
        </w:tc>
        <w:tc>
          <w:tcPr>
            <w:tcW w:w="494" w:type="pct"/>
            <w:vAlign w:val="center"/>
          </w:tcPr>
          <w:p w14:paraId="16FAF4B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-53,66%</w:t>
            </w:r>
          </w:p>
        </w:tc>
      </w:tr>
      <w:tr w:rsidR="00E97CFC" w:rsidRPr="00042924" w14:paraId="114150FD" w14:textId="77777777" w:rsidTr="0029174C">
        <w:trPr>
          <w:jc w:val="center"/>
        </w:trPr>
        <w:tc>
          <w:tcPr>
            <w:tcW w:w="178" w:type="pct"/>
            <w:vAlign w:val="center"/>
          </w:tcPr>
          <w:p w14:paraId="6365A17A"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w:t>
            </w:r>
          </w:p>
        </w:tc>
        <w:tc>
          <w:tcPr>
            <w:tcW w:w="1147" w:type="pct"/>
            <w:vAlign w:val="center"/>
          </w:tcPr>
          <w:p w14:paraId="4CF0A94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eastAsia="Times New Roman" w:hAnsi="Times New Roman" w:cs="Times New Roman"/>
                <w:color w:val="000000" w:themeColor="text1"/>
                <w:sz w:val="20"/>
                <w:szCs w:val="20"/>
                <w:lang w:val="uk-UA"/>
              </w:rPr>
              <w:t>Зареєстрований</w:t>
            </w:r>
            <w:r w:rsidRPr="00042924">
              <w:rPr>
                <w:rFonts w:ascii="Times New Roman" w:eastAsia="Times New Roman" w:hAnsi="Times New Roman" w:cs="Times New Roman"/>
                <w:color w:val="000000" w:themeColor="text1"/>
                <w:spacing w:val="-7"/>
                <w:sz w:val="20"/>
                <w:szCs w:val="20"/>
                <w:lang w:val="uk-UA"/>
              </w:rPr>
              <w:t xml:space="preserve"> </w:t>
            </w:r>
            <w:r w:rsidRPr="00042924">
              <w:rPr>
                <w:rFonts w:ascii="Times New Roman" w:eastAsia="Times New Roman" w:hAnsi="Times New Roman" w:cs="Times New Roman"/>
                <w:color w:val="000000" w:themeColor="text1"/>
                <w:sz w:val="20"/>
                <w:szCs w:val="20"/>
                <w:lang w:val="uk-UA"/>
              </w:rPr>
              <w:t>капітал</w:t>
            </w:r>
          </w:p>
        </w:tc>
        <w:tc>
          <w:tcPr>
            <w:tcW w:w="485" w:type="pct"/>
            <w:vAlign w:val="center"/>
          </w:tcPr>
          <w:p w14:paraId="479AC81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1706" w:type="pct"/>
            <w:gridSpan w:val="3"/>
            <w:vAlign w:val="center"/>
          </w:tcPr>
          <w:p w14:paraId="17FBA04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eastAsia="Times New Roman" w:hAnsi="Times New Roman" w:cs="Times New Roman"/>
                <w:color w:val="000000" w:themeColor="text1"/>
                <w:sz w:val="20"/>
                <w:szCs w:val="20"/>
                <w:lang w:val="uk-UA"/>
              </w:rPr>
              <w:t>3</w:t>
            </w:r>
            <w:r w:rsidRPr="00042924">
              <w:rPr>
                <w:rFonts w:ascii="Times New Roman" w:eastAsia="Times New Roman" w:hAnsi="Times New Roman" w:cs="Times New Roman"/>
                <w:color w:val="000000" w:themeColor="text1"/>
                <w:spacing w:val="2"/>
                <w:sz w:val="20"/>
                <w:szCs w:val="20"/>
                <w:lang w:val="uk-UA"/>
              </w:rPr>
              <w:t xml:space="preserve"> </w:t>
            </w:r>
            <w:r w:rsidRPr="00042924">
              <w:rPr>
                <w:rFonts w:ascii="Times New Roman" w:eastAsia="Times New Roman" w:hAnsi="Times New Roman" w:cs="Times New Roman"/>
                <w:color w:val="000000" w:themeColor="text1"/>
                <w:sz w:val="20"/>
                <w:szCs w:val="20"/>
                <w:lang w:val="uk-UA"/>
              </w:rPr>
              <w:t>859</w:t>
            </w:r>
            <w:r w:rsidRPr="00042924">
              <w:rPr>
                <w:rFonts w:ascii="Times New Roman" w:eastAsia="Times New Roman" w:hAnsi="Times New Roman" w:cs="Times New Roman"/>
                <w:color w:val="000000" w:themeColor="text1"/>
                <w:spacing w:val="2"/>
                <w:sz w:val="20"/>
                <w:szCs w:val="20"/>
                <w:lang w:val="uk-UA"/>
              </w:rPr>
              <w:t xml:space="preserve"> </w:t>
            </w:r>
            <w:r w:rsidRPr="00042924">
              <w:rPr>
                <w:rFonts w:ascii="Times New Roman" w:eastAsia="Times New Roman" w:hAnsi="Times New Roman" w:cs="Times New Roman"/>
                <w:color w:val="000000" w:themeColor="text1"/>
                <w:sz w:val="20"/>
                <w:szCs w:val="20"/>
                <w:lang w:val="uk-UA"/>
              </w:rPr>
              <w:t>533</w:t>
            </w:r>
          </w:p>
        </w:tc>
        <w:tc>
          <w:tcPr>
            <w:tcW w:w="1484" w:type="pct"/>
            <w:gridSpan w:val="3"/>
            <w:vAlign w:val="center"/>
          </w:tcPr>
          <w:p w14:paraId="2B41AAC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0,00%</w:t>
            </w:r>
          </w:p>
        </w:tc>
      </w:tr>
      <w:tr w:rsidR="00E97CFC" w:rsidRPr="00042924" w14:paraId="3586CC28" w14:textId="77777777" w:rsidTr="008B62E0">
        <w:trPr>
          <w:jc w:val="center"/>
        </w:trPr>
        <w:tc>
          <w:tcPr>
            <w:tcW w:w="178" w:type="pct"/>
            <w:vAlign w:val="center"/>
          </w:tcPr>
          <w:p w14:paraId="11CCB256"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11</w:t>
            </w:r>
          </w:p>
        </w:tc>
        <w:tc>
          <w:tcPr>
            <w:tcW w:w="1147" w:type="pct"/>
            <w:vAlign w:val="center"/>
          </w:tcPr>
          <w:p w14:paraId="74E2381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Додатковий капітал</w:t>
            </w:r>
          </w:p>
        </w:tc>
        <w:tc>
          <w:tcPr>
            <w:tcW w:w="485" w:type="pct"/>
            <w:vAlign w:val="center"/>
          </w:tcPr>
          <w:p w14:paraId="258F136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7CE7A3F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26 321 103</w:t>
            </w:r>
          </w:p>
        </w:tc>
        <w:tc>
          <w:tcPr>
            <w:tcW w:w="569" w:type="pct"/>
            <w:vAlign w:val="center"/>
          </w:tcPr>
          <w:p w14:paraId="5D8B17B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26 387 986</w:t>
            </w:r>
          </w:p>
        </w:tc>
        <w:tc>
          <w:tcPr>
            <w:tcW w:w="569" w:type="pct"/>
            <w:vAlign w:val="center"/>
          </w:tcPr>
          <w:p w14:paraId="3C1AD78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27 058 029</w:t>
            </w:r>
          </w:p>
        </w:tc>
        <w:tc>
          <w:tcPr>
            <w:tcW w:w="495" w:type="pct"/>
            <w:vAlign w:val="center"/>
          </w:tcPr>
          <w:p w14:paraId="6CCB010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0,25%</w:t>
            </w:r>
          </w:p>
        </w:tc>
        <w:tc>
          <w:tcPr>
            <w:tcW w:w="495" w:type="pct"/>
            <w:vAlign w:val="center"/>
          </w:tcPr>
          <w:p w14:paraId="42F4339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2,54%</w:t>
            </w:r>
          </w:p>
        </w:tc>
        <w:tc>
          <w:tcPr>
            <w:tcW w:w="494" w:type="pct"/>
            <w:vAlign w:val="center"/>
          </w:tcPr>
          <w:p w14:paraId="2D6C79B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2,80%</w:t>
            </w:r>
          </w:p>
        </w:tc>
      </w:tr>
      <w:tr w:rsidR="00E97CFC" w:rsidRPr="00042924" w14:paraId="0B7C4680" w14:textId="77777777" w:rsidTr="008B62E0">
        <w:trPr>
          <w:jc w:val="center"/>
        </w:trPr>
        <w:tc>
          <w:tcPr>
            <w:tcW w:w="178" w:type="pct"/>
            <w:vAlign w:val="center"/>
          </w:tcPr>
          <w:p w14:paraId="0F52F07A"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12</w:t>
            </w:r>
          </w:p>
        </w:tc>
        <w:tc>
          <w:tcPr>
            <w:tcW w:w="1147" w:type="pct"/>
            <w:vAlign w:val="center"/>
          </w:tcPr>
          <w:p w14:paraId="7BE038E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Нерозподілений прибуток</w:t>
            </w:r>
          </w:p>
        </w:tc>
        <w:tc>
          <w:tcPr>
            <w:tcW w:w="485" w:type="pct"/>
            <w:vAlign w:val="center"/>
          </w:tcPr>
          <w:p w14:paraId="63F40C2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2482EEF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30 119 720</w:t>
            </w:r>
          </w:p>
        </w:tc>
        <w:tc>
          <w:tcPr>
            <w:tcW w:w="569" w:type="pct"/>
            <w:vAlign w:val="center"/>
          </w:tcPr>
          <w:p w14:paraId="4E1729F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45 725 551</w:t>
            </w:r>
          </w:p>
        </w:tc>
        <w:tc>
          <w:tcPr>
            <w:tcW w:w="569" w:type="pct"/>
            <w:vAlign w:val="center"/>
          </w:tcPr>
          <w:p w14:paraId="69B0C7B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-3 283 553</w:t>
            </w:r>
          </w:p>
        </w:tc>
        <w:tc>
          <w:tcPr>
            <w:tcW w:w="495" w:type="pct"/>
            <w:vAlign w:val="center"/>
          </w:tcPr>
          <w:p w14:paraId="3DEA5DB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51,81%</w:t>
            </w:r>
          </w:p>
        </w:tc>
        <w:tc>
          <w:tcPr>
            <w:tcW w:w="495" w:type="pct"/>
            <w:vAlign w:val="center"/>
          </w:tcPr>
          <w:p w14:paraId="6319419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-107,18%</w:t>
            </w:r>
          </w:p>
        </w:tc>
        <w:tc>
          <w:tcPr>
            <w:tcW w:w="494" w:type="pct"/>
            <w:vAlign w:val="center"/>
          </w:tcPr>
          <w:p w14:paraId="5AF5319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-110,90%</w:t>
            </w:r>
          </w:p>
        </w:tc>
      </w:tr>
      <w:tr w:rsidR="00E97CFC" w:rsidRPr="00042924" w14:paraId="672518E5" w14:textId="77777777" w:rsidTr="008B62E0">
        <w:trPr>
          <w:jc w:val="center"/>
        </w:trPr>
        <w:tc>
          <w:tcPr>
            <w:tcW w:w="178" w:type="pct"/>
            <w:vAlign w:val="center"/>
          </w:tcPr>
          <w:p w14:paraId="39A94B68"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13</w:t>
            </w:r>
          </w:p>
        </w:tc>
        <w:tc>
          <w:tcPr>
            <w:tcW w:w="1147" w:type="pct"/>
            <w:vAlign w:val="center"/>
          </w:tcPr>
          <w:p w14:paraId="2EBEA36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Довгострокові зобов’язання і забезпечення</w:t>
            </w:r>
          </w:p>
        </w:tc>
        <w:tc>
          <w:tcPr>
            <w:tcW w:w="485" w:type="pct"/>
            <w:vAlign w:val="center"/>
          </w:tcPr>
          <w:p w14:paraId="628EAED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16D5FF1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9 604 586</w:t>
            </w:r>
          </w:p>
        </w:tc>
        <w:tc>
          <w:tcPr>
            <w:tcW w:w="569" w:type="pct"/>
            <w:vAlign w:val="center"/>
          </w:tcPr>
          <w:p w14:paraId="2AA8DE4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7 359 240</w:t>
            </w:r>
          </w:p>
        </w:tc>
        <w:tc>
          <w:tcPr>
            <w:tcW w:w="569" w:type="pct"/>
            <w:vAlign w:val="center"/>
          </w:tcPr>
          <w:p w14:paraId="2B64A62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6 046 354</w:t>
            </w:r>
          </w:p>
        </w:tc>
        <w:tc>
          <w:tcPr>
            <w:tcW w:w="495" w:type="pct"/>
            <w:vAlign w:val="center"/>
          </w:tcPr>
          <w:p w14:paraId="4F472E3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-23,38%</w:t>
            </w:r>
          </w:p>
        </w:tc>
        <w:tc>
          <w:tcPr>
            <w:tcW w:w="495" w:type="pct"/>
            <w:vAlign w:val="center"/>
          </w:tcPr>
          <w:p w14:paraId="78C5AE9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-17,84%</w:t>
            </w:r>
          </w:p>
        </w:tc>
        <w:tc>
          <w:tcPr>
            <w:tcW w:w="494" w:type="pct"/>
            <w:vAlign w:val="center"/>
          </w:tcPr>
          <w:p w14:paraId="52C83EF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-37,05%</w:t>
            </w:r>
          </w:p>
        </w:tc>
      </w:tr>
      <w:tr w:rsidR="00E97CFC" w:rsidRPr="00042924" w14:paraId="43291A95" w14:textId="77777777" w:rsidTr="008B62E0">
        <w:trPr>
          <w:jc w:val="center"/>
        </w:trPr>
        <w:tc>
          <w:tcPr>
            <w:tcW w:w="178" w:type="pct"/>
            <w:vAlign w:val="center"/>
          </w:tcPr>
          <w:p w14:paraId="1538F0BF"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14</w:t>
            </w:r>
          </w:p>
        </w:tc>
        <w:tc>
          <w:tcPr>
            <w:tcW w:w="1147" w:type="pct"/>
            <w:vAlign w:val="center"/>
          </w:tcPr>
          <w:p w14:paraId="447883E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Поточні зобов’язання і забезпечення</w:t>
            </w:r>
          </w:p>
        </w:tc>
        <w:tc>
          <w:tcPr>
            <w:tcW w:w="485" w:type="pct"/>
            <w:vAlign w:val="center"/>
          </w:tcPr>
          <w:p w14:paraId="5E69682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CCD3FD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17 865 684</w:t>
            </w:r>
          </w:p>
        </w:tc>
        <w:tc>
          <w:tcPr>
            <w:tcW w:w="569" w:type="pct"/>
            <w:vAlign w:val="center"/>
          </w:tcPr>
          <w:p w14:paraId="3917D4C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21 889 735</w:t>
            </w:r>
          </w:p>
        </w:tc>
        <w:tc>
          <w:tcPr>
            <w:tcW w:w="569" w:type="pct"/>
            <w:vAlign w:val="center"/>
          </w:tcPr>
          <w:p w14:paraId="6249D74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18 423 468</w:t>
            </w:r>
          </w:p>
        </w:tc>
        <w:tc>
          <w:tcPr>
            <w:tcW w:w="495" w:type="pct"/>
            <w:vAlign w:val="center"/>
          </w:tcPr>
          <w:p w14:paraId="45D5104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22,52%</w:t>
            </w:r>
          </w:p>
        </w:tc>
        <w:tc>
          <w:tcPr>
            <w:tcW w:w="495" w:type="pct"/>
            <w:vAlign w:val="center"/>
          </w:tcPr>
          <w:p w14:paraId="19DEE1F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-15,84%</w:t>
            </w:r>
          </w:p>
        </w:tc>
        <w:tc>
          <w:tcPr>
            <w:tcW w:w="494" w:type="pct"/>
            <w:vAlign w:val="center"/>
          </w:tcPr>
          <w:p w14:paraId="1690917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3,12%</w:t>
            </w:r>
          </w:p>
        </w:tc>
      </w:tr>
      <w:tr w:rsidR="00E97CFC" w:rsidRPr="00042924" w14:paraId="26C787C3" w14:textId="77777777" w:rsidTr="008B62E0">
        <w:trPr>
          <w:jc w:val="center"/>
        </w:trPr>
        <w:tc>
          <w:tcPr>
            <w:tcW w:w="178" w:type="pct"/>
            <w:vAlign w:val="center"/>
          </w:tcPr>
          <w:p w14:paraId="1AEDA13F"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15</w:t>
            </w:r>
          </w:p>
        </w:tc>
        <w:tc>
          <w:tcPr>
            <w:tcW w:w="1147" w:type="pct"/>
            <w:vAlign w:val="center"/>
          </w:tcPr>
          <w:p w14:paraId="294F9C9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Чистий дохід від реалізації продукції</w:t>
            </w:r>
          </w:p>
        </w:tc>
        <w:tc>
          <w:tcPr>
            <w:tcW w:w="485" w:type="pct"/>
            <w:vAlign w:val="center"/>
          </w:tcPr>
          <w:p w14:paraId="6E3646B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33446EE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63 496 684</w:t>
            </w:r>
          </w:p>
        </w:tc>
        <w:tc>
          <w:tcPr>
            <w:tcW w:w="569" w:type="pct"/>
            <w:vAlign w:val="center"/>
          </w:tcPr>
          <w:p w14:paraId="635EFD8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109 303 155</w:t>
            </w:r>
          </w:p>
        </w:tc>
        <w:tc>
          <w:tcPr>
            <w:tcW w:w="569" w:type="pct"/>
            <w:vAlign w:val="center"/>
          </w:tcPr>
          <w:p w14:paraId="4E307EE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43 818 410</w:t>
            </w:r>
          </w:p>
        </w:tc>
        <w:tc>
          <w:tcPr>
            <w:tcW w:w="495" w:type="pct"/>
            <w:vAlign w:val="center"/>
          </w:tcPr>
          <w:p w14:paraId="358053F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72,14%</w:t>
            </w:r>
          </w:p>
        </w:tc>
        <w:tc>
          <w:tcPr>
            <w:tcW w:w="495" w:type="pct"/>
            <w:vAlign w:val="center"/>
          </w:tcPr>
          <w:p w14:paraId="1722A0A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-59,91%</w:t>
            </w:r>
          </w:p>
        </w:tc>
        <w:tc>
          <w:tcPr>
            <w:tcW w:w="494" w:type="pct"/>
            <w:vAlign w:val="center"/>
          </w:tcPr>
          <w:p w14:paraId="2679B95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-30,99%</w:t>
            </w:r>
          </w:p>
        </w:tc>
      </w:tr>
      <w:tr w:rsidR="00E97CFC" w:rsidRPr="00042924" w14:paraId="054928BD" w14:textId="77777777" w:rsidTr="008B62E0">
        <w:trPr>
          <w:jc w:val="center"/>
        </w:trPr>
        <w:tc>
          <w:tcPr>
            <w:tcW w:w="178" w:type="pct"/>
            <w:vAlign w:val="center"/>
          </w:tcPr>
          <w:p w14:paraId="4FAFF8D0"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16</w:t>
            </w:r>
          </w:p>
        </w:tc>
        <w:tc>
          <w:tcPr>
            <w:tcW w:w="1147" w:type="pct"/>
            <w:vAlign w:val="center"/>
          </w:tcPr>
          <w:p w14:paraId="2CE92D8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Собівартість реалізованої продукції</w:t>
            </w:r>
          </w:p>
        </w:tc>
        <w:tc>
          <w:tcPr>
            <w:tcW w:w="485" w:type="pct"/>
            <w:vAlign w:val="center"/>
          </w:tcPr>
          <w:p w14:paraId="0883CE4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438D9C3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58 845 530</w:t>
            </w:r>
          </w:p>
        </w:tc>
        <w:tc>
          <w:tcPr>
            <w:tcW w:w="569" w:type="pct"/>
            <w:vAlign w:val="center"/>
          </w:tcPr>
          <w:p w14:paraId="2AAFA23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74 561 304</w:t>
            </w:r>
          </w:p>
        </w:tc>
        <w:tc>
          <w:tcPr>
            <w:tcW w:w="569" w:type="pct"/>
            <w:vAlign w:val="center"/>
          </w:tcPr>
          <w:p w14:paraId="2EEEA12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55 829 721</w:t>
            </w:r>
          </w:p>
        </w:tc>
        <w:tc>
          <w:tcPr>
            <w:tcW w:w="495" w:type="pct"/>
            <w:vAlign w:val="center"/>
          </w:tcPr>
          <w:p w14:paraId="13A8023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26,71%</w:t>
            </w:r>
          </w:p>
        </w:tc>
        <w:tc>
          <w:tcPr>
            <w:tcW w:w="495" w:type="pct"/>
            <w:vAlign w:val="center"/>
          </w:tcPr>
          <w:p w14:paraId="2F6AF88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-25,12%</w:t>
            </w:r>
          </w:p>
        </w:tc>
        <w:tc>
          <w:tcPr>
            <w:tcW w:w="494" w:type="pct"/>
            <w:vAlign w:val="center"/>
          </w:tcPr>
          <w:p w14:paraId="35CC9A5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-5,12%</w:t>
            </w:r>
          </w:p>
        </w:tc>
      </w:tr>
      <w:tr w:rsidR="00E97CFC" w:rsidRPr="00042924" w14:paraId="61E2A570" w14:textId="77777777" w:rsidTr="00A60F0B">
        <w:trPr>
          <w:trHeight w:val="255"/>
          <w:jc w:val="center"/>
        </w:trPr>
        <w:tc>
          <w:tcPr>
            <w:tcW w:w="178" w:type="pct"/>
            <w:vAlign w:val="center"/>
          </w:tcPr>
          <w:p w14:paraId="62AC922E"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17</w:t>
            </w:r>
          </w:p>
        </w:tc>
        <w:tc>
          <w:tcPr>
            <w:tcW w:w="1147" w:type="pct"/>
            <w:vAlign w:val="center"/>
          </w:tcPr>
          <w:p w14:paraId="1170DF6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Інші операційні доходи</w:t>
            </w:r>
          </w:p>
        </w:tc>
        <w:tc>
          <w:tcPr>
            <w:tcW w:w="485" w:type="pct"/>
            <w:vAlign w:val="center"/>
          </w:tcPr>
          <w:p w14:paraId="3237537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F89453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324 998</w:t>
            </w:r>
          </w:p>
        </w:tc>
        <w:tc>
          <w:tcPr>
            <w:tcW w:w="569" w:type="pct"/>
            <w:vAlign w:val="center"/>
          </w:tcPr>
          <w:p w14:paraId="2031DC3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521 083</w:t>
            </w:r>
          </w:p>
        </w:tc>
        <w:tc>
          <w:tcPr>
            <w:tcW w:w="569" w:type="pct"/>
            <w:vAlign w:val="center"/>
          </w:tcPr>
          <w:p w14:paraId="33D95C5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596 185</w:t>
            </w:r>
          </w:p>
        </w:tc>
        <w:tc>
          <w:tcPr>
            <w:tcW w:w="495" w:type="pct"/>
            <w:vAlign w:val="center"/>
          </w:tcPr>
          <w:p w14:paraId="34B8E20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60,33%</w:t>
            </w:r>
          </w:p>
        </w:tc>
        <w:tc>
          <w:tcPr>
            <w:tcW w:w="495" w:type="pct"/>
            <w:vAlign w:val="center"/>
          </w:tcPr>
          <w:p w14:paraId="33C31D2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14,41%</w:t>
            </w:r>
          </w:p>
        </w:tc>
        <w:tc>
          <w:tcPr>
            <w:tcW w:w="494" w:type="pct"/>
            <w:vAlign w:val="center"/>
          </w:tcPr>
          <w:p w14:paraId="5F41298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83,44%</w:t>
            </w:r>
          </w:p>
        </w:tc>
      </w:tr>
      <w:tr w:rsidR="00E97CFC" w:rsidRPr="00042924" w14:paraId="4F1078AF" w14:textId="77777777" w:rsidTr="00A60F0B">
        <w:trPr>
          <w:trHeight w:val="255"/>
          <w:jc w:val="center"/>
        </w:trPr>
        <w:tc>
          <w:tcPr>
            <w:tcW w:w="178" w:type="pct"/>
            <w:vAlign w:val="center"/>
          </w:tcPr>
          <w:p w14:paraId="4EF19686"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18</w:t>
            </w:r>
          </w:p>
        </w:tc>
        <w:tc>
          <w:tcPr>
            <w:tcW w:w="1147" w:type="pct"/>
            <w:vAlign w:val="center"/>
          </w:tcPr>
          <w:p w14:paraId="25286E8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Адміністративні витрати</w:t>
            </w:r>
          </w:p>
        </w:tc>
        <w:tc>
          <w:tcPr>
            <w:tcW w:w="485" w:type="pct"/>
            <w:vAlign w:val="center"/>
          </w:tcPr>
          <w:p w14:paraId="1B25988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C581D5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2 159 849</w:t>
            </w:r>
          </w:p>
        </w:tc>
        <w:tc>
          <w:tcPr>
            <w:tcW w:w="569" w:type="pct"/>
            <w:vAlign w:val="center"/>
          </w:tcPr>
          <w:p w14:paraId="2B6AB7A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3 511 390</w:t>
            </w:r>
          </w:p>
        </w:tc>
        <w:tc>
          <w:tcPr>
            <w:tcW w:w="569" w:type="pct"/>
            <w:vAlign w:val="center"/>
          </w:tcPr>
          <w:p w14:paraId="3815213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1 805 121</w:t>
            </w:r>
          </w:p>
        </w:tc>
        <w:tc>
          <w:tcPr>
            <w:tcW w:w="495" w:type="pct"/>
            <w:vAlign w:val="center"/>
          </w:tcPr>
          <w:p w14:paraId="1DA9269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62,58%</w:t>
            </w:r>
          </w:p>
        </w:tc>
        <w:tc>
          <w:tcPr>
            <w:tcW w:w="495" w:type="pct"/>
            <w:vAlign w:val="center"/>
          </w:tcPr>
          <w:p w14:paraId="7D3AF56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-48,59%</w:t>
            </w:r>
          </w:p>
        </w:tc>
        <w:tc>
          <w:tcPr>
            <w:tcW w:w="494" w:type="pct"/>
            <w:vAlign w:val="center"/>
          </w:tcPr>
          <w:p w14:paraId="59E55C3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-16,42%</w:t>
            </w:r>
          </w:p>
        </w:tc>
      </w:tr>
      <w:tr w:rsidR="00E97CFC" w:rsidRPr="00042924" w14:paraId="524CEA0B" w14:textId="77777777" w:rsidTr="00A60F0B">
        <w:trPr>
          <w:trHeight w:val="255"/>
          <w:jc w:val="center"/>
        </w:trPr>
        <w:tc>
          <w:tcPr>
            <w:tcW w:w="178" w:type="pct"/>
            <w:vAlign w:val="center"/>
          </w:tcPr>
          <w:p w14:paraId="45F2BA53"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19</w:t>
            </w:r>
          </w:p>
        </w:tc>
        <w:tc>
          <w:tcPr>
            <w:tcW w:w="1147" w:type="pct"/>
            <w:vAlign w:val="center"/>
          </w:tcPr>
          <w:p w14:paraId="0BE2D97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Витрати на збут</w:t>
            </w:r>
          </w:p>
        </w:tc>
        <w:tc>
          <w:tcPr>
            <w:tcW w:w="485" w:type="pct"/>
            <w:vAlign w:val="center"/>
          </w:tcPr>
          <w:p w14:paraId="18BCB55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1A85BD0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48 092</w:t>
            </w:r>
          </w:p>
        </w:tc>
        <w:tc>
          <w:tcPr>
            <w:tcW w:w="569" w:type="pct"/>
            <w:vAlign w:val="center"/>
          </w:tcPr>
          <w:p w14:paraId="17B150A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109 339</w:t>
            </w:r>
          </w:p>
        </w:tc>
        <w:tc>
          <w:tcPr>
            <w:tcW w:w="569" w:type="pct"/>
            <w:vAlign w:val="center"/>
          </w:tcPr>
          <w:p w14:paraId="0870808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42 846</w:t>
            </w:r>
          </w:p>
        </w:tc>
        <w:tc>
          <w:tcPr>
            <w:tcW w:w="495" w:type="pct"/>
            <w:vAlign w:val="center"/>
          </w:tcPr>
          <w:p w14:paraId="5EFF4455"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127,35%</w:t>
            </w:r>
          </w:p>
        </w:tc>
        <w:tc>
          <w:tcPr>
            <w:tcW w:w="495" w:type="pct"/>
            <w:vAlign w:val="center"/>
          </w:tcPr>
          <w:p w14:paraId="01ED5EC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-60,81%</w:t>
            </w:r>
          </w:p>
        </w:tc>
        <w:tc>
          <w:tcPr>
            <w:tcW w:w="494" w:type="pct"/>
            <w:vAlign w:val="center"/>
          </w:tcPr>
          <w:p w14:paraId="0A5AA3D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-10,91%</w:t>
            </w:r>
          </w:p>
        </w:tc>
      </w:tr>
      <w:tr w:rsidR="00E97CFC" w:rsidRPr="00042924" w14:paraId="4DD086E2" w14:textId="77777777" w:rsidTr="00A60F0B">
        <w:trPr>
          <w:trHeight w:val="255"/>
          <w:jc w:val="center"/>
        </w:trPr>
        <w:tc>
          <w:tcPr>
            <w:tcW w:w="178" w:type="pct"/>
            <w:vAlign w:val="center"/>
          </w:tcPr>
          <w:p w14:paraId="6BBB7E87"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w:t>
            </w:r>
          </w:p>
        </w:tc>
        <w:tc>
          <w:tcPr>
            <w:tcW w:w="1147" w:type="pct"/>
            <w:vAlign w:val="center"/>
          </w:tcPr>
          <w:p w14:paraId="12F1EA1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Інші операційні витрати</w:t>
            </w:r>
          </w:p>
        </w:tc>
        <w:tc>
          <w:tcPr>
            <w:tcW w:w="485" w:type="pct"/>
            <w:vAlign w:val="center"/>
          </w:tcPr>
          <w:p w14:paraId="65AE67A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6ECBF9D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701 915</w:t>
            </w:r>
          </w:p>
        </w:tc>
        <w:tc>
          <w:tcPr>
            <w:tcW w:w="569" w:type="pct"/>
            <w:vAlign w:val="center"/>
          </w:tcPr>
          <w:p w14:paraId="223D7EF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605 870</w:t>
            </w:r>
          </w:p>
        </w:tc>
        <w:tc>
          <w:tcPr>
            <w:tcW w:w="569" w:type="pct"/>
            <w:vAlign w:val="center"/>
          </w:tcPr>
          <w:p w14:paraId="2C3C579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797 304</w:t>
            </w:r>
          </w:p>
        </w:tc>
        <w:tc>
          <w:tcPr>
            <w:tcW w:w="495" w:type="pct"/>
            <w:vAlign w:val="center"/>
          </w:tcPr>
          <w:p w14:paraId="21F92CD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-13,68%</w:t>
            </w:r>
          </w:p>
        </w:tc>
        <w:tc>
          <w:tcPr>
            <w:tcW w:w="495" w:type="pct"/>
            <w:vAlign w:val="center"/>
          </w:tcPr>
          <w:p w14:paraId="6F3A575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31,60%</w:t>
            </w:r>
          </w:p>
        </w:tc>
        <w:tc>
          <w:tcPr>
            <w:tcW w:w="494" w:type="pct"/>
            <w:vAlign w:val="center"/>
          </w:tcPr>
          <w:p w14:paraId="2C36CFD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13,59%</w:t>
            </w:r>
          </w:p>
        </w:tc>
      </w:tr>
    </w:tbl>
    <w:p w14:paraId="53D357C7" w14:textId="77777777" w:rsidR="00146ADA" w:rsidRDefault="00146ADA">
      <w:r>
        <w:br w:type="page"/>
      </w:r>
    </w:p>
    <w:tbl>
      <w:tblPr>
        <w:tblStyle w:val="a6"/>
        <w:tblW w:w="4995" w:type="pct"/>
        <w:jc w:val="center"/>
        <w:tblCellMar>
          <w:top w:w="28" w:type="dxa"/>
          <w:left w:w="28" w:type="dxa"/>
          <w:bottom w:w="28" w:type="dxa"/>
          <w:right w:w="28" w:type="dxa"/>
        </w:tblCellMar>
        <w:tblLook w:val="04A0" w:firstRow="1" w:lastRow="0" w:firstColumn="1" w:lastColumn="0" w:noHBand="0" w:noVBand="1"/>
      </w:tblPr>
      <w:tblGrid>
        <w:gridCol w:w="353"/>
        <w:gridCol w:w="2274"/>
        <w:gridCol w:w="961"/>
        <w:gridCol w:w="1126"/>
        <w:gridCol w:w="1128"/>
        <w:gridCol w:w="1128"/>
        <w:gridCol w:w="981"/>
        <w:gridCol w:w="981"/>
        <w:gridCol w:w="979"/>
      </w:tblGrid>
      <w:tr w:rsidR="003C265D" w:rsidRPr="00042924" w14:paraId="12E556C4" w14:textId="77777777" w:rsidTr="00146ADA">
        <w:trPr>
          <w:jc w:val="center"/>
        </w:trPr>
        <w:tc>
          <w:tcPr>
            <w:tcW w:w="5000" w:type="pct"/>
            <w:gridSpan w:val="9"/>
            <w:tcBorders>
              <w:top w:val="nil"/>
              <w:left w:val="nil"/>
              <w:right w:val="nil"/>
            </w:tcBorders>
          </w:tcPr>
          <w:p w14:paraId="6DDB58AA" w14:textId="77777777" w:rsidR="003C265D" w:rsidRPr="00A60F0B" w:rsidRDefault="003C265D" w:rsidP="00BE588D">
            <w:pPr>
              <w:ind w:firstLine="284"/>
              <w:jc w:val="right"/>
              <w:rPr>
                <w:rFonts w:ascii="Times New Roman" w:hAnsi="Times New Roman" w:cs="Times New Roman"/>
                <w:color w:val="000000" w:themeColor="text1"/>
                <w:sz w:val="28"/>
                <w:szCs w:val="28"/>
                <w:lang w:val="uk-UA"/>
              </w:rPr>
            </w:pPr>
            <w:r w:rsidRPr="00A60F0B">
              <w:rPr>
                <w:rFonts w:ascii="Times New Roman" w:hAnsi="Times New Roman" w:cs="Times New Roman"/>
                <w:color w:val="000000" w:themeColor="text1"/>
                <w:sz w:val="28"/>
                <w:szCs w:val="28"/>
                <w:lang w:val="uk-UA"/>
              </w:rPr>
              <w:lastRenderedPageBreak/>
              <w:t>Продовження таблиці 2.1</w:t>
            </w:r>
          </w:p>
        </w:tc>
      </w:tr>
      <w:tr w:rsidR="003C265D" w:rsidRPr="00042924" w14:paraId="2585D3D1" w14:textId="77777777" w:rsidTr="00146ADA">
        <w:trPr>
          <w:jc w:val="center"/>
        </w:trPr>
        <w:tc>
          <w:tcPr>
            <w:tcW w:w="178" w:type="pct"/>
            <w:vAlign w:val="center"/>
          </w:tcPr>
          <w:p w14:paraId="033E4AFD" w14:textId="77777777" w:rsidR="003C265D" w:rsidRPr="00042924" w:rsidRDefault="003C265D" w:rsidP="003C265D">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1</w:t>
            </w:r>
          </w:p>
        </w:tc>
        <w:tc>
          <w:tcPr>
            <w:tcW w:w="1147" w:type="pct"/>
            <w:vAlign w:val="center"/>
          </w:tcPr>
          <w:p w14:paraId="07CF7EB7"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2</w:t>
            </w:r>
          </w:p>
        </w:tc>
        <w:tc>
          <w:tcPr>
            <w:tcW w:w="485" w:type="pct"/>
            <w:vAlign w:val="center"/>
          </w:tcPr>
          <w:p w14:paraId="3E3CEBCE"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3</w:t>
            </w:r>
          </w:p>
        </w:tc>
        <w:tc>
          <w:tcPr>
            <w:tcW w:w="568" w:type="pct"/>
            <w:vAlign w:val="center"/>
          </w:tcPr>
          <w:p w14:paraId="422F0695"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4</w:t>
            </w:r>
          </w:p>
        </w:tc>
        <w:tc>
          <w:tcPr>
            <w:tcW w:w="569" w:type="pct"/>
            <w:vAlign w:val="center"/>
          </w:tcPr>
          <w:p w14:paraId="211C5AFF"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5</w:t>
            </w:r>
          </w:p>
        </w:tc>
        <w:tc>
          <w:tcPr>
            <w:tcW w:w="569" w:type="pct"/>
            <w:vAlign w:val="center"/>
          </w:tcPr>
          <w:p w14:paraId="57DBAC72"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6</w:t>
            </w:r>
          </w:p>
        </w:tc>
        <w:tc>
          <w:tcPr>
            <w:tcW w:w="495" w:type="pct"/>
            <w:vAlign w:val="center"/>
          </w:tcPr>
          <w:p w14:paraId="21737A04"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7</w:t>
            </w:r>
          </w:p>
        </w:tc>
        <w:tc>
          <w:tcPr>
            <w:tcW w:w="495" w:type="pct"/>
            <w:vAlign w:val="center"/>
          </w:tcPr>
          <w:p w14:paraId="661CB4CE"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8</w:t>
            </w:r>
          </w:p>
        </w:tc>
        <w:tc>
          <w:tcPr>
            <w:tcW w:w="494" w:type="pct"/>
            <w:vAlign w:val="center"/>
          </w:tcPr>
          <w:p w14:paraId="76513C5E" w14:textId="77777777" w:rsidR="003C265D" w:rsidRPr="00042924" w:rsidRDefault="0008453D" w:rsidP="003C265D">
            <w:pPr>
              <w:jc w:val="center"/>
              <w:rPr>
                <w:rFonts w:ascii="Times New Roman" w:hAnsi="Times New Roman" w:cs="Times New Roman"/>
                <w:color w:val="000000"/>
                <w:sz w:val="20"/>
                <w:szCs w:val="20"/>
                <w:lang w:val="uk-UA"/>
              </w:rPr>
            </w:pPr>
            <w:r>
              <w:rPr>
                <w:rFonts w:ascii="Times New Roman" w:hAnsi="Times New Roman" w:cs="Times New Roman"/>
                <w:color w:val="000000"/>
                <w:sz w:val="20"/>
                <w:szCs w:val="20"/>
                <w:lang w:val="uk-UA"/>
              </w:rPr>
              <w:t>9</w:t>
            </w:r>
          </w:p>
        </w:tc>
      </w:tr>
      <w:tr w:rsidR="00E97CFC" w:rsidRPr="00042924" w14:paraId="6F1432CB" w14:textId="77777777" w:rsidTr="00146ADA">
        <w:trPr>
          <w:jc w:val="center"/>
        </w:trPr>
        <w:tc>
          <w:tcPr>
            <w:tcW w:w="178" w:type="pct"/>
            <w:vAlign w:val="center"/>
          </w:tcPr>
          <w:p w14:paraId="1A1BC189"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21</w:t>
            </w:r>
          </w:p>
        </w:tc>
        <w:tc>
          <w:tcPr>
            <w:tcW w:w="1147" w:type="pct"/>
            <w:vAlign w:val="center"/>
          </w:tcPr>
          <w:p w14:paraId="35DC589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Фінансовий результат від операційної діяльності</w:t>
            </w:r>
          </w:p>
        </w:tc>
        <w:tc>
          <w:tcPr>
            <w:tcW w:w="485" w:type="pct"/>
            <w:vAlign w:val="center"/>
          </w:tcPr>
          <w:p w14:paraId="614099E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065D6AC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2 066 296</w:t>
            </w:r>
          </w:p>
        </w:tc>
        <w:tc>
          <w:tcPr>
            <w:tcW w:w="569" w:type="pct"/>
            <w:vAlign w:val="center"/>
          </w:tcPr>
          <w:p w14:paraId="48D6BDD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31 036 335</w:t>
            </w:r>
          </w:p>
        </w:tc>
        <w:tc>
          <w:tcPr>
            <w:tcW w:w="569" w:type="pct"/>
            <w:vAlign w:val="center"/>
          </w:tcPr>
          <w:p w14:paraId="713DE7F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-14 060 397</w:t>
            </w:r>
          </w:p>
        </w:tc>
        <w:tc>
          <w:tcPr>
            <w:tcW w:w="495" w:type="pct"/>
            <w:vAlign w:val="center"/>
          </w:tcPr>
          <w:p w14:paraId="6EF939D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1402,03%</w:t>
            </w:r>
          </w:p>
        </w:tc>
        <w:tc>
          <w:tcPr>
            <w:tcW w:w="495" w:type="pct"/>
            <w:vAlign w:val="center"/>
          </w:tcPr>
          <w:p w14:paraId="6A2D973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-145,30%</w:t>
            </w:r>
          </w:p>
        </w:tc>
        <w:tc>
          <w:tcPr>
            <w:tcW w:w="494" w:type="pct"/>
            <w:vAlign w:val="center"/>
          </w:tcPr>
          <w:p w14:paraId="72101C2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-780,46%</w:t>
            </w:r>
          </w:p>
        </w:tc>
      </w:tr>
      <w:tr w:rsidR="00E97CFC" w:rsidRPr="00042924" w14:paraId="4691CFAA" w14:textId="77777777" w:rsidTr="00146ADA">
        <w:trPr>
          <w:jc w:val="center"/>
        </w:trPr>
        <w:tc>
          <w:tcPr>
            <w:tcW w:w="178" w:type="pct"/>
            <w:vAlign w:val="center"/>
          </w:tcPr>
          <w:p w14:paraId="74ED8C0E"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22</w:t>
            </w:r>
          </w:p>
        </w:tc>
        <w:tc>
          <w:tcPr>
            <w:tcW w:w="1147" w:type="pct"/>
            <w:vAlign w:val="center"/>
          </w:tcPr>
          <w:p w14:paraId="5822EE1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Фінансові витрати</w:t>
            </w:r>
          </w:p>
        </w:tc>
        <w:tc>
          <w:tcPr>
            <w:tcW w:w="485" w:type="pct"/>
            <w:vAlign w:val="center"/>
          </w:tcPr>
          <w:p w14:paraId="4F14F60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722FF05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1 240 995</w:t>
            </w:r>
          </w:p>
        </w:tc>
        <w:tc>
          <w:tcPr>
            <w:tcW w:w="569" w:type="pct"/>
            <w:vAlign w:val="center"/>
          </w:tcPr>
          <w:p w14:paraId="34242C7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542 670</w:t>
            </w:r>
          </w:p>
        </w:tc>
        <w:tc>
          <w:tcPr>
            <w:tcW w:w="569" w:type="pct"/>
            <w:vAlign w:val="center"/>
          </w:tcPr>
          <w:p w14:paraId="6ACAE2F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1 155 305</w:t>
            </w:r>
          </w:p>
        </w:tc>
        <w:tc>
          <w:tcPr>
            <w:tcW w:w="495" w:type="pct"/>
            <w:vAlign w:val="center"/>
          </w:tcPr>
          <w:p w14:paraId="047202B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-56,27%</w:t>
            </w:r>
          </w:p>
        </w:tc>
        <w:tc>
          <w:tcPr>
            <w:tcW w:w="495" w:type="pct"/>
            <w:vAlign w:val="center"/>
          </w:tcPr>
          <w:p w14:paraId="24DFBA71"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112,89%</w:t>
            </w:r>
          </w:p>
        </w:tc>
        <w:tc>
          <w:tcPr>
            <w:tcW w:w="494" w:type="pct"/>
            <w:vAlign w:val="center"/>
          </w:tcPr>
          <w:p w14:paraId="36005A3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-6,90%</w:t>
            </w:r>
          </w:p>
        </w:tc>
      </w:tr>
      <w:tr w:rsidR="00E97CFC" w:rsidRPr="00042924" w14:paraId="15568674" w14:textId="77777777" w:rsidTr="00146ADA">
        <w:trPr>
          <w:jc w:val="center"/>
        </w:trPr>
        <w:tc>
          <w:tcPr>
            <w:tcW w:w="178" w:type="pct"/>
            <w:vAlign w:val="center"/>
          </w:tcPr>
          <w:p w14:paraId="62D884DF"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23</w:t>
            </w:r>
          </w:p>
        </w:tc>
        <w:tc>
          <w:tcPr>
            <w:tcW w:w="1147" w:type="pct"/>
            <w:vAlign w:val="center"/>
          </w:tcPr>
          <w:p w14:paraId="276E503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 xml:space="preserve">Фінансовий результат до </w:t>
            </w:r>
            <w:r w:rsidR="006728DC" w:rsidRPr="00042924">
              <w:rPr>
                <w:rFonts w:ascii="Times New Roman" w:hAnsi="Times New Roman" w:cs="Times New Roman"/>
                <w:color w:val="000000" w:themeColor="text1"/>
                <w:sz w:val="20"/>
                <w:szCs w:val="20"/>
                <w:lang w:val="uk-UA"/>
              </w:rPr>
              <w:t>оподаткування</w:t>
            </w:r>
          </w:p>
        </w:tc>
        <w:tc>
          <w:tcPr>
            <w:tcW w:w="485" w:type="pct"/>
            <w:vAlign w:val="center"/>
          </w:tcPr>
          <w:p w14:paraId="4E08AC8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3DCF2FE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847 674</w:t>
            </w:r>
          </w:p>
        </w:tc>
        <w:tc>
          <w:tcPr>
            <w:tcW w:w="569" w:type="pct"/>
            <w:vAlign w:val="center"/>
          </w:tcPr>
          <w:p w14:paraId="506E671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30 688 796</w:t>
            </w:r>
          </w:p>
        </w:tc>
        <w:tc>
          <w:tcPr>
            <w:tcW w:w="569" w:type="pct"/>
            <w:vAlign w:val="center"/>
          </w:tcPr>
          <w:p w14:paraId="3676E9C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-51 360 445</w:t>
            </w:r>
          </w:p>
        </w:tc>
        <w:tc>
          <w:tcPr>
            <w:tcW w:w="495" w:type="pct"/>
            <w:vAlign w:val="center"/>
          </w:tcPr>
          <w:p w14:paraId="0AF439A3"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3520,35%</w:t>
            </w:r>
          </w:p>
        </w:tc>
        <w:tc>
          <w:tcPr>
            <w:tcW w:w="495" w:type="pct"/>
            <w:vAlign w:val="center"/>
          </w:tcPr>
          <w:p w14:paraId="5653E5B9"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-267,36%</w:t>
            </w:r>
          </w:p>
        </w:tc>
        <w:tc>
          <w:tcPr>
            <w:tcW w:w="494" w:type="pct"/>
            <w:vAlign w:val="center"/>
          </w:tcPr>
          <w:p w14:paraId="6BA0DD4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-6158,99%</w:t>
            </w:r>
          </w:p>
        </w:tc>
      </w:tr>
      <w:tr w:rsidR="00E97CFC" w:rsidRPr="00042924" w14:paraId="6BE3657A" w14:textId="77777777" w:rsidTr="00146ADA">
        <w:trPr>
          <w:jc w:val="center"/>
        </w:trPr>
        <w:tc>
          <w:tcPr>
            <w:tcW w:w="178" w:type="pct"/>
            <w:vAlign w:val="center"/>
          </w:tcPr>
          <w:p w14:paraId="3370BB86"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24</w:t>
            </w:r>
          </w:p>
        </w:tc>
        <w:tc>
          <w:tcPr>
            <w:tcW w:w="1147" w:type="pct"/>
            <w:vAlign w:val="center"/>
          </w:tcPr>
          <w:p w14:paraId="06D6E40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Чистий фінансовий результат</w:t>
            </w:r>
          </w:p>
        </w:tc>
        <w:tc>
          <w:tcPr>
            <w:tcW w:w="485" w:type="pct"/>
            <w:vAlign w:val="center"/>
          </w:tcPr>
          <w:p w14:paraId="7CF71DB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2F3CA7CA"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740 902</w:t>
            </w:r>
          </w:p>
        </w:tc>
        <w:tc>
          <w:tcPr>
            <w:tcW w:w="569" w:type="pct"/>
            <w:vAlign w:val="center"/>
          </w:tcPr>
          <w:p w14:paraId="44FDB8D7"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25 216 068</w:t>
            </w:r>
          </w:p>
        </w:tc>
        <w:tc>
          <w:tcPr>
            <w:tcW w:w="569" w:type="pct"/>
            <w:vAlign w:val="center"/>
          </w:tcPr>
          <w:p w14:paraId="54A8DC62"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-49 009 104</w:t>
            </w:r>
          </w:p>
        </w:tc>
        <w:tc>
          <w:tcPr>
            <w:tcW w:w="495" w:type="pct"/>
            <w:vAlign w:val="center"/>
          </w:tcPr>
          <w:p w14:paraId="6D1B71F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3303,43%</w:t>
            </w:r>
          </w:p>
        </w:tc>
        <w:tc>
          <w:tcPr>
            <w:tcW w:w="495" w:type="pct"/>
            <w:vAlign w:val="center"/>
          </w:tcPr>
          <w:p w14:paraId="50F107AC"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-294,36%</w:t>
            </w:r>
          </w:p>
        </w:tc>
        <w:tc>
          <w:tcPr>
            <w:tcW w:w="494" w:type="pct"/>
            <w:vAlign w:val="center"/>
          </w:tcPr>
          <w:p w14:paraId="49C028A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-6714,79%</w:t>
            </w:r>
          </w:p>
        </w:tc>
      </w:tr>
      <w:tr w:rsidR="00E97CFC" w:rsidRPr="00042924" w14:paraId="23B06598" w14:textId="77777777" w:rsidTr="00146ADA">
        <w:trPr>
          <w:jc w:val="center"/>
        </w:trPr>
        <w:tc>
          <w:tcPr>
            <w:tcW w:w="178" w:type="pct"/>
            <w:vAlign w:val="center"/>
          </w:tcPr>
          <w:p w14:paraId="0DB8F3FB"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w:t>
            </w:r>
          </w:p>
        </w:tc>
        <w:tc>
          <w:tcPr>
            <w:tcW w:w="1147" w:type="pct"/>
            <w:vAlign w:val="center"/>
          </w:tcPr>
          <w:p w14:paraId="0B74A500"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Оборотність оборотних активів</w:t>
            </w:r>
          </w:p>
        </w:tc>
        <w:tc>
          <w:tcPr>
            <w:tcW w:w="485" w:type="pct"/>
            <w:vAlign w:val="center"/>
          </w:tcPr>
          <w:p w14:paraId="14EAA90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об.</w:t>
            </w:r>
          </w:p>
        </w:tc>
        <w:tc>
          <w:tcPr>
            <w:tcW w:w="568" w:type="pct"/>
            <w:vAlign w:val="center"/>
          </w:tcPr>
          <w:p w14:paraId="0964061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110,22</w:t>
            </w:r>
          </w:p>
        </w:tc>
        <w:tc>
          <w:tcPr>
            <w:tcW w:w="569" w:type="pct"/>
            <w:vAlign w:val="center"/>
          </w:tcPr>
          <w:p w14:paraId="5D4AFDF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124,60</w:t>
            </w:r>
          </w:p>
        </w:tc>
        <w:tc>
          <w:tcPr>
            <w:tcW w:w="569" w:type="pct"/>
            <w:vAlign w:val="center"/>
          </w:tcPr>
          <w:p w14:paraId="20FEDE5B"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309,39</w:t>
            </w:r>
          </w:p>
        </w:tc>
        <w:tc>
          <w:tcPr>
            <w:tcW w:w="495" w:type="pct"/>
            <w:vAlign w:val="center"/>
          </w:tcPr>
          <w:p w14:paraId="6CA4FDC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13,05%</w:t>
            </w:r>
          </w:p>
        </w:tc>
        <w:tc>
          <w:tcPr>
            <w:tcW w:w="495" w:type="pct"/>
            <w:vAlign w:val="center"/>
          </w:tcPr>
          <w:p w14:paraId="10A9C33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148,32%</w:t>
            </w:r>
          </w:p>
        </w:tc>
        <w:tc>
          <w:tcPr>
            <w:tcW w:w="494" w:type="pct"/>
            <w:vAlign w:val="center"/>
          </w:tcPr>
          <w:p w14:paraId="5BB401A8"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180,71%</w:t>
            </w:r>
          </w:p>
        </w:tc>
      </w:tr>
      <w:tr w:rsidR="00E97CFC" w:rsidRPr="00042924" w14:paraId="29CDED72" w14:textId="77777777" w:rsidTr="00146ADA">
        <w:trPr>
          <w:jc w:val="center"/>
        </w:trPr>
        <w:tc>
          <w:tcPr>
            <w:tcW w:w="178" w:type="pct"/>
            <w:vAlign w:val="center"/>
          </w:tcPr>
          <w:p w14:paraId="413650B6" w14:textId="77777777" w:rsidR="00E97CFC" w:rsidRPr="00042924" w:rsidRDefault="00C51637"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26</w:t>
            </w:r>
          </w:p>
        </w:tc>
        <w:tc>
          <w:tcPr>
            <w:tcW w:w="1147" w:type="pct"/>
            <w:vAlign w:val="center"/>
          </w:tcPr>
          <w:p w14:paraId="5BC31D73" w14:textId="77777777" w:rsidR="00E97CFC" w:rsidRPr="00042924" w:rsidRDefault="00C24141"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Фондовіддача</w:t>
            </w:r>
          </w:p>
        </w:tc>
        <w:tc>
          <w:tcPr>
            <w:tcW w:w="485" w:type="pct"/>
            <w:vAlign w:val="center"/>
          </w:tcPr>
          <w:p w14:paraId="674D9B9E"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грн</w:t>
            </w:r>
          </w:p>
        </w:tc>
        <w:tc>
          <w:tcPr>
            <w:tcW w:w="568" w:type="pct"/>
            <w:vAlign w:val="center"/>
          </w:tcPr>
          <w:p w14:paraId="2757EA3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1,22</w:t>
            </w:r>
          </w:p>
        </w:tc>
        <w:tc>
          <w:tcPr>
            <w:tcW w:w="569" w:type="pct"/>
            <w:vAlign w:val="center"/>
          </w:tcPr>
          <w:p w14:paraId="72C2314D"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2,10</w:t>
            </w:r>
          </w:p>
        </w:tc>
        <w:tc>
          <w:tcPr>
            <w:tcW w:w="569" w:type="pct"/>
            <w:vAlign w:val="center"/>
          </w:tcPr>
          <w:p w14:paraId="1EEA3C94"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2,31</w:t>
            </w:r>
          </w:p>
        </w:tc>
        <w:tc>
          <w:tcPr>
            <w:tcW w:w="495" w:type="pct"/>
            <w:vAlign w:val="center"/>
          </w:tcPr>
          <w:p w14:paraId="1B22B8E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72,31%</w:t>
            </w:r>
          </w:p>
        </w:tc>
        <w:tc>
          <w:tcPr>
            <w:tcW w:w="495" w:type="pct"/>
            <w:vAlign w:val="center"/>
          </w:tcPr>
          <w:p w14:paraId="1E1D6106"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9,62%</w:t>
            </w:r>
          </w:p>
        </w:tc>
        <w:tc>
          <w:tcPr>
            <w:tcW w:w="494" w:type="pct"/>
            <w:vAlign w:val="center"/>
          </w:tcPr>
          <w:p w14:paraId="681FDF7F" w14:textId="77777777" w:rsidR="00E97CFC" w:rsidRPr="00042924" w:rsidRDefault="00E97CFC" w:rsidP="00E97CF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88,89%</w:t>
            </w:r>
          </w:p>
        </w:tc>
      </w:tr>
      <w:tr w:rsidR="0054254D" w:rsidRPr="00042924" w14:paraId="6A89CD11" w14:textId="77777777" w:rsidTr="00146ADA">
        <w:trPr>
          <w:jc w:val="center"/>
        </w:trPr>
        <w:tc>
          <w:tcPr>
            <w:tcW w:w="178" w:type="pct"/>
            <w:vAlign w:val="center"/>
          </w:tcPr>
          <w:p w14:paraId="5C1AEDE0"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27</w:t>
            </w:r>
          </w:p>
        </w:tc>
        <w:tc>
          <w:tcPr>
            <w:tcW w:w="1147" w:type="pct"/>
            <w:vAlign w:val="center"/>
          </w:tcPr>
          <w:p w14:paraId="1024A4D0"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Середньоспискова чисельність  працівників</w:t>
            </w:r>
          </w:p>
        </w:tc>
        <w:tc>
          <w:tcPr>
            <w:tcW w:w="485" w:type="pct"/>
            <w:vAlign w:val="center"/>
          </w:tcPr>
          <w:p w14:paraId="68D36B65"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чол.</w:t>
            </w:r>
          </w:p>
        </w:tc>
        <w:tc>
          <w:tcPr>
            <w:tcW w:w="568" w:type="pct"/>
            <w:vAlign w:val="center"/>
          </w:tcPr>
          <w:p w14:paraId="11CBE580"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19504</w:t>
            </w:r>
          </w:p>
        </w:tc>
        <w:tc>
          <w:tcPr>
            <w:tcW w:w="569" w:type="pct"/>
            <w:vAlign w:val="center"/>
          </w:tcPr>
          <w:p w14:paraId="563010E0"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18579</w:t>
            </w:r>
          </w:p>
        </w:tc>
        <w:tc>
          <w:tcPr>
            <w:tcW w:w="569" w:type="pct"/>
            <w:vAlign w:val="center"/>
          </w:tcPr>
          <w:p w14:paraId="0D04561E"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17221</w:t>
            </w:r>
          </w:p>
        </w:tc>
        <w:tc>
          <w:tcPr>
            <w:tcW w:w="495" w:type="pct"/>
            <w:vAlign w:val="center"/>
          </w:tcPr>
          <w:p w14:paraId="7A687039"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-4,74%</w:t>
            </w:r>
          </w:p>
        </w:tc>
        <w:tc>
          <w:tcPr>
            <w:tcW w:w="495" w:type="pct"/>
            <w:vAlign w:val="center"/>
          </w:tcPr>
          <w:p w14:paraId="13A624CF"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-7,31%</w:t>
            </w:r>
          </w:p>
        </w:tc>
        <w:tc>
          <w:tcPr>
            <w:tcW w:w="494" w:type="pct"/>
            <w:vAlign w:val="center"/>
          </w:tcPr>
          <w:p w14:paraId="67DED477"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-11,71%</w:t>
            </w:r>
          </w:p>
        </w:tc>
      </w:tr>
      <w:tr w:rsidR="0000053B" w:rsidRPr="00042924" w14:paraId="1761785A" w14:textId="77777777" w:rsidTr="00146ADA">
        <w:trPr>
          <w:jc w:val="center"/>
        </w:trPr>
        <w:tc>
          <w:tcPr>
            <w:tcW w:w="178" w:type="pct"/>
            <w:vAlign w:val="center"/>
          </w:tcPr>
          <w:p w14:paraId="438CFE56" w14:textId="77777777" w:rsidR="0000053B" w:rsidRPr="00042924" w:rsidRDefault="00C51637"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28</w:t>
            </w:r>
          </w:p>
        </w:tc>
        <w:tc>
          <w:tcPr>
            <w:tcW w:w="1147" w:type="pct"/>
            <w:vAlign w:val="center"/>
          </w:tcPr>
          <w:p w14:paraId="1305F812"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Витрати на оплату праці</w:t>
            </w:r>
          </w:p>
        </w:tc>
        <w:tc>
          <w:tcPr>
            <w:tcW w:w="485" w:type="pct"/>
            <w:vAlign w:val="center"/>
          </w:tcPr>
          <w:p w14:paraId="670A814F"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 грн</w:t>
            </w:r>
          </w:p>
        </w:tc>
        <w:tc>
          <w:tcPr>
            <w:tcW w:w="568" w:type="pct"/>
            <w:vAlign w:val="center"/>
          </w:tcPr>
          <w:p w14:paraId="190FAB70"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4 625 350</w:t>
            </w:r>
          </w:p>
        </w:tc>
        <w:tc>
          <w:tcPr>
            <w:tcW w:w="569" w:type="pct"/>
            <w:vAlign w:val="center"/>
          </w:tcPr>
          <w:p w14:paraId="0930A535"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5 041 382</w:t>
            </w:r>
          </w:p>
        </w:tc>
        <w:tc>
          <w:tcPr>
            <w:tcW w:w="569" w:type="pct"/>
            <w:vAlign w:val="center"/>
          </w:tcPr>
          <w:p w14:paraId="2A3E9A9A"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4 445 356</w:t>
            </w:r>
          </w:p>
        </w:tc>
        <w:tc>
          <w:tcPr>
            <w:tcW w:w="495" w:type="pct"/>
            <w:vAlign w:val="center"/>
          </w:tcPr>
          <w:p w14:paraId="3EBDD033"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8,99%</w:t>
            </w:r>
          </w:p>
        </w:tc>
        <w:tc>
          <w:tcPr>
            <w:tcW w:w="495" w:type="pct"/>
            <w:vAlign w:val="center"/>
          </w:tcPr>
          <w:p w14:paraId="12E90E98"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-11,82%</w:t>
            </w:r>
          </w:p>
        </w:tc>
        <w:tc>
          <w:tcPr>
            <w:tcW w:w="494" w:type="pct"/>
            <w:vAlign w:val="center"/>
          </w:tcPr>
          <w:p w14:paraId="11E19D6F" w14:textId="77777777" w:rsidR="0000053B" w:rsidRPr="00042924" w:rsidRDefault="0000053B" w:rsidP="000005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-3,89%</w:t>
            </w:r>
          </w:p>
        </w:tc>
      </w:tr>
      <w:tr w:rsidR="0054254D" w:rsidRPr="00042924" w14:paraId="3CF80924" w14:textId="77777777" w:rsidTr="00146ADA">
        <w:trPr>
          <w:jc w:val="center"/>
        </w:trPr>
        <w:tc>
          <w:tcPr>
            <w:tcW w:w="178" w:type="pct"/>
            <w:vAlign w:val="center"/>
          </w:tcPr>
          <w:p w14:paraId="1152E40C"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29</w:t>
            </w:r>
          </w:p>
        </w:tc>
        <w:tc>
          <w:tcPr>
            <w:tcW w:w="1147" w:type="pct"/>
            <w:vAlign w:val="center"/>
          </w:tcPr>
          <w:p w14:paraId="3403618C"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Продуктивність праці</w:t>
            </w:r>
          </w:p>
        </w:tc>
        <w:tc>
          <w:tcPr>
            <w:tcW w:w="485" w:type="pct"/>
            <w:vAlign w:val="center"/>
          </w:tcPr>
          <w:p w14:paraId="00C212C0"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тис.грн/</w:t>
            </w:r>
          </w:p>
          <w:p w14:paraId="30560FE4" w14:textId="77777777" w:rsidR="0054254D" w:rsidRPr="00042924" w:rsidRDefault="0054254D" w:rsidP="0054254D">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люд.</w:t>
            </w:r>
          </w:p>
        </w:tc>
        <w:tc>
          <w:tcPr>
            <w:tcW w:w="568" w:type="pct"/>
            <w:vAlign w:val="center"/>
          </w:tcPr>
          <w:p w14:paraId="70AC63E2"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325,56</w:t>
            </w:r>
          </w:p>
        </w:tc>
        <w:tc>
          <w:tcPr>
            <w:tcW w:w="569" w:type="pct"/>
            <w:vAlign w:val="center"/>
          </w:tcPr>
          <w:p w14:paraId="2080DA70"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588,32</w:t>
            </w:r>
          </w:p>
        </w:tc>
        <w:tc>
          <w:tcPr>
            <w:tcW w:w="569" w:type="pct"/>
            <w:vAlign w:val="center"/>
          </w:tcPr>
          <w:p w14:paraId="0A48CA31"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254,45</w:t>
            </w:r>
          </w:p>
        </w:tc>
        <w:tc>
          <w:tcPr>
            <w:tcW w:w="495" w:type="pct"/>
            <w:vAlign w:val="center"/>
          </w:tcPr>
          <w:p w14:paraId="25816290"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80,71%</w:t>
            </w:r>
          </w:p>
        </w:tc>
        <w:tc>
          <w:tcPr>
            <w:tcW w:w="495" w:type="pct"/>
            <w:vAlign w:val="center"/>
          </w:tcPr>
          <w:p w14:paraId="6FAF00F5"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-56,75%</w:t>
            </w:r>
          </w:p>
        </w:tc>
        <w:tc>
          <w:tcPr>
            <w:tcW w:w="494" w:type="pct"/>
            <w:vAlign w:val="center"/>
          </w:tcPr>
          <w:p w14:paraId="27C49E42" w14:textId="77777777" w:rsidR="0054254D" w:rsidRPr="00042924" w:rsidRDefault="0054254D" w:rsidP="0054254D">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-21,84%</w:t>
            </w:r>
          </w:p>
        </w:tc>
      </w:tr>
    </w:tbl>
    <w:p w14:paraId="128388A4" w14:textId="77777777" w:rsidR="00E97CFC" w:rsidRPr="00042924" w:rsidRDefault="00E97CFC" w:rsidP="00E97CFC">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 xml:space="preserve">Джерело: </w:t>
      </w:r>
      <w:r w:rsidR="00EB40FC" w:rsidRPr="00E32FFC">
        <w:rPr>
          <w:rFonts w:ascii="Times New Roman" w:hAnsi="Times New Roman" w:cs="Times New Roman"/>
          <w:sz w:val="28"/>
          <w:szCs w:val="28"/>
          <w:lang w:val="uk-UA"/>
        </w:rPr>
        <w:t>складено автором на основі</w:t>
      </w:r>
      <w:r w:rsidRPr="00042924">
        <w:rPr>
          <w:rFonts w:ascii="Times New Roman" w:eastAsia="Times New Roman" w:hAnsi="Times New Roman" w:cs="Times New Roman"/>
          <w:kern w:val="0"/>
          <w:sz w:val="28"/>
          <w:szCs w:val="28"/>
          <w:lang w:val="uk-UA"/>
          <w14:ligatures w14:val="none"/>
        </w:rPr>
        <w:t xml:space="preserve"> </w:t>
      </w:r>
      <w:r w:rsidR="00EB3042" w:rsidRPr="00042924">
        <w:rPr>
          <w:rFonts w:ascii="Times New Roman" w:eastAsia="Times New Roman" w:hAnsi="Times New Roman" w:cs="Times New Roman"/>
          <w:sz w:val="28"/>
          <w:szCs w:val="28"/>
          <w:lang w:val="uk-UA"/>
        </w:rPr>
        <w:t>[33]</w:t>
      </w:r>
    </w:p>
    <w:bookmarkEnd w:id="11"/>
    <w:p w14:paraId="5B1DB7E5" w14:textId="77777777" w:rsidR="00E97CFC" w:rsidRPr="00042924" w:rsidRDefault="00E97CFC" w:rsidP="00E97CFC">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p>
    <w:p w14:paraId="1E24AE80"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 xml:space="preserve">Аналіз основних економічних показників ПАТ </w:t>
      </w:r>
      <w:r w:rsidR="003D7C05"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color w:val="000000" w:themeColor="text1"/>
          <w:spacing w:val="-1"/>
          <w:kern w:val="0"/>
          <w:sz w:val="28"/>
          <w:szCs w:val="28"/>
          <w:lang w:val="uk-UA"/>
          <w14:ligatures w14:val="none"/>
        </w:rPr>
        <w:t xml:space="preserve"> у динаміці 2020-2022 років </w:t>
      </w:r>
      <w:r w:rsidR="009D732D">
        <w:rPr>
          <w:rFonts w:ascii="Times New Roman" w:eastAsia="Times New Roman" w:hAnsi="Times New Roman" w:cs="Times New Roman"/>
          <w:color w:val="000000" w:themeColor="text1"/>
          <w:spacing w:val="-1"/>
          <w:kern w:val="0"/>
          <w:sz w:val="28"/>
          <w:szCs w:val="28"/>
          <w:lang w:val="uk-UA"/>
          <w14:ligatures w14:val="none"/>
        </w:rPr>
        <w:t>свідчить про</w:t>
      </w:r>
      <w:r w:rsidRPr="00042924">
        <w:rPr>
          <w:rFonts w:ascii="Times New Roman" w:eastAsia="Times New Roman" w:hAnsi="Times New Roman" w:cs="Times New Roman"/>
          <w:color w:val="000000" w:themeColor="text1"/>
          <w:spacing w:val="-1"/>
          <w:kern w:val="0"/>
          <w:sz w:val="28"/>
          <w:szCs w:val="28"/>
          <w:lang w:val="uk-UA"/>
          <w14:ligatures w14:val="none"/>
        </w:rPr>
        <w:t xml:space="preserve"> різке погіршення результативності, ефективності та фінансової стійкості підприємства. Зокрема, чистий збиток у 2022 році зріс до катастрофічних 49 млрд грн порівняно з чистим прибутком 741 млн грн у 2020 році.</w:t>
      </w:r>
    </w:p>
    <w:p w14:paraId="004723F8"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 xml:space="preserve">Причиною стало різке скорочення доходів від реалізації на 30,99%, що пов'язано як з падінням світового попиту на металопродукцію через уповільнення глобальної економіки, так і з втратою частини внутрішнього ринку внаслідок війни на території України. При цьому підприємство не змогло оперативно перебудувати логістику та канали збуту, що </w:t>
      </w:r>
      <w:r w:rsidR="00182610">
        <w:rPr>
          <w:rFonts w:ascii="Times New Roman" w:eastAsia="Times New Roman" w:hAnsi="Times New Roman" w:cs="Times New Roman"/>
          <w:color w:val="000000" w:themeColor="text1"/>
          <w:spacing w:val="-1"/>
          <w:kern w:val="0"/>
          <w:sz w:val="28"/>
          <w:szCs w:val="28"/>
          <w:lang w:val="uk-UA"/>
          <w14:ligatures w14:val="none"/>
        </w:rPr>
        <w:t>підтверджує</w:t>
      </w:r>
      <w:r w:rsidRPr="00042924">
        <w:rPr>
          <w:rFonts w:ascii="Times New Roman" w:eastAsia="Times New Roman" w:hAnsi="Times New Roman" w:cs="Times New Roman"/>
          <w:color w:val="000000" w:themeColor="text1"/>
          <w:spacing w:val="-1"/>
          <w:kern w:val="0"/>
          <w:sz w:val="28"/>
          <w:szCs w:val="28"/>
          <w:lang w:val="uk-UA"/>
          <w14:ligatures w14:val="none"/>
        </w:rPr>
        <w:t xml:space="preserve"> недостатню стратегічну гнучкість.</w:t>
      </w:r>
    </w:p>
    <w:p w14:paraId="443B8ECD"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 xml:space="preserve">Крім того, скорочення витрат відбувалося набагато повільнішими темпами, ніж падіння доходів. Зокрема, собівартість зменшилась лише на 5,12%. Це </w:t>
      </w:r>
      <w:r w:rsidR="004E6238">
        <w:rPr>
          <w:rFonts w:ascii="Times New Roman" w:eastAsia="Times New Roman" w:hAnsi="Times New Roman" w:cs="Times New Roman"/>
          <w:color w:val="000000" w:themeColor="text1"/>
          <w:spacing w:val="-1"/>
          <w:kern w:val="0"/>
          <w:sz w:val="28"/>
          <w:szCs w:val="28"/>
          <w:lang w:val="uk-UA"/>
          <w14:ligatures w14:val="none"/>
        </w:rPr>
        <w:t>вказує на</w:t>
      </w:r>
      <w:r w:rsidRPr="00042924">
        <w:rPr>
          <w:rFonts w:ascii="Times New Roman" w:eastAsia="Times New Roman" w:hAnsi="Times New Roman" w:cs="Times New Roman"/>
          <w:color w:val="000000" w:themeColor="text1"/>
          <w:spacing w:val="-1"/>
          <w:kern w:val="0"/>
          <w:sz w:val="28"/>
          <w:szCs w:val="28"/>
          <w:lang w:val="uk-UA"/>
          <w14:ligatures w14:val="none"/>
        </w:rPr>
        <w:t xml:space="preserve"> значні резерви підвищення операційної ефективності за рахунок оптимізації структури витрат.</w:t>
      </w:r>
    </w:p>
    <w:p w14:paraId="3BE220AC" w14:textId="77777777" w:rsidR="00E97CFC" w:rsidRPr="00042924" w:rsidRDefault="00FB4D6B"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FB4D6B">
        <w:rPr>
          <w:rFonts w:ascii="Times New Roman" w:eastAsia="Times New Roman" w:hAnsi="Times New Roman" w:cs="Times New Roman"/>
          <w:color w:val="000000" w:themeColor="text1"/>
          <w:spacing w:val="-1"/>
          <w:kern w:val="0"/>
          <w:sz w:val="28"/>
          <w:szCs w:val="28"/>
          <w:lang w:val="uk-UA"/>
          <w14:ligatures w14:val="none"/>
        </w:rPr>
        <w:t xml:space="preserve">Швидкість обертання </w:t>
      </w:r>
      <w:r>
        <w:rPr>
          <w:rFonts w:ascii="Times New Roman" w:eastAsia="Times New Roman" w:hAnsi="Times New Roman" w:cs="Times New Roman"/>
          <w:color w:val="000000" w:themeColor="text1"/>
          <w:spacing w:val="-1"/>
          <w:kern w:val="0"/>
          <w:sz w:val="28"/>
          <w:szCs w:val="28"/>
          <w:lang w:val="uk-UA"/>
          <w14:ligatures w14:val="none"/>
        </w:rPr>
        <w:t>о</w:t>
      </w:r>
      <w:r w:rsidR="00E97CFC" w:rsidRPr="00042924">
        <w:rPr>
          <w:rFonts w:ascii="Times New Roman" w:eastAsia="Times New Roman" w:hAnsi="Times New Roman" w:cs="Times New Roman"/>
          <w:color w:val="000000" w:themeColor="text1"/>
          <w:spacing w:val="-1"/>
          <w:kern w:val="0"/>
          <w:sz w:val="28"/>
          <w:szCs w:val="28"/>
          <w:lang w:val="uk-UA"/>
          <w14:ligatures w14:val="none"/>
        </w:rPr>
        <w:t>боротн</w:t>
      </w:r>
      <w:r>
        <w:rPr>
          <w:rFonts w:ascii="Times New Roman" w:eastAsia="Times New Roman" w:hAnsi="Times New Roman" w:cs="Times New Roman"/>
          <w:color w:val="000000" w:themeColor="text1"/>
          <w:spacing w:val="-1"/>
          <w:kern w:val="0"/>
          <w:sz w:val="28"/>
          <w:szCs w:val="28"/>
          <w:lang w:val="uk-UA"/>
          <w14:ligatures w14:val="none"/>
        </w:rPr>
        <w:t>их</w:t>
      </w:r>
      <w:r w:rsidR="00E97CFC" w:rsidRPr="00042924">
        <w:rPr>
          <w:rFonts w:ascii="Times New Roman" w:eastAsia="Times New Roman" w:hAnsi="Times New Roman" w:cs="Times New Roman"/>
          <w:color w:val="000000" w:themeColor="text1"/>
          <w:spacing w:val="-1"/>
          <w:kern w:val="0"/>
          <w:sz w:val="28"/>
          <w:szCs w:val="28"/>
          <w:lang w:val="uk-UA"/>
          <w14:ligatures w14:val="none"/>
        </w:rPr>
        <w:t xml:space="preserve"> актив</w:t>
      </w:r>
      <w:r>
        <w:rPr>
          <w:rFonts w:ascii="Times New Roman" w:eastAsia="Times New Roman" w:hAnsi="Times New Roman" w:cs="Times New Roman"/>
          <w:color w:val="000000" w:themeColor="text1"/>
          <w:spacing w:val="-1"/>
          <w:kern w:val="0"/>
          <w:sz w:val="28"/>
          <w:szCs w:val="28"/>
          <w:lang w:val="uk-UA"/>
          <w14:ligatures w14:val="none"/>
        </w:rPr>
        <w:t>ів</w:t>
      </w:r>
      <w:r w:rsidR="00E97CFC" w:rsidRPr="00042924">
        <w:rPr>
          <w:rFonts w:ascii="Times New Roman" w:eastAsia="Times New Roman" w:hAnsi="Times New Roman" w:cs="Times New Roman"/>
          <w:color w:val="000000" w:themeColor="text1"/>
          <w:spacing w:val="-1"/>
          <w:kern w:val="0"/>
          <w:sz w:val="28"/>
          <w:szCs w:val="28"/>
          <w:lang w:val="uk-UA"/>
          <w14:ligatures w14:val="none"/>
        </w:rPr>
        <w:t xml:space="preserve"> зросл</w:t>
      </w:r>
      <w:r>
        <w:rPr>
          <w:rFonts w:ascii="Times New Roman" w:eastAsia="Times New Roman" w:hAnsi="Times New Roman" w:cs="Times New Roman"/>
          <w:color w:val="000000" w:themeColor="text1"/>
          <w:spacing w:val="-1"/>
          <w:kern w:val="0"/>
          <w:sz w:val="28"/>
          <w:szCs w:val="28"/>
          <w:lang w:val="uk-UA"/>
          <w14:ligatures w14:val="none"/>
        </w:rPr>
        <w:t>а</w:t>
      </w:r>
      <w:r w:rsidR="00E97CFC" w:rsidRPr="00042924">
        <w:rPr>
          <w:rFonts w:ascii="Times New Roman" w:eastAsia="Times New Roman" w:hAnsi="Times New Roman" w:cs="Times New Roman"/>
          <w:color w:val="000000" w:themeColor="text1"/>
          <w:spacing w:val="-1"/>
          <w:kern w:val="0"/>
          <w:sz w:val="28"/>
          <w:szCs w:val="28"/>
          <w:lang w:val="uk-UA"/>
          <w14:ligatures w14:val="none"/>
        </w:rPr>
        <w:t xml:space="preserve"> на 180,71%, але це відбулося через їх різк</w:t>
      </w:r>
      <w:r w:rsidR="006F1A2D">
        <w:rPr>
          <w:rFonts w:ascii="Times New Roman" w:eastAsia="Times New Roman" w:hAnsi="Times New Roman" w:cs="Times New Roman"/>
          <w:color w:val="000000" w:themeColor="text1"/>
          <w:spacing w:val="-1"/>
          <w:kern w:val="0"/>
          <w:sz w:val="28"/>
          <w:szCs w:val="28"/>
          <w:lang w:val="uk-UA"/>
          <w14:ligatures w14:val="none"/>
        </w:rPr>
        <w:t>е</w:t>
      </w:r>
      <w:r w:rsidR="00E97CFC" w:rsidRPr="00042924">
        <w:rPr>
          <w:rFonts w:ascii="Times New Roman" w:eastAsia="Times New Roman" w:hAnsi="Times New Roman" w:cs="Times New Roman"/>
          <w:color w:val="000000" w:themeColor="text1"/>
          <w:spacing w:val="-1"/>
          <w:kern w:val="0"/>
          <w:sz w:val="28"/>
          <w:szCs w:val="28"/>
          <w:lang w:val="uk-UA"/>
          <w14:ligatures w14:val="none"/>
        </w:rPr>
        <w:t xml:space="preserve"> скорочення, а не через збільшення обсягів реалізації. </w:t>
      </w:r>
      <w:r w:rsidR="00234A99">
        <w:rPr>
          <w:rFonts w:ascii="Times New Roman" w:eastAsia="Times New Roman" w:hAnsi="Times New Roman" w:cs="Times New Roman"/>
          <w:color w:val="000000" w:themeColor="text1"/>
          <w:spacing w:val="-1"/>
          <w:kern w:val="0"/>
          <w:sz w:val="28"/>
          <w:szCs w:val="28"/>
          <w:lang w:val="uk-UA"/>
          <w14:ligatures w14:val="none"/>
        </w:rPr>
        <w:t>Таким чином</w:t>
      </w:r>
      <w:r w:rsidR="00234A99" w:rsidRPr="00234A99">
        <w:rPr>
          <w:rFonts w:ascii="Times New Roman" w:eastAsia="Times New Roman" w:hAnsi="Times New Roman" w:cs="Times New Roman"/>
          <w:color w:val="000000" w:themeColor="text1"/>
          <w:spacing w:val="-1"/>
          <w:kern w:val="0"/>
          <w:sz w:val="28"/>
          <w:szCs w:val="28"/>
          <w:lang w:val="uk-UA"/>
          <w14:ligatures w14:val="none"/>
        </w:rPr>
        <w:t>, можна зазначити, що оборотні активи використовуються неефективно</w:t>
      </w:r>
      <w:r w:rsidR="00E97CFC" w:rsidRPr="00042924">
        <w:rPr>
          <w:rFonts w:ascii="Times New Roman" w:eastAsia="Times New Roman" w:hAnsi="Times New Roman" w:cs="Times New Roman"/>
          <w:color w:val="000000" w:themeColor="text1"/>
          <w:spacing w:val="-1"/>
          <w:kern w:val="0"/>
          <w:sz w:val="28"/>
          <w:szCs w:val="28"/>
          <w:lang w:val="uk-UA"/>
          <w14:ligatures w14:val="none"/>
        </w:rPr>
        <w:t xml:space="preserve">. Фондовіддача зросла на 88,89% у 2022 році порівняно з 2020 роком завдяки збільшенню чистого доходу від реалізації у 2021 році. Проте у 2022 році спостерігається різке падіння цього показника, що </w:t>
      </w:r>
      <w:r w:rsidR="004E6238">
        <w:rPr>
          <w:rFonts w:ascii="Times New Roman" w:eastAsia="Times New Roman" w:hAnsi="Times New Roman" w:cs="Times New Roman"/>
          <w:color w:val="000000" w:themeColor="text1"/>
          <w:spacing w:val="-1"/>
          <w:kern w:val="0"/>
          <w:sz w:val="28"/>
          <w:szCs w:val="28"/>
          <w:lang w:val="uk-UA"/>
          <w14:ligatures w14:val="none"/>
        </w:rPr>
        <w:t>підтверджує</w:t>
      </w:r>
      <w:r w:rsidR="00E97CFC" w:rsidRPr="00042924">
        <w:rPr>
          <w:rFonts w:ascii="Times New Roman" w:eastAsia="Times New Roman" w:hAnsi="Times New Roman" w:cs="Times New Roman"/>
          <w:color w:val="000000" w:themeColor="text1"/>
          <w:spacing w:val="-1"/>
          <w:kern w:val="0"/>
          <w:sz w:val="28"/>
          <w:szCs w:val="28"/>
          <w:lang w:val="uk-UA"/>
          <w14:ligatures w14:val="none"/>
        </w:rPr>
        <w:t xml:space="preserve"> неефективне використання основних засобів підприємства.</w:t>
      </w:r>
    </w:p>
    <w:p w14:paraId="6D0C324F" w14:textId="77777777" w:rsidR="00E97CFC" w:rsidRPr="00042924"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042924">
        <w:rPr>
          <w:rFonts w:ascii="Times New Roman" w:eastAsia="Times New Roman" w:hAnsi="Times New Roman" w:cs="Times New Roman"/>
          <w:color w:val="000000" w:themeColor="text1"/>
          <w:spacing w:val="-1"/>
          <w:kern w:val="0"/>
          <w:sz w:val="28"/>
          <w:szCs w:val="28"/>
          <w:lang w:val="uk-UA"/>
          <w14:ligatures w14:val="none"/>
        </w:rPr>
        <w:t>Різке зниження необоротних активів на 60,59% та основних засобів на 63,47% ставить під загрозу довгостроковий технологічний розвиток підприємства та його здатність конкурувати на світовому ринку в майбутньому.</w:t>
      </w:r>
    </w:p>
    <w:p w14:paraId="07F2FA03" w14:textId="77777777" w:rsidR="00E97CFC" w:rsidRPr="00B216D2" w:rsidRDefault="00E97CFC" w:rsidP="00E97CFC">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sidRPr="00B216D2">
        <w:rPr>
          <w:rFonts w:ascii="Times New Roman" w:eastAsia="Times New Roman" w:hAnsi="Times New Roman" w:cs="Times New Roman"/>
          <w:color w:val="000000" w:themeColor="text1"/>
          <w:spacing w:val="-1"/>
          <w:kern w:val="0"/>
          <w:sz w:val="28"/>
          <w:szCs w:val="28"/>
          <w:lang w:val="uk-UA"/>
          <w14:ligatures w14:val="none"/>
        </w:rPr>
        <w:t xml:space="preserve">Отже, необхідним є термінове вжиття заходів щодо оптимізації витрат, підвищення ефективності використання активів, а також відновлення інвестицій в оновлення основних фондів для забезпечення довгострокової конкурентоспроможності ПАТ </w:t>
      </w:r>
      <w:r w:rsidR="003D7C05" w:rsidRPr="00B216D2">
        <w:rPr>
          <w:rFonts w:ascii="Times New Roman" w:eastAsia="Times New Roman" w:hAnsi="Times New Roman" w:cs="Times New Roman"/>
          <w:color w:val="000000" w:themeColor="text1"/>
          <w:spacing w:val="-1"/>
          <w:kern w:val="0"/>
          <w:sz w:val="28"/>
          <w:szCs w:val="28"/>
          <w:lang w:val="uk-UA"/>
          <w14:ligatures w14:val="none"/>
        </w:rPr>
        <w:t>«АМКР»</w:t>
      </w:r>
      <w:r w:rsidRPr="00B216D2">
        <w:rPr>
          <w:rFonts w:ascii="Times New Roman" w:eastAsia="Times New Roman" w:hAnsi="Times New Roman" w:cs="Times New Roman"/>
          <w:color w:val="000000" w:themeColor="text1"/>
          <w:spacing w:val="-1"/>
          <w:kern w:val="0"/>
          <w:sz w:val="28"/>
          <w:szCs w:val="28"/>
          <w:lang w:val="uk-UA"/>
          <w14:ligatures w14:val="none"/>
        </w:rPr>
        <w:t>.</w:t>
      </w:r>
    </w:p>
    <w:p w14:paraId="0F6DFB91"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bookmarkStart w:id="12" w:name="_Hlk151583209"/>
      <w:bookmarkStart w:id="13" w:name="_Hlk151571905"/>
      <w:r w:rsidRPr="00042924">
        <w:rPr>
          <w:rFonts w:ascii="Times New Roman" w:eastAsia="Times New Roman" w:hAnsi="Times New Roman" w:cs="Times New Roman"/>
          <w:kern w:val="0"/>
          <w:sz w:val="28"/>
          <w:szCs w:val="28"/>
          <w:lang w:val="uk-UA"/>
          <w14:ligatures w14:val="none"/>
        </w:rPr>
        <w:t xml:space="preserve">Розглянемо обсяги виробництва ПАТ </w:t>
      </w:r>
      <w:r w:rsidR="003D7C05"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за період з 2020 по 2022 роки </w:t>
      </w:r>
      <w:r w:rsidRPr="00042924">
        <w:rPr>
          <w:rFonts w:ascii="Times New Roman" w:eastAsia="Times New Roman" w:hAnsi="Times New Roman" w:cs="Times New Roman"/>
          <w:kern w:val="0"/>
          <w:sz w:val="28"/>
          <w:szCs w:val="28"/>
          <w:lang w:val="uk-UA"/>
          <w14:ligatures w14:val="none"/>
        </w:rPr>
        <w:lastRenderedPageBreak/>
        <w:t>(табл.2.</w:t>
      </w:r>
      <w:r w:rsidR="004A05F1" w:rsidRPr="00042924">
        <w:rPr>
          <w:rFonts w:ascii="Times New Roman" w:eastAsia="Times New Roman" w:hAnsi="Times New Roman" w:cs="Times New Roman"/>
          <w:kern w:val="0"/>
          <w:sz w:val="28"/>
          <w:szCs w:val="28"/>
          <w:lang w:val="uk-UA"/>
          <w14:ligatures w14:val="none"/>
        </w:rPr>
        <w:t>2</w:t>
      </w:r>
      <w:r w:rsidRPr="00042924">
        <w:rPr>
          <w:rFonts w:ascii="Times New Roman" w:eastAsia="Times New Roman" w:hAnsi="Times New Roman" w:cs="Times New Roman"/>
          <w:kern w:val="0"/>
          <w:sz w:val="28"/>
          <w:szCs w:val="28"/>
          <w:lang w:val="uk-UA"/>
          <w14:ligatures w14:val="none"/>
        </w:rPr>
        <w:t xml:space="preserve">). Зважаючи на виявлені фінансові труднощі та системну кризу у 2022 році, </w:t>
      </w:r>
      <w:r w:rsidR="00C53942">
        <w:rPr>
          <w:rFonts w:ascii="Times New Roman" w:eastAsia="Times New Roman" w:hAnsi="Times New Roman" w:cs="Times New Roman"/>
          <w:kern w:val="0"/>
          <w:sz w:val="28"/>
          <w:szCs w:val="28"/>
          <w:lang w:val="uk-UA"/>
          <w14:ligatures w14:val="none"/>
        </w:rPr>
        <w:t>проведемо дослідження як саме це може</w:t>
      </w:r>
      <w:r w:rsidRPr="00042924">
        <w:rPr>
          <w:rFonts w:ascii="Times New Roman" w:eastAsia="Times New Roman" w:hAnsi="Times New Roman" w:cs="Times New Roman"/>
          <w:kern w:val="0"/>
          <w:sz w:val="28"/>
          <w:szCs w:val="28"/>
          <w:lang w:val="uk-UA"/>
          <w14:ligatures w14:val="none"/>
        </w:rPr>
        <w:t xml:space="preserve"> відобразитися на виробничій діяльності підприємства.</w:t>
      </w:r>
    </w:p>
    <w:p w14:paraId="09589F2E" w14:textId="77777777" w:rsidR="000F5554" w:rsidRPr="00042924" w:rsidRDefault="000F5554" w:rsidP="000F5554">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p>
    <w:p w14:paraId="27DF4F5A" w14:textId="77777777" w:rsidR="000F5554" w:rsidRPr="00042924" w:rsidRDefault="000F5554" w:rsidP="0008453D">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Таблиця</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2.</w:t>
      </w:r>
      <w:r w:rsidR="004A05F1" w:rsidRPr="00042924">
        <w:rPr>
          <w:rFonts w:ascii="Times New Roman" w:eastAsia="Times New Roman" w:hAnsi="Times New Roman" w:cs="Times New Roman"/>
          <w:kern w:val="0"/>
          <w:sz w:val="28"/>
          <w:szCs w:val="28"/>
          <w:lang w:val="uk-UA"/>
          <w14:ligatures w14:val="none"/>
        </w:rPr>
        <w:t>2</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pacing w:val="-5"/>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Обсяги</w:t>
      </w:r>
      <w:r w:rsidRPr="00042924">
        <w:rPr>
          <w:rFonts w:ascii="Times New Roman" w:eastAsia="Times New Roman" w:hAnsi="Times New Roman" w:cs="Times New Roman"/>
          <w:spacing w:val="-9"/>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виробництва</w:t>
      </w:r>
      <w:r w:rsidRPr="00042924">
        <w:rPr>
          <w:rFonts w:ascii="Times New Roman" w:eastAsia="Times New Roman" w:hAnsi="Times New Roman" w:cs="Times New Roman"/>
          <w:spacing w:val="-3"/>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ПАТ</w:t>
      </w:r>
      <w:r w:rsidRPr="00042924">
        <w:rPr>
          <w:rFonts w:ascii="Times New Roman" w:eastAsia="Times New Roman" w:hAnsi="Times New Roman" w:cs="Times New Roman"/>
          <w:spacing w:val="-2"/>
          <w:kern w:val="0"/>
          <w:sz w:val="28"/>
          <w:szCs w:val="28"/>
          <w:lang w:val="uk-UA"/>
          <w14:ligatures w14:val="none"/>
        </w:rPr>
        <w:t xml:space="preserve"> </w:t>
      </w:r>
      <w:r w:rsidR="003D7C05"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за період 2020 – 2022 рр.</w:t>
      </w:r>
      <w:r w:rsidR="00C53942">
        <w:rPr>
          <w:rFonts w:ascii="Times New Roman" w:eastAsia="Times New Roman" w:hAnsi="Times New Roman" w:cs="Times New Roman"/>
          <w:kern w:val="0"/>
          <w:sz w:val="28"/>
          <w:szCs w:val="28"/>
          <w:lang w:val="uk-UA"/>
          <w14:ligatures w14:val="none"/>
        </w:rPr>
        <w:t>, млн.</w:t>
      </w:r>
      <w:r w:rsidR="009720EF">
        <w:rPr>
          <w:rFonts w:ascii="Times New Roman" w:eastAsia="Times New Roman" w:hAnsi="Times New Roman" w:cs="Times New Roman"/>
          <w:kern w:val="0"/>
          <w:sz w:val="28"/>
          <w:szCs w:val="28"/>
          <w:lang w:val="uk-UA"/>
          <w14:ligatures w14:val="none"/>
        </w:rPr>
        <w:t xml:space="preserve"> </w:t>
      </w:r>
      <w:r w:rsidR="00C53942">
        <w:rPr>
          <w:rFonts w:ascii="Times New Roman" w:eastAsia="Times New Roman" w:hAnsi="Times New Roman" w:cs="Times New Roman"/>
          <w:kern w:val="0"/>
          <w:sz w:val="28"/>
          <w:szCs w:val="28"/>
          <w:lang w:val="uk-UA"/>
          <w14:ligatures w14:val="none"/>
        </w:rPr>
        <w:t>тон</w:t>
      </w:r>
      <w:r w:rsidR="009720EF">
        <w:rPr>
          <w:rFonts w:ascii="Times New Roman" w:eastAsia="Times New Roman" w:hAnsi="Times New Roman" w:cs="Times New Roman"/>
          <w:kern w:val="0"/>
          <w:sz w:val="28"/>
          <w:szCs w:val="28"/>
          <w:lang w:val="uk-UA"/>
          <w14:ligatures w14:val="none"/>
        </w:rPr>
        <w:t>.</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095"/>
        <w:gridCol w:w="1822"/>
        <w:gridCol w:w="1820"/>
        <w:gridCol w:w="1820"/>
        <w:gridCol w:w="1177"/>
        <w:gridCol w:w="1177"/>
      </w:tblGrid>
      <w:tr w:rsidR="000F5554" w:rsidRPr="00042924" w14:paraId="106B0B42" w14:textId="77777777" w:rsidTr="00285BF3">
        <w:trPr>
          <w:trHeight w:val="283"/>
          <w:jc w:val="center"/>
        </w:trPr>
        <w:tc>
          <w:tcPr>
            <w:tcW w:w="1057" w:type="pct"/>
            <w:vMerge w:val="restart"/>
            <w:vAlign w:val="center"/>
          </w:tcPr>
          <w:p w14:paraId="3CF3E68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Вид</w:t>
            </w:r>
            <w:r w:rsidRPr="00042924">
              <w:rPr>
                <w:rFonts w:ascii="Times New Roman" w:eastAsia="Times New Roman" w:hAnsi="Times New Roman" w:cs="Times New Roman"/>
                <w:spacing w:val="-4"/>
                <w:sz w:val="20"/>
                <w:szCs w:val="20"/>
                <w:lang w:val="uk-UA"/>
              </w:rPr>
              <w:t xml:space="preserve"> </w:t>
            </w:r>
            <w:r w:rsidRPr="00042924">
              <w:rPr>
                <w:rFonts w:ascii="Times New Roman" w:eastAsia="Times New Roman" w:hAnsi="Times New Roman" w:cs="Times New Roman"/>
                <w:sz w:val="20"/>
                <w:szCs w:val="20"/>
                <w:lang w:val="uk-UA"/>
              </w:rPr>
              <w:t>продукції</w:t>
            </w:r>
          </w:p>
        </w:tc>
        <w:tc>
          <w:tcPr>
            <w:tcW w:w="919" w:type="pct"/>
            <w:vMerge w:val="restart"/>
            <w:vAlign w:val="center"/>
          </w:tcPr>
          <w:p w14:paraId="73E03AD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2020 (млн</w:t>
            </w:r>
            <w:r w:rsidRPr="00042924">
              <w:rPr>
                <w:rFonts w:ascii="Times New Roman" w:eastAsia="Times New Roman" w:hAnsi="Times New Roman" w:cs="Times New Roman"/>
                <w:spacing w:val="-2"/>
                <w:sz w:val="20"/>
                <w:szCs w:val="20"/>
                <w:lang w:val="uk-UA"/>
              </w:rPr>
              <w:t xml:space="preserve"> </w:t>
            </w:r>
            <w:r w:rsidRPr="00042924">
              <w:rPr>
                <w:rFonts w:ascii="Times New Roman" w:eastAsia="Times New Roman" w:hAnsi="Times New Roman" w:cs="Times New Roman"/>
                <w:sz w:val="20"/>
                <w:szCs w:val="20"/>
                <w:lang w:val="uk-UA"/>
              </w:rPr>
              <w:t>тон)</w:t>
            </w:r>
          </w:p>
        </w:tc>
        <w:tc>
          <w:tcPr>
            <w:tcW w:w="918" w:type="pct"/>
            <w:vMerge w:val="restart"/>
            <w:vAlign w:val="center"/>
          </w:tcPr>
          <w:p w14:paraId="7C3E037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2021 (млн</w:t>
            </w:r>
            <w:r w:rsidRPr="00042924">
              <w:rPr>
                <w:rFonts w:ascii="Times New Roman" w:eastAsia="Times New Roman" w:hAnsi="Times New Roman" w:cs="Times New Roman"/>
                <w:spacing w:val="-2"/>
                <w:sz w:val="20"/>
                <w:szCs w:val="20"/>
                <w:lang w:val="uk-UA"/>
              </w:rPr>
              <w:t xml:space="preserve"> </w:t>
            </w:r>
            <w:r w:rsidRPr="00042924">
              <w:rPr>
                <w:rFonts w:ascii="Times New Roman" w:eastAsia="Times New Roman" w:hAnsi="Times New Roman" w:cs="Times New Roman"/>
                <w:sz w:val="20"/>
                <w:szCs w:val="20"/>
                <w:lang w:val="uk-UA"/>
              </w:rPr>
              <w:t>тон)</w:t>
            </w:r>
          </w:p>
        </w:tc>
        <w:tc>
          <w:tcPr>
            <w:tcW w:w="918" w:type="pct"/>
            <w:vMerge w:val="restart"/>
            <w:vAlign w:val="center"/>
          </w:tcPr>
          <w:p w14:paraId="721924B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2022 (млн</w:t>
            </w:r>
            <w:r w:rsidRPr="00042924">
              <w:rPr>
                <w:rFonts w:ascii="Times New Roman" w:eastAsia="Times New Roman" w:hAnsi="Times New Roman" w:cs="Times New Roman"/>
                <w:spacing w:val="-2"/>
                <w:sz w:val="20"/>
                <w:szCs w:val="20"/>
                <w:lang w:val="uk-UA"/>
              </w:rPr>
              <w:t xml:space="preserve"> </w:t>
            </w:r>
            <w:r w:rsidRPr="00042924">
              <w:rPr>
                <w:rFonts w:ascii="Times New Roman" w:eastAsia="Times New Roman" w:hAnsi="Times New Roman" w:cs="Times New Roman"/>
                <w:sz w:val="20"/>
                <w:szCs w:val="20"/>
                <w:lang w:val="uk-UA"/>
              </w:rPr>
              <w:t>тон)</w:t>
            </w:r>
          </w:p>
        </w:tc>
        <w:tc>
          <w:tcPr>
            <w:tcW w:w="1188" w:type="pct"/>
            <w:gridSpan w:val="2"/>
            <w:vAlign w:val="center"/>
          </w:tcPr>
          <w:p w14:paraId="49A3150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Відхилення</w:t>
            </w:r>
          </w:p>
        </w:tc>
      </w:tr>
      <w:tr w:rsidR="000F5554" w:rsidRPr="00042924" w14:paraId="0B2686AF" w14:textId="77777777" w:rsidTr="00285BF3">
        <w:trPr>
          <w:trHeight w:val="283"/>
          <w:jc w:val="center"/>
        </w:trPr>
        <w:tc>
          <w:tcPr>
            <w:tcW w:w="1057" w:type="pct"/>
            <w:vMerge/>
            <w:vAlign w:val="center"/>
          </w:tcPr>
          <w:p w14:paraId="759BA8A8"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919" w:type="pct"/>
            <w:vMerge/>
            <w:vAlign w:val="center"/>
          </w:tcPr>
          <w:p w14:paraId="6FA23262"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918" w:type="pct"/>
            <w:vMerge/>
            <w:vAlign w:val="center"/>
          </w:tcPr>
          <w:p w14:paraId="3C73D575"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918" w:type="pct"/>
            <w:vMerge/>
            <w:vAlign w:val="center"/>
          </w:tcPr>
          <w:p w14:paraId="42D0CD15"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594" w:type="pct"/>
            <w:vAlign w:val="center"/>
          </w:tcPr>
          <w:p w14:paraId="5F5887D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2021/ 2020</w:t>
            </w:r>
          </w:p>
        </w:tc>
        <w:tc>
          <w:tcPr>
            <w:tcW w:w="594" w:type="pct"/>
            <w:vAlign w:val="center"/>
          </w:tcPr>
          <w:p w14:paraId="625FAAC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2022/ 2021</w:t>
            </w:r>
          </w:p>
        </w:tc>
      </w:tr>
      <w:tr w:rsidR="000F5554" w:rsidRPr="00042924" w14:paraId="168FF883" w14:textId="77777777" w:rsidTr="00285BF3">
        <w:trPr>
          <w:trHeight w:val="283"/>
          <w:jc w:val="center"/>
        </w:trPr>
        <w:tc>
          <w:tcPr>
            <w:tcW w:w="1057" w:type="pct"/>
            <w:tcBorders>
              <w:bottom w:val="single" w:sz="6" w:space="0" w:color="000000"/>
            </w:tcBorders>
            <w:vAlign w:val="center"/>
          </w:tcPr>
          <w:p w14:paraId="60098F82"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Видобуток руди</w:t>
            </w:r>
          </w:p>
        </w:tc>
        <w:tc>
          <w:tcPr>
            <w:tcW w:w="919" w:type="pct"/>
            <w:tcBorders>
              <w:bottom w:val="single" w:sz="6" w:space="0" w:color="000000"/>
            </w:tcBorders>
            <w:vAlign w:val="center"/>
          </w:tcPr>
          <w:p w14:paraId="69D3674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25,6</w:t>
            </w:r>
          </w:p>
        </w:tc>
        <w:tc>
          <w:tcPr>
            <w:tcW w:w="918" w:type="pct"/>
            <w:tcBorders>
              <w:bottom w:val="single" w:sz="6" w:space="0" w:color="000000"/>
            </w:tcBorders>
            <w:vAlign w:val="center"/>
          </w:tcPr>
          <w:p w14:paraId="6E2F2FE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18,1</w:t>
            </w:r>
          </w:p>
        </w:tc>
        <w:tc>
          <w:tcPr>
            <w:tcW w:w="918" w:type="pct"/>
            <w:tcBorders>
              <w:bottom w:val="single" w:sz="6" w:space="0" w:color="000000"/>
            </w:tcBorders>
            <w:vAlign w:val="center"/>
          </w:tcPr>
          <w:p w14:paraId="234E2BA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11,6</w:t>
            </w:r>
          </w:p>
        </w:tc>
        <w:tc>
          <w:tcPr>
            <w:tcW w:w="594" w:type="pct"/>
            <w:vAlign w:val="center"/>
          </w:tcPr>
          <w:p w14:paraId="08EC90A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-29,30%</w:t>
            </w:r>
          </w:p>
        </w:tc>
        <w:tc>
          <w:tcPr>
            <w:tcW w:w="594" w:type="pct"/>
            <w:vAlign w:val="center"/>
          </w:tcPr>
          <w:p w14:paraId="76758C3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-35,91%</w:t>
            </w:r>
          </w:p>
        </w:tc>
      </w:tr>
      <w:tr w:rsidR="000F5554" w:rsidRPr="00042924" w14:paraId="09C72BB4" w14:textId="77777777" w:rsidTr="00285BF3">
        <w:trPr>
          <w:trHeight w:val="283"/>
          <w:jc w:val="center"/>
        </w:trPr>
        <w:tc>
          <w:tcPr>
            <w:tcW w:w="1057" w:type="pct"/>
            <w:tcBorders>
              <w:top w:val="single" w:sz="6" w:space="0" w:color="000000"/>
            </w:tcBorders>
            <w:vAlign w:val="center"/>
          </w:tcPr>
          <w:p w14:paraId="2C3D82CC"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Кокс</w:t>
            </w:r>
            <w:r w:rsidRPr="00042924">
              <w:rPr>
                <w:rFonts w:ascii="Times New Roman" w:eastAsia="Times New Roman" w:hAnsi="Times New Roman" w:cs="Times New Roman"/>
                <w:spacing w:val="-1"/>
                <w:sz w:val="20"/>
                <w:szCs w:val="20"/>
                <w:lang w:val="uk-UA"/>
              </w:rPr>
              <w:t xml:space="preserve"> </w:t>
            </w:r>
            <w:r w:rsidRPr="00042924">
              <w:rPr>
                <w:rFonts w:ascii="Times New Roman" w:eastAsia="Times New Roman" w:hAnsi="Times New Roman" w:cs="Times New Roman"/>
                <w:sz w:val="20"/>
                <w:szCs w:val="20"/>
                <w:lang w:val="uk-UA"/>
              </w:rPr>
              <w:t>6%</w:t>
            </w:r>
            <w:r w:rsidRPr="00042924">
              <w:rPr>
                <w:rFonts w:ascii="Times New Roman" w:eastAsia="Times New Roman" w:hAnsi="Times New Roman" w:cs="Times New Roman"/>
                <w:spacing w:val="-2"/>
                <w:sz w:val="20"/>
                <w:szCs w:val="20"/>
                <w:lang w:val="uk-UA"/>
              </w:rPr>
              <w:t xml:space="preserve"> </w:t>
            </w:r>
            <w:r w:rsidRPr="00042924">
              <w:rPr>
                <w:rFonts w:ascii="Times New Roman" w:eastAsia="Times New Roman" w:hAnsi="Times New Roman" w:cs="Times New Roman"/>
                <w:sz w:val="20"/>
                <w:szCs w:val="20"/>
                <w:lang w:val="uk-UA"/>
              </w:rPr>
              <w:t>вол.</w:t>
            </w:r>
          </w:p>
        </w:tc>
        <w:tc>
          <w:tcPr>
            <w:tcW w:w="919" w:type="pct"/>
            <w:tcBorders>
              <w:top w:val="single" w:sz="6" w:space="0" w:color="000000"/>
            </w:tcBorders>
            <w:vAlign w:val="center"/>
          </w:tcPr>
          <w:p w14:paraId="4ECF915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2,6</w:t>
            </w:r>
          </w:p>
        </w:tc>
        <w:tc>
          <w:tcPr>
            <w:tcW w:w="918" w:type="pct"/>
            <w:tcBorders>
              <w:top w:val="single" w:sz="6" w:space="0" w:color="000000"/>
            </w:tcBorders>
            <w:vAlign w:val="center"/>
          </w:tcPr>
          <w:p w14:paraId="0C07B08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1,6</w:t>
            </w:r>
          </w:p>
        </w:tc>
        <w:tc>
          <w:tcPr>
            <w:tcW w:w="918" w:type="pct"/>
            <w:tcBorders>
              <w:top w:val="single" w:sz="6" w:space="0" w:color="000000"/>
            </w:tcBorders>
            <w:vAlign w:val="center"/>
          </w:tcPr>
          <w:p w14:paraId="1E0B7FBD"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w:t>
            </w:r>
          </w:p>
        </w:tc>
        <w:tc>
          <w:tcPr>
            <w:tcW w:w="594" w:type="pct"/>
            <w:vAlign w:val="center"/>
          </w:tcPr>
          <w:p w14:paraId="3A302996"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-38,46%</w:t>
            </w:r>
          </w:p>
        </w:tc>
        <w:tc>
          <w:tcPr>
            <w:tcW w:w="594" w:type="pct"/>
            <w:vAlign w:val="center"/>
          </w:tcPr>
          <w:p w14:paraId="64B8349C"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-37,50%</w:t>
            </w:r>
          </w:p>
        </w:tc>
      </w:tr>
      <w:tr w:rsidR="000F5554" w:rsidRPr="00042924" w14:paraId="70F6FDB1" w14:textId="77777777" w:rsidTr="00285BF3">
        <w:trPr>
          <w:trHeight w:val="283"/>
          <w:jc w:val="center"/>
        </w:trPr>
        <w:tc>
          <w:tcPr>
            <w:tcW w:w="1057" w:type="pct"/>
            <w:vAlign w:val="center"/>
          </w:tcPr>
          <w:p w14:paraId="38E4428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Концентрат</w:t>
            </w:r>
          </w:p>
        </w:tc>
        <w:tc>
          <w:tcPr>
            <w:tcW w:w="919" w:type="pct"/>
            <w:vAlign w:val="center"/>
          </w:tcPr>
          <w:p w14:paraId="27D8057D"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10,7</w:t>
            </w:r>
          </w:p>
        </w:tc>
        <w:tc>
          <w:tcPr>
            <w:tcW w:w="918" w:type="pct"/>
            <w:vAlign w:val="center"/>
          </w:tcPr>
          <w:p w14:paraId="25574FD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7,2</w:t>
            </w:r>
          </w:p>
        </w:tc>
        <w:tc>
          <w:tcPr>
            <w:tcW w:w="918" w:type="pct"/>
            <w:vAlign w:val="center"/>
          </w:tcPr>
          <w:p w14:paraId="219EFD9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4,5</w:t>
            </w:r>
          </w:p>
        </w:tc>
        <w:tc>
          <w:tcPr>
            <w:tcW w:w="594" w:type="pct"/>
            <w:vAlign w:val="center"/>
          </w:tcPr>
          <w:p w14:paraId="6B7367D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-32,71%</w:t>
            </w:r>
          </w:p>
        </w:tc>
        <w:tc>
          <w:tcPr>
            <w:tcW w:w="594" w:type="pct"/>
            <w:vAlign w:val="center"/>
          </w:tcPr>
          <w:p w14:paraId="45628E3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-37,50%</w:t>
            </w:r>
          </w:p>
        </w:tc>
      </w:tr>
      <w:tr w:rsidR="000F5554" w:rsidRPr="00042924" w14:paraId="58164DA9" w14:textId="77777777" w:rsidTr="00285BF3">
        <w:trPr>
          <w:trHeight w:val="283"/>
          <w:jc w:val="center"/>
        </w:trPr>
        <w:tc>
          <w:tcPr>
            <w:tcW w:w="1057" w:type="pct"/>
            <w:vAlign w:val="center"/>
          </w:tcPr>
          <w:p w14:paraId="4E6F591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Агломерат</w:t>
            </w:r>
          </w:p>
        </w:tc>
        <w:tc>
          <w:tcPr>
            <w:tcW w:w="919" w:type="pct"/>
            <w:vAlign w:val="center"/>
          </w:tcPr>
          <w:p w14:paraId="20BA003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9</w:t>
            </w:r>
          </w:p>
        </w:tc>
        <w:tc>
          <w:tcPr>
            <w:tcW w:w="918" w:type="pct"/>
            <w:vAlign w:val="center"/>
          </w:tcPr>
          <w:p w14:paraId="1AA6A8D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5,34</w:t>
            </w:r>
          </w:p>
        </w:tc>
        <w:tc>
          <w:tcPr>
            <w:tcW w:w="918" w:type="pct"/>
            <w:vAlign w:val="center"/>
          </w:tcPr>
          <w:p w14:paraId="06A8847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1,34</w:t>
            </w:r>
          </w:p>
        </w:tc>
        <w:tc>
          <w:tcPr>
            <w:tcW w:w="594" w:type="pct"/>
            <w:vAlign w:val="center"/>
          </w:tcPr>
          <w:p w14:paraId="09EFB2B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-40,67%</w:t>
            </w:r>
          </w:p>
        </w:tc>
        <w:tc>
          <w:tcPr>
            <w:tcW w:w="594" w:type="pct"/>
            <w:vAlign w:val="center"/>
          </w:tcPr>
          <w:p w14:paraId="4BA6C667"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-74,91%</w:t>
            </w:r>
          </w:p>
        </w:tc>
      </w:tr>
      <w:tr w:rsidR="000F5554" w:rsidRPr="00042924" w14:paraId="4D21EBB3" w14:textId="77777777" w:rsidTr="00285BF3">
        <w:trPr>
          <w:trHeight w:val="283"/>
          <w:jc w:val="center"/>
        </w:trPr>
        <w:tc>
          <w:tcPr>
            <w:tcW w:w="1057" w:type="pct"/>
            <w:vAlign w:val="center"/>
          </w:tcPr>
          <w:p w14:paraId="6AAE29F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Чавун</w:t>
            </w:r>
          </w:p>
        </w:tc>
        <w:tc>
          <w:tcPr>
            <w:tcW w:w="919" w:type="pct"/>
            <w:vAlign w:val="center"/>
          </w:tcPr>
          <w:p w14:paraId="368D570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4,9</w:t>
            </w:r>
          </w:p>
        </w:tc>
        <w:tc>
          <w:tcPr>
            <w:tcW w:w="918" w:type="pct"/>
            <w:vAlign w:val="center"/>
          </w:tcPr>
          <w:p w14:paraId="674F8C8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5,34</w:t>
            </w:r>
          </w:p>
        </w:tc>
        <w:tc>
          <w:tcPr>
            <w:tcW w:w="918" w:type="pct"/>
            <w:vAlign w:val="center"/>
          </w:tcPr>
          <w:p w14:paraId="71CE84E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1,6</w:t>
            </w:r>
          </w:p>
        </w:tc>
        <w:tc>
          <w:tcPr>
            <w:tcW w:w="594" w:type="pct"/>
            <w:vAlign w:val="center"/>
          </w:tcPr>
          <w:p w14:paraId="1ACDBA22"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8,98%</w:t>
            </w:r>
          </w:p>
        </w:tc>
        <w:tc>
          <w:tcPr>
            <w:tcW w:w="594" w:type="pct"/>
            <w:vAlign w:val="center"/>
          </w:tcPr>
          <w:p w14:paraId="616A7BF2"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-70,04%</w:t>
            </w:r>
          </w:p>
        </w:tc>
      </w:tr>
      <w:tr w:rsidR="000F5554" w:rsidRPr="00042924" w14:paraId="7DB26159" w14:textId="77777777" w:rsidTr="00285BF3">
        <w:trPr>
          <w:trHeight w:val="283"/>
          <w:jc w:val="center"/>
        </w:trPr>
        <w:tc>
          <w:tcPr>
            <w:tcW w:w="1057" w:type="pct"/>
            <w:vAlign w:val="center"/>
          </w:tcPr>
          <w:p w14:paraId="295C046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Сталь</w:t>
            </w:r>
          </w:p>
        </w:tc>
        <w:tc>
          <w:tcPr>
            <w:tcW w:w="919" w:type="pct"/>
            <w:vAlign w:val="center"/>
          </w:tcPr>
          <w:p w14:paraId="4A20A24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4,7</w:t>
            </w:r>
          </w:p>
        </w:tc>
        <w:tc>
          <w:tcPr>
            <w:tcW w:w="918" w:type="pct"/>
            <w:vAlign w:val="center"/>
          </w:tcPr>
          <w:p w14:paraId="60FD671C"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4,92</w:t>
            </w:r>
          </w:p>
        </w:tc>
        <w:tc>
          <w:tcPr>
            <w:tcW w:w="918" w:type="pct"/>
            <w:vAlign w:val="center"/>
          </w:tcPr>
          <w:p w14:paraId="746992A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1,2</w:t>
            </w:r>
          </w:p>
        </w:tc>
        <w:tc>
          <w:tcPr>
            <w:tcW w:w="594" w:type="pct"/>
            <w:vAlign w:val="center"/>
          </w:tcPr>
          <w:p w14:paraId="112C300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4,68%</w:t>
            </w:r>
          </w:p>
        </w:tc>
        <w:tc>
          <w:tcPr>
            <w:tcW w:w="594" w:type="pct"/>
            <w:vAlign w:val="center"/>
          </w:tcPr>
          <w:p w14:paraId="673BD6F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-75,61%</w:t>
            </w:r>
          </w:p>
        </w:tc>
      </w:tr>
      <w:tr w:rsidR="000F5554" w:rsidRPr="00042924" w14:paraId="686B681C" w14:textId="77777777" w:rsidTr="00285BF3">
        <w:trPr>
          <w:trHeight w:val="283"/>
          <w:jc w:val="center"/>
        </w:trPr>
        <w:tc>
          <w:tcPr>
            <w:tcW w:w="1057" w:type="pct"/>
            <w:vAlign w:val="center"/>
          </w:tcPr>
          <w:p w14:paraId="3F4D8633"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Прокат</w:t>
            </w:r>
          </w:p>
        </w:tc>
        <w:tc>
          <w:tcPr>
            <w:tcW w:w="919" w:type="pct"/>
            <w:vAlign w:val="center"/>
          </w:tcPr>
          <w:p w14:paraId="1C22178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4,3</w:t>
            </w:r>
          </w:p>
        </w:tc>
        <w:tc>
          <w:tcPr>
            <w:tcW w:w="918" w:type="pct"/>
            <w:vAlign w:val="center"/>
          </w:tcPr>
          <w:p w14:paraId="62EDC7C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4,6</w:t>
            </w:r>
          </w:p>
        </w:tc>
        <w:tc>
          <w:tcPr>
            <w:tcW w:w="918" w:type="pct"/>
            <w:vAlign w:val="center"/>
          </w:tcPr>
          <w:p w14:paraId="5715CB13"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1,1</w:t>
            </w:r>
          </w:p>
        </w:tc>
        <w:tc>
          <w:tcPr>
            <w:tcW w:w="594" w:type="pct"/>
            <w:vAlign w:val="center"/>
          </w:tcPr>
          <w:p w14:paraId="7A1C711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6,98%</w:t>
            </w:r>
          </w:p>
        </w:tc>
        <w:tc>
          <w:tcPr>
            <w:tcW w:w="594" w:type="pct"/>
            <w:vAlign w:val="center"/>
          </w:tcPr>
          <w:p w14:paraId="302A78DC"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-76,09%</w:t>
            </w:r>
          </w:p>
        </w:tc>
      </w:tr>
    </w:tbl>
    <w:p w14:paraId="7B85F25B" w14:textId="77777777" w:rsidR="000F5554" w:rsidRPr="00042924" w:rsidRDefault="000F5554" w:rsidP="000F5554">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Джерело: </w:t>
      </w:r>
      <w:r w:rsidR="00EB40FC" w:rsidRPr="00E32FFC">
        <w:rPr>
          <w:rFonts w:ascii="Times New Roman" w:hAnsi="Times New Roman" w:cs="Times New Roman"/>
          <w:sz w:val="28"/>
          <w:szCs w:val="28"/>
          <w:lang w:val="uk-UA"/>
        </w:rPr>
        <w:t>складено автором на основі</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z w:val="28"/>
          <w:szCs w:val="28"/>
          <w:lang w:val="uk-UA"/>
        </w:rPr>
        <w:t>[31]</w:t>
      </w:r>
    </w:p>
    <w:p w14:paraId="5CAF7462" w14:textId="77777777" w:rsidR="000F5554" w:rsidRPr="00042924" w:rsidRDefault="000F5554" w:rsidP="000F5554">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p>
    <w:p w14:paraId="5210C006"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Після аналізу представлених показників обсягу виробництва, відзначених у таблиці 2.</w:t>
      </w:r>
      <w:r w:rsidR="00520DD0" w:rsidRPr="00042924">
        <w:rPr>
          <w:rFonts w:ascii="Times New Roman" w:eastAsia="Times New Roman" w:hAnsi="Times New Roman" w:cs="Times New Roman"/>
          <w:kern w:val="0"/>
          <w:sz w:val="28"/>
          <w:szCs w:val="28"/>
          <w:lang w:val="uk-UA"/>
          <w14:ligatures w14:val="none"/>
        </w:rPr>
        <w:t>2</w:t>
      </w:r>
      <w:r w:rsidRPr="00042924">
        <w:rPr>
          <w:rFonts w:ascii="Times New Roman" w:eastAsia="Times New Roman" w:hAnsi="Times New Roman" w:cs="Times New Roman"/>
          <w:kern w:val="0"/>
          <w:sz w:val="28"/>
          <w:szCs w:val="28"/>
          <w:lang w:val="uk-UA"/>
          <w14:ligatures w14:val="none"/>
        </w:rPr>
        <w:t xml:space="preserve">, за вибраний період відзначається значуще скорочення обсягів виробництва у всіх категоріях продукції компанії у 2022 році, порівняно з попередніми роками. Зокрема, обсяги виробництва сталі зменшилися - на 75,61%, а обсяги прокату - на 76,09%. Розглядаючи цей важливий спад, варто звернутися до графічної презентації динаміки виробництва ПАТ </w:t>
      </w:r>
      <w:r w:rsidR="0099078F"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яка подана на рисунку 2.</w:t>
      </w:r>
      <w:r w:rsidR="004A05F1" w:rsidRPr="00042924">
        <w:rPr>
          <w:rFonts w:ascii="Times New Roman" w:eastAsia="Times New Roman" w:hAnsi="Times New Roman" w:cs="Times New Roman"/>
          <w:kern w:val="0"/>
          <w:sz w:val="28"/>
          <w:szCs w:val="28"/>
          <w:lang w:val="uk-UA"/>
          <w14:ligatures w14:val="none"/>
        </w:rPr>
        <w:t>1</w:t>
      </w:r>
      <w:r w:rsidRPr="00042924">
        <w:rPr>
          <w:rFonts w:ascii="Times New Roman" w:eastAsia="Times New Roman" w:hAnsi="Times New Roman" w:cs="Times New Roman"/>
          <w:kern w:val="0"/>
          <w:sz w:val="28"/>
          <w:szCs w:val="28"/>
          <w:lang w:val="uk-UA"/>
          <w14:ligatures w14:val="none"/>
        </w:rPr>
        <w:t xml:space="preserve">. </w:t>
      </w:r>
    </w:p>
    <w:p w14:paraId="67A379A6" w14:textId="77777777" w:rsidR="000F5554" w:rsidRPr="00042924" w:rsidRDefault="000F5554" w:rsidP="000F5554">
      <w:pPr>
        <w:widowControl w:val="0"/>
        <w:autoSpaceDE w:val="0"/>
        <w:autoSpaceDN w:val="0"/>
        <w:spacing w:after="0" w:line="240" w:lineRule="auto"/>
        <w:rPr>
          <w:rFonts w:ascii="Times New Roman" w:eastAsia="Times New Roman" w:hAnsi="Times New Roman" w:cs="Times New Roman"/>
          <w:kern w:val="0"/>
          <w:sz w:val="28"/>
          <w:szCs w:val="28"/>
          <w:lang w:val="uk-UA"/>
          <w14:ligatures w14:val="none"/>
        </w:rPr>
      </w:pPr>
    </w:p>
    <w:p w14:paraId="057EBC7C" w14:textId="77777777" w:rsidR="000F5554" w:rsidRPr="00042924" w:rsidRDefault="000F5554" w:rsidP="000F5554">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r w:rsidRPr="00042924">
        <w:rPr>
          <w:noProof/>
          <w:kern w:val="0"/>
          <w:lang w:eastAsia="ru-RU"/>
        </w:rPr>
        <w:drawing>
          <wp:inline distT="0" distB="0" distL="0" distR="0" wp14:anchorId="4FC74076" wp14:editId="2A00D6A5">
            <wp:extent cx="5844540" cy="2606040"/>
            <wp:effectExtent l="0" t="0" r="3810" b="3810"/>
            <wp:docPr id="1562033510" name="Діаграма 1">
              <a:extLst xmlns:a="http://schemas.openxmlformats.org/drawingml/2006/main">
                <a:ext uri="{FF2B5EF4-FFF2-40B4-BE49-F238E27FC236}">
                  <a16:creationId xmlns:a16="http://schemas.microsoft.com/office/drawing/2014/main" id="{2E0C8CD4-345F-60A8-336B-168A9A3AC9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119917" w14:textId="77777777" w:rsidR="000F5554" w:rsidRPr="00042924" w:rsidRDefault="000F5554" w:rsidP="000F5554">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p>
    <w:p w14:paraId="402B0277" w14:textId="77777777" w:rsidR="000F5554" w:rsidRDefault="000F5554" w:rsidP="00DE0747">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Рисунок 2.</w:t>
      </w:r>
      <w:r w:rsidR="00520DD0" w:rsidRPr="00042924">
        <w:rPr>
          <w:rFonts w:ascii="Times New Roman" w:eastAsia="Times New Roman" w:hAnsi="Times New Roman" w:cs="Times New Roman"/>
          <w:kern w:val="0"/>
          <w:sz w:val="28"/>
          <w:szCs w:val="28"/>
          <w:lang w:val="uk-UA"/>
          <w14:ligatures w14:val="none"/>
        </w:rPr>
        <w:t>1</w:t>
      </w:r>
      <w:r w:rsidRPr="00042924">
        <w:rPr>
          <w:rFonts w:ascii="Times New Roman" w:eastAsia="Times New Roman" w:hAnsi="Times New Roman" w:cs="Times New Roman"/>
          <w:kern w:val="0"/>
          <w:sz w:val="28"/>
          <w:szCs w:val="28"/>
          <w:lang w:val="uk-UA"/>
          <w14:ligatures w14:val="none"/>
        </w:rPr>
        <w:t xml:space="preserve"> - Динаміка виробництва ПАТ </w:t>
      </w:r>
      <w:r w:rsidR="0099078F"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за період 2021-2022 рр.</w:t>
      </w:r>
      <w:bookmarkEnd w:id="12"/>
    </w:p>
    <w:p w14:paraId="4D0A536A" w14:textId="77777777" w:rsidR="00F61871" w:rsidRDefault="00F61871" w:rsidP="00DE0747">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Джерело: складено автором</w:t>
      </w:r>
    </w:p>
    <w:p w14:paraId="202EEE97" w14:textId="77777777" w:rsidR="0099078F" w:rsidRDefault="0099078F" w:rsidP="00DE0747">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p>
    <w:p w14:paraId="4383CB9B" w14:textId="77777777" w:rsidR="000F5554" w:rsidRPr="00042924" w:rsidRDefault="00FB4601" w:rsidP="000F5554">
      <w:pPr>
        <w:widowControl w:val="0"/>
        <w:autoSpaceDE w:val="0"/>
        <w:autoSpaceDN w:val="0"/>
        <w:adjustRightInd w:val="0"/>
        <w:spacing w:after="0" w:line="240" w:lineRule="auto"/>
        <w:ind w:right="23" w:firstLine="709"/>
        <w:jc w:val="both"/>
        <w:rPr>
          <w:rFonts w:ascii="Times New Roman" w:hAnsi="Times New Roman" w:cs="Times New Roman"/>
          <w:color w:val="000000"/>
          <w:spacing w:val="-1"/>
          <w:sz w:val="28"/>
          <w:szCs w:val="36"/>
          <w:lang w:val="uk-UA" w:eastAsia="uk-UA"/>
        </w:rPr>
      </w:pPr>
      <w:r w:rsidRPr="00FB4601">
        <w:rPr>
          <w:rFonts w:ascii="Times New Roman" w:hAnsi="Times New Roman" w:cs="Times New Roman"/>
          <w:color w:val="000000"/>
          <w:spacing w:val="-1"/>
          <w:sz w:val="28"/>
          <w:szCs w:val="36"/>
          <w:lang w:val="uk-UA" w:eastAsia="uk-UA"/>
        </w:rPr>
        <w:t xml:space="preserve">На підставі представленого графіку динаміки виробництва ПАТ "АМКР" (рис. </w:t>
      </w:r>
      <w:r w:rsidRPr="00FB4601">
        <w:rPr>
          <w:rFonts w:ascii="Times New Roman" w:hAnsi="Times New Roman" w:cs="Times New Roman"/>
          <w:color w:val="000000"/>
          <w:spacing w:val="-1"/>
          <w:sz w:val="28"/>
          <w:szCs w:val="36"/>
          <w:lang w:val="uk-UA" w:eastAsia="uk-UA"/>
        </w:rPr>
        <w:lastRenderedPageBreak/>
        <w:t>2.1) можна зробити висновок, що ситуація у виробництві агломерату, чавуну, сталі та прокату є критичною. Це підтверджується динамікою зниження обсягів виробництва, які скоротилися в 3-6 разів порівняно з 2020 роком.</w:t>
      </w:r>
    </w:p>
    <w:p w14:paraId="3226CE5A" w14:textId="77777777" w:rsidR="000F5554" w:rsidRPr="00042924" w:rsidRDefault="000F5554" w:rsidP="000F5554">
      <w:pPr>
        <w:widowControl w:val="0"/>
        <w:autoSpaceDE w:val="0"/>
        <w:autoSpaceDN w:val="0"/>
        <w:adjustRightInd w:val="0"/>
        <w:spacing w:after="0" w:line="240" w:lineRule="auto"/>
        <w:ind w:right="23" w:firstLine="709"/>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Хоча у 2021 році спостерігалося певне підвищення виробництва чавуну і сталі порівняно з 2020 роком, що може свідчити про тимчасовий розвиток подій, вже у 2022 році ми спостерігаємо різке падіння обсягів виробництва. Така ситуація може бути результатом загострення економічних та фінансових труднощів, а також інших факторів, які впливають на виробництво і ринок.</w:t>
      </w:r>
    </w:p>
    <w:p w14:paraId="15C732C2" w14:textId="77777777" w:rsidR="00312EAE" w:rsidRPr="00042924" w:rsidRDefault="00312EAE" w:rsidP="000F5554">
      <w:pPr>
        <w:widowControl w:val="0"/>
        <w:autoSpaceDE w:val="0"/>
        <w:autoSpaceDN w:val="0"/>
        <w:adjustRightInd w:val="0"/>
        <w:spacing w:after="0" w:line="240" w:lineRule="auto"/>
        <w:ind w:right="23" w:firstLine="709"/>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 xml:space="preserve">Підприємство зазнало великих збитків,  </w:t>
      </w:r>
      <w:r w:rsidR="00345D07">
        <w:rPr>
          <w:rFonts w:ascii="Times New Roman" w:hAnsi="Times New Roman" w:cs="Times New Roman"/>
          <w:spacing w:val="-1"/>
          <w:sz w:val="28"/>
          <w:szCs w:val="36"/>
          <w:lang w:val="uk-UA" w:eastAsia="uk-UA"/>
        </w:rPr>
        <w:t xml:space="preserve">через те що </w:t>
      </w:r>
      <w:r w:rsidRPr="00042924">
        <w:rPr>
          <w:rFonts w:ascii="Times New Roman" w:hAnsi="Times New Roman" w:cs="Times New Roman"/>
          <w:spacing w:val="-1"/>
          <w:sz w:val="28"/>
          <w:szCs w:val="36"/>
          <w:lang w:val="uk-UA" w:eastAsia="uk-UA"/>
        </w:rPr>
        <w:t>у перші місяці війни зламалися усі їх логістичні ланцюжки.</w:t>
      </w:r>
      <w:r w:rsidR="00B04864" w:rsidRPr="00042924">
        <w:rPr>
          <w:rFonts w:ascii="Times New Roman" w:hAnsi="Times New Roman" w:cs="Times New Roman"/>
          <w:spacing w:val="-1"/>
          <w:sz w:val="28"/>
          <w:szCs w:val="36"/>
          <w:lang w:val="uk-UA" w:eastAsia="uk-UA"/>
        </w:rPr>
        <w:t xml:space="preserve"> Але за кілька місяців після початку війни Європа зняла квоти для металургійної продукції з України, із-за яких раніше експорт був обмежений та становив приблизно 2-5% продукції. </w:t>
      </w:r>
      <w:r w:rsidR="00216F8A" w:rsidRPr="00216F8A">
        <w:rPr>
          <w:rFonts w:ascii="Times New Roman" w:hAnsi="Times New Roman" w:cs="Times New Roman"/>
          <w:spacing w:val="-1"/>
          <w:sz w:val="28"/>
          <w:szCs w:val="36"/>
          <w:lang w:val="uk-UA" w:eastAsia="uk-UA"/>
        </w:rPr>
        <w:t>У зв'язку з цим, відзначається, що в даний момент</w:t>
      </w:r>
      <w:r w:rsidR="00B04864" w:rsidRPr="00042924">
        <w:rPr>
          <w:rFonts w:ascii="Times New Roman" w:hAnsi="Times New Roman" w:cs="Times New Roman"/>
          <w:spacing w:val="-1"/>
          <w:sz w:val="28"/>
          <w:szCs w:val="36"/>
          <w:lang w:val="uk-UA" w:eastAsia="uk-UA"/>
        </w:rPr>
        <w:t xml:space="preserve"> підприємство повністю переорієнтувалося на Європу та перебудувала всю свою логістику  яка спрямовує весь обсяг виробленої продукції для експорту через Польщу, Чехію та Румунію. </w:t>
      </w:r>
      <w:r w:rsidR="0015634D" w:rsidRPr="0015634D">
        <w:rPr>
          <w:rFonts w:ascii="Times New Roman" w:hAnsi="Times New Roman" w:cs="Times New Roman"/>
          <w:spacing w:val="-1"/>
          <w:sz w:val="28"/>
          <w:szCs w:val="36"/>
          <w:lang w:val="uk-UA" w:eastAsia="uk-UA"/>
        </w:rPr>
        <w:t>Такий вибір обумовлений тим, що</w:t>
      </w:r>
      <w:r w:rsidR="00B04864" w:rsidRPr="00042924">
        <w:rPr>
          <w:rFonts w:ascii="Times New Roman" w:hAnsi="Times New Roman" w:cs="Times New Roman"/>
          <w:spacing w:val="-1"/>
          <w:sz w:val="28"/>
          <w:szCs w:val="36"/>
          <w:lang w:val="uk-UA" w:eastAsia="uk-UA"/>
        </w:rPr>
        <w:t xml:space="preserve"> морські порти, нажаль, закриті для даного виду операцій, тому всю продукцію підприємство перевозить залізничним шляхом. Для більш ефективного і рівномірного експорту необхідне збільшення кількості залізничних вагонів та удосконалення їх ремонту.</w:t>
      </w:r>
    </w:p>
    <w:p w14:paraId="15F2EAB6" w14:textId="77777777" w:rsidR="000F5554" w:rsidRPr="00042924" w:rsidRDefault="000F5554" w:rsidP="000F5554">
      <w:pPr>
        <w:widowControl w:val="0"/>
        <w:autoSpaceDE w:val="0"/>
        <w:autoSpaceDN w:val="0"/>
        <w:adjustRightInd w:val="0"/>
        <w:spacing w:after="0" w:line="240" w:lineRule="auto"/>
        <w:ind w:right="23" w:firstLine="709"/>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 xml:space="preserve">Отже, аналіз графіку дозволяє візуально оцінити масштаби погіршення ситуації у виробничій сфері ПАТ </w:t>
      </w:r>
      <w:r w:rsidR="0099078F"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hAnsi="Times New Roman" w:cs="Times New Roman"/>
          <w:spacing w:val="-1"/>
          <w:sz w:val="28"/>
          <w:szCs w:val="36"/>
          <w:lang w:val="uk-UA" w:eastAsia="uk-UA"/>
        </w:rPr>
        <w:t xml:space="preserve"> та розуміти загрозливі тенденції для майбутнього компанії. </w:t>
      </w:r>
    </w:p>
    <w:p w14:paraId="2322FE5E" w14:textId="77777777" w:rsidR="00482B82" w:rsidRPr="00042924" w:rsidRDefault="0015634D" w:rsidP="009C0F10">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Проведемо оцінку</w:t>
      </w:r>
      <w:r w:rsidR="00664AE6" w:rsidRPr="00042924">
        <w:rPr>
          <w:rFonts w:ascii="Times New Roman" w:eastAsia="Times New Roman" w:hAnsi="Times New Roman" w:cs="Times New Roman"/>
          <w:kern w:val="0"/>
          <w:sz w:val="28"/>
          <w:szCs w:val="28"/>
          <w:lang w:val="uk-UA"/>
          <w14:ligatures w14:val="none"/>
        </w:rPr>
        <w:t xml:space="preserve"> позиці</w:t>
      </w:r>
      <w:r>
        <w:rPr>
          <w:rFonts w:ascii="Times New Roman" w:eastAsia="Times New Roman" w:hAnsi="Times New Roman" w:cs="Times New Roman"/>
          <w:kern w:val="0"/>
          <w:sz w:val="28"/>
          <w:szCs w:val="28"/>
          <w:lang w:val="uk-UA"/>
          <w14:ligatures w14:val="none"/>
        </w:rPr>
        <w:t>й</w:t>
      </w:r>
      <w:r w:rsidR="00664AE6" w:rsidRPr="00042924">
        <w:rPr>
          <w:rFonts w:ascii="Times New Roman" w:eastAsia="Times New Roman" w:hAnsi="Times New Roman" w:cs="Times New Roman"/>
          <w:kern w:val="0"/>
          <w:sz w:val="28"/>
          <w:szCs w:val="28"/>
          <w:lang w:val="uk-UA"/>
          <w14:ligatures w14:val="none"/>
        </w:rPr>
        <w:t xml:space="preserve"> ПАТ </w:t>
      </w:r>
      <w:r w:rsidR="0099078F" w:rsidRPr="00042924">
        <w:rPr>
          <w:rFonts w:ascii="Times New Roman" w:eastAsia="Times New Roman" w:hAnsi="Times New Roman" w:cs="Times New Roman"/>
          <w:spacing w:val="-1"/>
          <w:kern w:val="0"/>
          <w:sz w:val="28"/>
          <w:szCs w:val="28"/>
          <w:lang w:val="uk-UA"/>
          <w14:ligatures w14:val="none"/>
        </w:rPr>
        <w:t>«АМКР»</w:t>
      </w:r>
      <w:r w:rsidR="00664AE6" w:rsidRPr="00042924">
        <w:rPr>
          <w:rFonts w:ascii="Times New Roman" w:eastAsia="Times New Roman" w:hAnsi="Times New Roman" w:cs="Times New Roman"/>
          <w:kern w:val="0"/>
          <w:sz w:val="28"/>
          <w:szCs w:val="28"/>
          <w:lang w:val="uk-UA"/>
          <w14:ligatures w14:val="none"/>
        </w:rPr>
        <w:t xml:space="preserve"> </w:t>
      </w:r>
      <w:r w:rsidR="00096142" w:rsidRPr="00096142">
        <w:rPr>
          <w:rFonts w:ascii="Times New Roman" w:eastAsia="Times New Roman" w:hAnsi="Times New Roman" w:cs="Times New Roman"/>
          <w:kern w:val="0"/>
          <w:sz w:val="28"/>
          <w:szCs w:val="28"/>
          <w:lang w:val="uk-UA"/>
          <w14:ligatures w14:val="none"/>
        </w:rPr>
        <w:t>у контексті інших учасників галузі.</w:t>
      </w:r>
      <w:r w:rsidR="00664AE6" w:rsidRPr="00042924">
        <w:rPr>
          <w:rFonts w:ascii="Times New Roman" w:eastAsia="Times New Roman" w:hAnsi="Times New Roman" w:cs="Times New Roman"/>
          <w:kern w:val="0"/>
          <w:sz w:val="28"/>
          <w:szCs w:val="28"/>
          <w:lang w:val="uk-UA"/>
          <w14:ligatures w14:val="none"/>
        </w:rPr>
        <w:t>. Проаналізуємо частки ринку, що належать кожній компанії в межах вітчизняного ринку, аби зрозуміти конкурентні переваги підпр</w:t>
      </w:r>
      <w:r w:rsidR="00FD180C" w:rsidRPr="00042924">
        <w:rPr>
          <w:rFonts w:ascii="Times New Roman" w:eastAsia="Times New Roman" w:hAnsi="Times New Roman" w:cs="Times New Roman"/>
          <w:kern w:val="0"/>
          <w:sz w:val="28"/>
          <w:szCs w:val="28"/>
          <w:lang w:val="uk-UA"/>
          <w14:ligatures w14:val="none"/>
        </w:rPr>
        <w:t>иємства (рис.</w:t>
      </w:r>
      <w:r w:rsidR="00657719" w:rsidRPr="00042924">
        <w:rPr>
          <w:rFonts w:ascii="Times New Roman" w:eastAsia="Times New Roman" w:hAnsi="Times New Roman" w:cs="Times New Roman"/>
          <w:kern w:val="0"/>
          <w:sz w:val="28"/>
          <w:szCs w:val="28"/>
          <w:lang w:val="uk-UA"/>
          <w14:ligatures w14:val="none"/>
        </w:rPr>
        <w:t>2.2)</w:t>
      </w:r>
      <w:r w:rsidR="00664AE6" w:rsidRPr="00042924">
        <w:rPr>
          <w:rFonts w:ascii="Times New Roman" w:eastAsia="Times New Roman" w:hAnsi="Times New Roman" w:cs="Times New Roman"/>
          <w:kern w:val="0"/>
          <w:sz w:val="28"/>
          <w:szCs w:val="28"/>
          <w:lang w:val="uk-UA"/>
          <w14:ligatures w14:val="none"/>
        </w:rPr>
        <w:t>.</w:t>
      </w:r>
    </w:p>
    <w:p w14:paraId="1085231C" w14:textId="77777777" w:rsidR="00664AE6" w:rsidRPr="00042924" w:rsidRDefault="00BC5BB8"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noProof/>
          <w:lang w:eastAsia="ru-RU"/>
        </w:rPr>
        <w:drawing>
          <wp:anchor distT="0" distB="0" distL="114300" distR="114300" simplePos="0" relativeHeight="251666432" behindDoc="0" locked="0" layoutInCell="1" allowOverlap="1" wp14:anchorId="7D37415E" wp14:editId="4BD3B3A6">
            <wp:simplePos x="0" y="0"/>
            <wp:positionH relativeFrom="column">
              <wp:posOffset>356870</wp:posOffset>
            </wp:positionH>
            <wp:positionV relativeFrom="paragraph">
              <wp:posOffset>241935</wp:posOffset>
            </wp:positionV>
            <wp:extent cx="5646420" cy="2621280"/>
            <wp:effectExtent l="0" t="0" r="0" b="7620"/>
            <wp:wrapTopAndBottom/>
            <wp:docPr id="348669621" name="Діаграма 1">
              <a:extLst xmlns:a="http://schemas.openxmlformats.org/drawingml/2006/main">
                <a:ext uri="{FF2B5EF4-FFF2-40B4-BE49-F238E27FC236}">
                  <a16:creationId xmlns:a16="http://schemas.microsoft.com/office/drawing/2014/main" id="{1D7C9590-F13C-15E0-77F6-FC41A699C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5EA09D2C" w14:textId="77777777" w:rsidR="002E2FD7" w:rsidRDefault="00B72569" w:rsidP="00205B9C">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Рисунок 2.2 – </w:t>
      </w:r>
      <w:r w:rsidR="00205B9C" w:rsidRPr="00042924">
        <w:rPr>
          <w:rFonts w:ascii="Times New Roman" w:eastAsia="Times New Roman" w:hAnsi="Times New Roman" w:cs="Times New Roman"/>
          <w:kern w:val="0"/>
          <w:sz w:val="28"/>
          <w:szCs w:val="28"/>
          <w:lang w:val="uk-UA"/>
          <w14:ligatures w14:val="none"/>
        </w:rPr>
        <w:t xml:space="preserve">Динаміка частки ринку ПАТ </w:t>
      </w:r>
      <w:r w:rsidR="0099078F" w:rsidRPr="00042924">
        <w:rPr>
          <w:rFonts w:ascii="Times New Roman" w:eastAsia="Times New Roman" w:hAnsi="Times New Roman" w:cs="Times New Roman"/>
          <w:spacing w:val="-1"/>
          <w:kern w:val="0"/>
          <w:sz w:val="28"/>
          <w:szCs w:val="28"/>
          <w:lang w:val="uk-UA"/>
          <w14:ligatures w14:val="none"/>
        </w:rPr>
        <w:t>«АМКР»</w:t>
      </w:r>
      <w:r w:rsidR="00382E9D">
        <w:rPr>
          <w:rFonts w:ascii="Times New Roman" w:eastAsia="Times New Roman" w:hAnsi="Times New Roman" w:cs="Times New Roman"/>
          <w:spacing w:val="-1"/>
          <w:kern w:val="0"/>
          <w:sz w:val="28"/>
          <w:szCs w:val="28"/>
          <w:lang w:val="uk-UA"/>
          <w14:ligatures w14:val="none"/>
        </w:rPr>
        <w:t>, %</w:t>
      </w:r>
      <w:r w:rsidR="0048263A" w:rsidRPr="00042924">
        <w:rPr>
          <w:rFonts w:ascii="Times New Roman" w:eastAsia="Times New Roman" w:hAnsi="Times New Roman" w:cs="Times New Roman"/>
          <w:kern w:val="0"/>
          <w:sz w:val="28"/>
          <w:szCs w:val="28"/>
          <w:lang w:val="uk-UA"/>
          <w14:ligatures w14:val="none"/>
        </w:rPr>
        <w:t xml:space="preserve"> </w:t>
      </w:r>
    </w:p>
    <w:p w14:paraId="52BA7D12" w14:textId="77777777" w:rsidR="00657719" w:rsidRPr="00042924" w:rsidRDefault="002E2FD7" w:rsidP="00205B9C">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r w:rsidRPr="002E2FD7">
        <w:rPr>
          <w:rFonts w:ascii="Times New Roman" w:eastAsia="Times New Roman" w:hAnsi="Times New Roman" w:cs="Times New Roman"/>
          <w:kern w:val="0"/>
          <w:sz w:val="28"/>
          <w:szCs w:val="28"/>
          <w:lang w:val="uk-UA"/>
          <w14:ligatures w14:val="none"/>
        </w:rPr>
        <w:t xml:space="preserve">Джерело: </w:t>
      </w:r>
      <w:r w:rsidR="0048263A" w:rsidRPr="00042924">
        <w:rPr>
          <w:rFonts w:ascii="Times New Roman" w:eastAsia="Times New Roman" w:hAnsi="Times New Roman" w:cs="Times New Roman"/>
          <w:kern w:val="0"/>
          <w:sz w:val="28"/>
          <w:szCs w:val="28"/>
          <w:lang w:val="uk-UA"/>
          <w14:ligatures w14:val="none"/>
        </w:rPr>
        <w:t>[</w:t>
      </w:r>
      <w:r w:rsidR="008F5CC2" w:rsidRPr="00042924">
        <w:rPr>
          <w:rFonts w:ascii="Times New Roman" w:eastAsia="Times New Roman" w:hAnsi="Times New Roman" w:cs="Times New Roman"/>
          <w:kern w:val="0"/>
          <w:sz w:val="28"/>
          <w:szCs w:val="28"/>
          <w:lang w:val="uk-UA"/>
          <w14:ligatures w14:val="none"/>
        </w:rPr>
        <w:t>36</w:t>
      </w:r>
      <w:r w:rsidR="0048263A" w:rsidRPr="00042924">
        <w:rPr>
          <w:rFonts w:ascii="Times New Roman" w:eastAsia="Times New Roman" w:hAnsi="Times New Roman" w:cs="Times New Roman"/>
          <w:kern w:val="0"/>
          <w:sz w:val="28"/>
          <w:szCs w:val="28"/>
          <w:lang w:val="uk-UA"/>
          <w14:ligatures w14:val="none"/>
        </w:rPr>
        <w:t>]</w:t>
      </w:r>
    </w:p>
    <w:p w14:paraId="575CFE71" w14:textId="77777777" w:rsidR="00657719" w:rsidRPr="00042924" w:rsidRDefault="00657719"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p>
    <w:p w14:paraId="259A2C43" w14:textId="77777777" w:rsidR="009C0F10" w:rsidRPr="00042924" w:rsidRDefault="009C0F10"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Згідно з представленими на графіку даними, можна відзначити, що у проміжку між 2020 та 2021 роками ПАТ </w:t>
      </w:r>
      <w:r w:rsidR="0099078F"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контролювало значну частку внутрішнього ринку. Проте, за останній</w:t>
      </w:r>
      <w:r w:rsidR="00AB51D9">
        <w:rPr>
          <w:rFonts w:ascii="Times New Roman" w:eastAsia="Times New Roman" w:hAnsi="Times New Roman" w:cs="Times New Roman"/>
          <w:kern w:val="0"/>
          <w:sz w:val="28"/>
          <w:szCs w:val="28"/>
          <w:lang w:val="uk-UA"/>
          <w14:ligatures w14:val="none"/>
        </w:rPr>
        <w:t xml:space="preserve"> аналізований</w:t>
      </w:r>
      <w:r w:rsidRPr="00042924">
        <w:rPr>
          <w:rFonts w:ascii="Times New Roman" w:eastAsia="Times New Roman" w:hAnsi="Times New Roman" w:cs="Times New Roman"/>
          <w:kern w:val="0"/>
          <w:sz w:val="28"/>
          <w:szCs w:val="28"/>
          <w:lang w:val="uk-UA"/>
          <w14:ligatures w14:val="none"/>
        </w:rPr>
        <w:t xml:space="preserve"> рік, спостерігається </w:t>
      </w:r>
      <w:r w:rsidRPr="00042924">
        <w:rPr>
          <w:rFonts w:ascii="Times New Roman" w:eastAsia="Times New Roman" w:hAnsi="Times New Roman" w:cs="Times New Roman"/>
          <w:kern w:val="0"/>
          <w:sz w:val="28"/>
          <w:szCs w:val="28"/>
          <w:lang w:val="uk-UA"/>
          <w14:ligatures w14:val="none"/>
        </w:rPr>
        <w:lastRenderedPageBreak/>
        <w:t>зменшення цієї частки, яке пояснюється скороченням виробничої потужності підприємства</w:t>
      </w:r>
      <w:r w:rsidR="00D61012" w:rsidRPr="00042924">
        <w:rPr>
          <w:rFonts w:ascii="Times New Roman" w:eastAsia="Times New Roman" w:hAnsi="Times New Roman" w:cs="Times New Roman"/>
          <w:kern w:val="0"/>
          <w:sz w:val="28"/>
          <w:szCs w:val="28"/>
          <w:lang w:val="uk-UA"/>
          <w14:ligatures w14:val="none"/>
        </w:rPr>
        <w:t xml:space="preserve"> за рахунок кризової ситуації в країні</w:t>
      </w:r>
      <w:r w:rsidRPr="00042924">
        <w:rPr>
          <w:rFonts w:ascii="Times New Roman" w:eastAsia="Times New Roman" w:hAnsi="Times New Roman" w:cs="Times New Roman"/>
          <w:kern w:val="0"/>
          <w:sz w:val="28"/>
          <w:szCs w:val="28"/>
          <w:lang w:val="uk-UA"/>
          <w14:ligatures w14:val="none"/>
        </w:rPr>
        <w:t>.</w:t>
      </w:r>
    </w:p>
    <w:p w14:paraId="26A0DFCE" w14:textId="77777777" w:rsidR="004C039B" w:rsidRPr="00042924" w:rsidRDefault="004C039B"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При оцінці позиції підприємств на ринку використовуємо класифікацію конкурентного положення фірм згідно з методологією О. С. Віханського</w:t>
      </w:r>
      <w:r w:rsidR="0048263A" w:rsidRPr="00042924">
        <w:rPr>
          <w:rFonts w:ascii="Times New Roman" w:eastAsia="Times New Roman" w:hAnsi="Times New Roman" w:cs="Times New Roman"/>
          <w:kern w:val="0"/>
          <w:sz w:val="28"/>
          <w:szCs w:val="28"/>
          <w:lang w:val="uk-UA"/>
          <w14:ligatures w14:val="none"/>
        </w:rPr>
        <w:t xml:space="preserve"> [35]</w:t>
      </w:r>
      <w:r w:rsidRPr="00042924">
        <w:rPr>
          <w:rFonts w:ascii="Times New Roman" w:eastAsia="Times New Roman" w:hAnsi="Times New Roman" w:cs="Times New Roman"/>
          <w:kern w:val="0"/>
          <w:sz w:val="28"/>
          <w:szCs w:val="28"/>
          <w:lang w:val="uk-UA"/>
          <w14:ligatures w14:val="none"/>
        </w:rPr>
        <w:t>:</w:t>
      </w:r>
    </w:p>
    <w:p w14:paraId="04B6B709" w14:textId="77777777" w:rsidR="004C039B" w:rsidRPr="00042924" w:rsidRDefault="004C039B"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1.ПАТ </w:t>
      </w:r>
      <w:r w:rsidR="0099078F"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 лідер. Відзначається активним наступом та поступовим розширенням сегменту ринку, що призводить до фактичного захоплення металургійного сектору України.</w:t>
      </w:r>
    </w:p>
    <w:p w14:paraId="70987589" w14:textId="77777777" w:rsidR="004C039B" w:rsidRPr="00042924" w:rsidRDefault="004C039B"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2.ПАТ «Запоріжсталь» – сильна конкурентна позиція. Властивий пошук невикористаного сегменту ринку, адаптація до обраного цільового ринку, імітація стратегії лідера, поглиблення дій захоплення ринкової ніші, а також формування власного визначного іміджу.</w:t>
      </w:r>
    </w:p>
    <w:p w14:paraId="23E1FB7D" w14:textId="77777777" w:rsidR="004C039B" w:rsidRPr="00042924" w:rsidRDefault="004C039B"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3</w:t>
      </w:r>
      <w:r w:rsidR="0087103C" w:rsidRPr="00042924">
        <w:rPr>
          <w:rFonts w:ascii="Times New Roman" w:eastAsia="Times New Roman" w:hAnsi="Times New Roman" w:cs="Times New Roman"/>
          <w:kern w:val="0"/>
          <w:sz w:val="28"/>
          <w:szCs w:val="28"/>
          <w:lang w:val="uk-UA"/>
          <w14:ligatures w14:val="none"/>
        </w:rPr>
        <w:t xml:space="preserve">.ПрАТ «КАМЕТ-СТАЛЬ» </w:t>
      </w:r>
      <w:r w:rsidRPr="00042924">
        <w:rPr>
          <w:rFonts w:ascii="Times New Roman" w:eastAsia="Times New Roman" w:hAnsi="Times New Roman" w:cs="Times New Roman"/>
          <w:kern w:val="0"/>
          <w:sz w:val="28"/>
          <w:szCs w:val="28"/>
          <w:lang w:val="uk-UA"/>
          <w14:ligatures w14:val="none"/>
        </w:rPr>
        <w:t>– слабка конкурентна позиція. Характеризується стратегією здешевлення та диференціації послуг, збереження існуючого ринкового відділу та рентабельності, інвестування на рівні достатньому для забезпечення мінімального прибутку.</w:t>
      </w:r>
    </w:p>
    <w:p w14:paraId="2F79A17C" w14:textId="77777777" w:rsidR="00D61012" w:rsidRPr="00042924" w:rsidRDefault="004C039B"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Визначення конкурентного профілю здійснюється за допомогою методу експертної оцінки, охоплюючи як комбінат, так і його основних конкурентів</w:t>
      </w:r>
      <w:r w:rsidR="00FD066E" w:rsidRPr="00042924">
        <w:rPr>
          <w:rFonts w:ascii="Times New Roman" w:eastAsia="Times New Roman" w:hAnsi="Times New Roman" w:cs="Times New Roman"/>
          <w:kern w:val="0"/>
          <w:sz w:val="28"/>
          <w:szCs w:val="28"/>
          <w:lang w:val="uk-UA"/>
          <w14:ligatures w14:val="none"/>
        </w:rPr>
        <w:t xml:space="preserve"> на ринку (табл.2.3)</w:t>
      </w:r>
      <w:r w:rsidRPr="00042924">
        <w:rPr>
          <w:rFonts w:ascii="Times New Roman" w:eastAsia="Times New Roman" w:hAnsi="Times New Roman" w:cs="Times New Roman"/>
          <w:kern w:val="0"/>
          <w:sz w:val="28"/>
          <w:szCs w:val="28"/>
          <w:lang w:val="uk-UA"/>
          <w14:ligatures w14:val="none"/>
        </w:rPr>
        <w:t>.</w:t>
      </w:r>
    </w:p>
    <w:p w14:paraId="6834D8ED" w14:textId="77777777" w:rsidR="00CB41EA" w:rsidRPr="00042924" w:rsidRDefault="00CB41EA"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p>
    <w:p w14:paraId="4E72F5DB" w14:textId="77777777" w:rsidR="00CB41EA" w:rsidRPr="00042924" w:rsidRDefault="00FD066E" w:rsidP="00AA5BD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bookmarkStart w:id="14" w:name="_Hlk151933448"/>
      <w:r w:rsidRPr="00042924">
        <w:rPr>
          <w:rFonts w:ascii="Times New Roman" w:eastAsia="Times New Roman" w:hAnsi="Times New Roman" w:cs="Times New Roman"/>
          <w:kern w:val="0"/>
          <w:sz w:val="28"/>
          <w:szCs w:val="28"/>
          <w:lang w:val="uk-UA"/>
          <w14:ligatures w14:val="none"/>
        </w:rPr>
        <w:t>Таблиця 2.3</w:t>
      </w:r>
      <w:r w:rsidR="00EA02C3" w:rsidRPr="00042924">
        <w:rPr>
          <w:rFonts w:ascii="Times New Roman" w:eastAsia="Times New Roman" w:hAnsi="Times New Roman" w:cs="Times New Roman"/>
          <w:kern w:val="0"/>
          <w:sz w:val="28"/>
          <w:szCs w:val="28"/>
          <w:lang w:val="uk-UA"/>
          <w14:ligatures w14:val="none"/>
        </w:rPr>
        <w:t xml:space="preserve"> </w:t>
      </w:r>
      <w:r w:rsidR="00821C14">
        <w:rPr>
          <w:rFonts w:ascii="Times New Roman" w:eastAsia="Times New Roman" w:hAnsi="Times New Roman" w:cs="Times New Roman"/>
          <w:kern w:val="0"/>
          <w:sz w:val="28"/>
          <w:szCs w:val="28"/>
          <w:lang w:val="uk-UA"/>
          <w14:ligatures w14:val="none"/>
        </w:rPr>
        <w:t>–</w:t>
      </w:r>
      <w:r w:rsidR="00EA02C3" w:rsidRPr="00042924">
        <w:rPr>
          <w:rFonts w:ascii="Times New Roman" w:eastAsia="Times New Roman" w:hAnsi="Times New Roman" w:cs="Times New Roman"/>
          <w:kern w:val="0"/>
          <w:sz w:val="28"/>
          <w:szCs w:val="28"/>
          <w:lang w:val="uk-UA"/>
          <w14:ligatures w14:val="none"/>
        </w:rPr>
        <w:t xml:space="preserve"> </w:t>
      </w:r>
      <w:r w:rsidR="00821C14">
        <w:rPr>
          <w:rFonts w:ascii="Times New Roman" w:eastAsia="Times New Roman" w:hAnsi="Times New Roman" w:cs="Times New Roman"/>
          <w:kern w:val="0"/>
          <w:sz w:val="28"/>
          <w:szCs w:val="28"/>
          <w:lang w:val="uk-UA"/>
          <w14:ligatures w14:val="none"/>
        </w:rPr>
        <w:t>Аналіз м</w:t>
      </w:r>
      <w:r w:rsidR="00DE0747" w:rsidRPr="00042924">
        <w:rPr>
          <w:rFonts w:ascii="Times New Roman" w:eastAsia="Times New Roman" w:hAnsi="Times New Roman" w:cs="Times New Roman"/>
          <w:kern w:val="0"/>
          <w:sz w:val="28"/>
          <w:szCs w:val="28"/>
          <w:lang w:val="uk-UA"/>
          <w14:ligatures w14:val="none"/>
        </w:rPr>
        <w:t>атриц</w:t>
      </w:r>
      <w:r w:rsidR="00821C14">
        <w:rPr>
          <w:rFonts w:ascii="Times New Roman" w:eastAsia="Times New Roman" w:hAnsi="Times New Roman" w:cs="Times New Roman"/>
          <w:kern w:val="0"/>
          <w:sz w:val="28"/>
          <w:szCs w:val="28"/>
          <w:lang w:val="uk-UA"/>
          <w14:ligatures w14:val="none"/>
        </w:rPr>
        <w:t>і</w:t>
      </w:r>
      <w:r w:rsidR="00DE0747" w:rsidRPr="00042924">
        <w:rPr>
          <w:rFonts w:ascii="Times New Roman" w:eastAsia="Times New Roman" w:hAnsi="Times New Roman" w:cs="Times New Roman"/>
          <w:kern w:val="0"/>
          <w:sz w:val="28"/>
          <w:szCs w:val="28"/>
          <w:lang w:val="uk-UA"/>
          <w14:ligatures w14:val="none"/>
        </w:rPr>
        <w:t xml:space="preserve"> конкурентного профілю</w:t>
      </w:r>
      <w:bookmarkEnd w:id="14"/>
      <w:r w:rsidR="001F06D5">
        <w:rPr>
          <w:rFonts w:ascii="Times New Roman" w:eastAsia="Times New Roman" w:hAnsi="Times New Roman" w:cs="Times New Roman"/>
          <w:kern w:val="0"/>
          <w:sz w:val="28"/>
          <w:szCs w:val="28"/>
          <w:lang w:val="uk-UA"/>
          <w14:ligatures w14:val="none"/>
        </w:rPr>
        <w:t xml:space="preserve"> підприємства</w:t>
      </w:r>
      <w:r w:rsidR="00821C14">
        <w:rPr>
          <w:rFonts w:ascii="Times New Roman" w:eastAsia="Times New Roman" w:hAnsi="Times New Roman" w:cs="Times New Roman"/>
          <w:kern w:val="0"/>
          <w:sz w:val="28"/>
          <w:szCs w:val="28"/>
          <w:lang w:val="uk-UA"/>
          <w14:ligatures w14:val="none"/>
        </w:rPr>
        <w:t xml:space="preserve"> за методом експертної оцінки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4"/>
        <w:gridCol w:w="1080"/>
        <w:gridCol w:w="1055"/>
        <w:gridCol w:w="947"/>
        <w:gridCol w:w="1055"/>
        <w:gridCol w:w="949"/>
        <w:gridCol w:w="1055"/>
        <w:gridCol w:w="936"/>
      </w:tblGrid>
      <w:tr w:rsidR="00CB41EA" w:rsidRPr="00042924" w14:paraId="5914AE7B" w14:textId="77777777" w:rsidTr="00F80C0E">
        <w:trPr>
          <w:trHeight w:val="283"/>
        </w:trPr>
        <w:tc>
          <w:tcPr>
            <w:tcW w:w="1430" w:type="pct"/>
            <w:vMerge w:val="restart"/>
            <w:vAlign w:val="center"/>
          </w:tcPr>
          <w:p w14:paraId="2B4EB2C5" w14:textId="77777777" w:rsidR="00CB41EA" w:rsidRPr="00042924" w:rsidRDefault="00CB41EA" w:rsidP="00CB41EA">
            <w:pPr>
              <w:pStyle w:val="TableParagraph"/>
              <w:jc w:val="center"/>
              <w:rPr>
                <w:sz w:val="20"/>
                <w:szCs w:val="20"/>
                <w:lang w:val="uk-UA"/>
              </w:rPr>
            </w:pPr>
            <w:bookmarkStart w:id="15" w:name="_Hlk151933434"/>
            <w:r w:rsidRPr="00042924">
              <w:rPr>
                <w:sz w:val="20"/>
                <w:szCs w:val="20"/>
                <w:lang w:val="uk-UA"/>
              </w:rPr>
              <w:t>Фактори</w:t>
            </w:r>
            <w:r w:rsidRPr="00042924">
              <w:rPr>
                <w:spacing w:val="1"/>
                <w:sz w:val="20"/>
                <w:szCs w:val="20"/>
                <w:lang w:val="uk-UA"/>
              </w:rPr>
              <w:t xml:space="preserve"> </w:t>
            </w:r>
            <w:r w:rsidRPr="00042924">
              <w:rPr>
                <w:sz w:val="20"/>
                <w:szCs w:val="20"/>
                <w:lang w:val="uk-UA"/>
              </w:rPr>
              <w:t>конкурентоспроможності</w:t>
            </w:r>
          </w:p>
        </w:tc>
        <w:tc>
          <w:tcPr>
            <w:tcW w:w="545" w:type="pct"/>
            <w:vMerge w:val="restart"/>
            <w:vAlign w:val="center"/>
          </w:tcPr>
          <w:p w14:paraId="052CEBBD" w14:textId="77777777" w:rsidR="00CB41EA" w:rsidRPr="00042924" w:rsidRDefault="00CB41EA" w:rsidP="00F80C0E">
            <w:pPr>
              <w:pStyle w:val="TableParagraph"/>
              <w:jc w:val="center"/>
              <w:rPr>
                <w:sz w:val="20"/>
                <w:szCs w:val="20"/>
                <w:lang w:val="uk-UA"/>
              </w:rPr>
            </w:pPr>
            <w:r w:rsidRPr="00042924">
              <w:rPr>
                <w:sz w:val="20"/>
                <w:szCs w:val="20"/>
                <w:lang w:val="uk-UA"/>
              </w:rPr>
              <w:t>Ваговий</w:t>
            </w:r>
            <w:r w:rsidRPr="00042924">
              <w:rPr>
                <w:spacing w:val="-57"/>
                <w:sz w:val="20"/>
                <w:szCs w:val="20"/>
                <w:lang w:val="uk-UA"/>
              </w:rPr>
              <w:t xml:space="preserve"> </w:t>
            </w:r>
            <w:r w:rsidRPr="00042924">
              <w:rPr>
                <w:sz w:val="20"/>
                <w:szCs w:val="20"/>
                <w:lang w:val="uk-UA"/>
              </w:rPr>
              <w:t>коеф</w:t>
            </w:r>
          </w:p>
        </w:tc>
        <w:tc>
          <w:tcPr>
            <w:tcW w:w="1010" w:type="pct"/>
            <w:gridSpan w:val="2"/>
            <w:vAlign w:val="center"/>
          </w:tcPr>
          <w:p w14:paraId="275C5FAB" w14:textId="77777777" w:rsidR="00CB41EA" w:rsidRPr="00042924" w:rsidRDefault="00F2199E" w:rsidP="00F80C0E">
            <w:pPr>
              <w:pStyle w:val="TableParagraph"/>
              <w:jc w:val="center"/>
              <w:rPr>
                <w:sz w:val="20"/>
                <w:szCs w:val="20"/>
                <w:lang w:val="uk-UA"/>
              </w:rPr>
            </w:pPr>
            <w:r w:rsidRPr="00042924">
              <w:rPr>
                <w:sz w:val="20"/>
                <w:szCs w:val="20"/>
                <w:lang w:val="uk-UA"/>
              </w:rPr>
              <w:t>ПАТ «Запоріжсталь»</w:t>
            </w:r>
          </w:p>
        </w:tc>
        <w:tc>
          <w:tcPr>
            <w:tcW w:w="1011" w:type="pct"/>
            <w:gridSpan w:val="2"/>
            <w:vAlign w:val="center"/>
          </w:tcPr>
          <w:p w14:paraId="1DCEEAD4" w14:textId="77777777" w:rsidR="00CB41EA" w:rsidRPr="00042924" w:rsidRDefault="00CB41EA" w:rsidP="00F80C0E">
            <w:pPr>
              <w:pStyle w:val="TableParagraph"/>
              <w:jc w:val="center"/>
              <w:rPr>
                <w:sz w:val="20"/>
                <w:szCs w:val="20"/>
                <w:lang w:val="uk-UA"/>
              </w:rPr>
            </w:pPr>
            <w:r w:rsidRPr="00042924">
              <w:rPr>
                <w:sz w:val="20"/>
                <w:szCs w:val="20"/>
                <w:lang w:val="uk-UA"/>
              </w:rPr>
              <w:t>ПАТ</w:t>
            </w:r>
            <w:r w:rsidR="00A84A49" w:rsidRPr="00042924">
              <w:rPr>
                <w:sz w:val="20"/>
                <w:szCs w:val="20"/>
                <w:lang w:val="uk-UA"/>
              </w:rPr>
              <w:t xml:space="preserve"> </w:t>
            </w:r>
            <w:r w:rsidRPr="00042924">
              <w:rPr>
                <w:spacing w:val="-1"/>
                <w:sz w:val="20"/>
                <w:szCs w:val="20"/>
                <w:lang w:val="uk-UA"/>
              </w:rPr>
              <w:t>«АМ</w:t>
            </w:r>
            <w:r w:rsidRPr="00042924">
              <w:rPr>
                <w:spacing w:val="-57"/>
                <w:sz w:val="20"/>
                <w:szCs w:val="20"/>
                <w:lang w:val="uk-UA"/>
              </w:rPr>
              <w:t xml:space="preserve"> </w:t>
            </w:r>
            <w:r w:rsidRPr="00042924">
              <w:rPr>
                <w:sz w:val="20"/>
                <w:szCs w:val="20"/>
                <w:lang w:val="uk-UA"/>
              </w:rPr>
              <w:t>КР»</w:t>
            </w:r>
          </w:p>
        </w:tc>
        <w:tc>
          <w:tcPr>
            <w:tcW w:w="1004" w:type="pct"/>
            <w:gridSpan w:val="2"/>
            <w:vAlign w:val="center"/>
          </w:tcPr>
          <w:p w14:paraId="26139A56" w14:textId="77777777" w:rsidR="00CB41EA" w:rsidRPr="00042924" w:rsidRDefault="00FD066E" w:rsidP="00F80C0E">
            <w:pPr>
              <w:pStyle w:val="TableParagraph"/>
              <w:jc w:val="center"/>
              <w:rPr>
                <w:sz w:val="20"/>
                <w:szCs w:val="20"/>
                <w:lang w:val="uk-UA"/>
              </w:rPr>
            </w:pPr>
            <w:r w:rsidRPr="00042924">
              <w:rPr>
                <w:sz w:val="20"/>
                <w:szCs w:val="20"/>
                <w:lang w:val="uk-UA"/>
              </w:rPr>
              <w:t>ПрАТ «КАМЕТ-СТАЛЬ»</w:t>
            </w:r>
          </w:p>
        </w:tc>
      </w:tr>
      <w:tr w:rsidR="00CB41EA" w:rsidRPr="00042924" w14:paraId="5F95BD7E" w14:textId="77777777" w:rsidTr="00F80C0E">
        <w:trPr>
          <w:trHeight w:val="283"/>
        </w:trPr>
        <w:tc>
          <w:tcPr>
            <w:tcW w:w="1430" w:type="pct"/>
            <w:vMerge/>
            <w:tcBorders>
              <w:top w:val="nil"/>
            </w:tcBorders>
            <w:vAlign w:val="center"/>
          </w:tcPr>
          <w:p w14:paraId="09768B57" w14:textId="77777777" w:rsidR="00CB41EA" w:rsidRPr="00042924" w:rsidRDefault="00CB41EA" w:rsidP="00CB41EA">
            <w:pPr>
              <w:jc w:val="center"/>
              <w:rPr>
                <w:rFonts w:ascii="Times New Roman" w:hAnsi="Times New Roman" w:cs="Times New Roman"/>
                <w:sz w:val="20"/>
                <w:szCs w:val="20"/>
                <w:lang w:val="uk-UA"/>
              </w:rPr>
            </w:pPr>
          </w:p>
        </w:tc>
        <w:tc>
          <w:tcPr>
            <w:tcW w:w="545" w:type="pct"/>
            <w:vMerge/>
            <w:tcBorders>
              <w:top w:val="nil"/>
            </w:tcBorders>
            <w:vAlign w:val="center"/>
          </w:tcPr>
          <w:p w14:paraId="23CC363D" w14:textId="77777777" w:rsidR="00CB41EA" w:rsidRPr="00042924" w:rsidRDefault="00CB41EA" w:rsidP="00F80C0E">
            <w:pPr>
              <w:jc w:val="center"/>
              <w:rPr>
                <w:rFonts w:ascii="Times New Roman" w:hAnsi="Times New Roman" w:cs="Times New Roman"/>
                <w:sz w:val="20"/>
                <w:szCs w:val="20"/>
                <w:lang w:val="uk-UA"/>
              </w:rPr>
            </w:pPr>
          </w:p>
        </w:tc>
        <w:tc>
          <w:tcPr>
            <w:tcW w:w="532" w:type="pct"/>
            <w:vAlign w:val="center"/>
          </w:tcPr>
          <w:p w14:paraId="6C498D63" w14:textId="77777777" w:rsidR="00CB41EA" w:rsidRPr="00042924" w:rsidRDefault="00CB41EA" w:rsidP="00F80C0E">
            <w:pPr>
              <w:pStyle w:val="TableParagraph"/>
              <w:jc w:val="center"/>
              <w:rPr>
                <w:sz w:val="20"/>
                <w:szCs w:val="20"/>
                <w:lang w:val="uk-UA"/>
              </w:rPr>
            </w:pPr>
            <w:r w:rsidRPr="00042924">
              <w:rPr>
                <w:sz w:val="20"/>
                <w:szCs w:val="20"/>
                <w:lang w:val="uk-UA"/>
              </w:rPr>
              <w:t>Рейтинг</w:t>
            </w:r>
          </w:p>
        </w:tc>
        <w:tc>
          <w:tcPr>
            <w:tcW w:w="478" w:type="pct"/>
            <w:vAlign w:val="center"/>
          </w:tcPr>
          <w:p w14:paraId="5CC1F6E4" w14:textId="77777777" w:rsidR="00CB41EA" w:rsidRPr="00042924" w:rsidRDefault="00CB41EA" w:rsidP="00F80C0E">
            <w:pPr>
              <w:pStyle w:val="TableParagraph"/>
              <w:jc w:val="center"/>
              <w:rPr>
                <w:sz w:val="20"/>
                <w:szCs w:val="20"/>
                <w:lang w:val="uk-UA"/>
              </w:rPr>
            </w:pPr>
            <w:r w:rsidRPr="00042924">
              <w:rPr>
                <w:sz w:val="20"/>
                <w:szCs w:val="20"/>
                <w:lang w:val="uk-UA"/>
              </w:rPr>
              <w:t>Оцінка</w:t>
            </w:r>
          </w:p>
        </w:tc>
        <w:tc>
          <w:tcPr>
            <w:tcW w:w="532" w:type="pct"/>
            <w:vAlign w:val="center"/>
          </w:tcPr>
          <w:p w14:paraId="18296046" w14:textId="77777777" w:rsidR="00CB41EA" w:rsidRPr="00042924" w:rsidRDefault="00CB41EA" w:rsidP="00F80C0E">
            <w:pPr>
              <w:pStyle w:val="TableParagraph"/>
              <w:jc w:val="center"/>
              <w:rPr>
                <w:sz w:val="20"/>
                <w:szCs w:val="20"/>
                <w:lang w:val="uk-UA"/>
              </w:rPr>
            </w:pPr>
            <w:r w:rsidRPr="00042924">
              <w:rPr>
                <w:sz w:val="20"/>
                <w:szCs w:val="20"/>
                <w:lang w:val="uk-UA"/>
              </w:rPr>
              <w:t>Рейтинг</w:t>
            </w:r>
          </w:p>
        </w:tc>
        <w:tc>
          <w:tcPr>
            <w:tcW w:w="479" w:type="pct"/>
            <w:vAlign w:val="center"/>
          </w:tcPr>
          <w:p w14:paraId="065F0FEF" w14:textId="77777777" w:rsidR="00CB41EA" w:rsidRPr="00042924" w:rsidRDefault="00CB41EA" w:rsidP="00F80C0E">
            <w:pPr>
              <w:pStyle w:val="TableParagraph"/>
              <w:jc w:val="center"/>
              <w:rPr>
                <w:sz w:val="20"/>
                <w:szCs w:val="20"/>
                <w:lang w:val="uk-UA"/>
              </w:rPr>
            </w:pPr>
            <w:r w:rsidRPr="00042924">
              <w:rPr>
                <w:sz w:val="20"/>
                <w:szCs w:val="20"/>
                <w:lang w:val="uk-UA"/>
              </w:rPr>
              <w:t>Оцінка</w:t>
            </w:r>
          </w:p>
        </w:tc>
        <w:tc>
          <w:tcPr>
            <w:tcW w:w="532" w:type="pct"/>
            <w:vAlign w:val="center"/>
          </w:tcPr>
          <w:p w14:paraId="07F307A3" w14:textId="77777777" w:rsidR="00CB41EA" w:rsidRPr="00042924" w:rsidRDefault="00CB41EA" w:rsidP="00F80C0E">
            <w:pPr>
              <w:pStyle w:val="TableParagraph"/>
              <w:jc w:val="center"/>
              <w:rPr>
                <w:sz w:val="20"/>
                <w:szCs w:val="20"/>
                <w:lang w:val="uk-UA"/>
              </w:rPr>
            </w:pPr>
            <w:r w:rsidRPr="00042924">
              <w:rPr>
                <w:sz w:val="20"/>
                <w:szCs w:val="20"/>
                <w:lang w:val="uk-UA"/>
              </w:rPr>
              <w:t>Рейтинг</w:t>
            </w:r>
          </w:p>
        </w:tc>
        <w:tc>
          <w:tcPr>
            <w:tcW w:w="472" w:type="pct"/>
            <w:vAlign w:val="center"/>
          </w:tcPr>
          <w:p w14:paraId="1178BA74" w14:textId="77777777" w:rsidR="00CB41EA" w:rsidRPr="00042924" w:rsidRDefault="00CB41EA" w:rsidP="00F80C0E">
            <w:pPr>
              <w:pStyle w:val="TableParagraph"/>
              <w:jc w:val="center"/>
              <w:rPr>
                <w:sz w:val="20"/>
                <w:szCs w:val="20"/>
                <w:lang w:val="uk-UA"/>
              </w:rPr>
            </w:pPr>
            <w:r w:rsidRPr="00042924">
              <w:rPr>
                <w:sz w:val="20"/>
                <w:szCs w:val="20"/>
                <w:lang w:val="uk-UA"/>
              </w:rPr>
              <w:t>Оцінка</w:t>
            </w:r>
          </w:p>
        </w:tc>
      </w:tr>
      <w:tr w:rsidR="00F80C0E" w:rsidRPr="00042924" w14:paraId="79C80B72" w14:textId="77777777" w:rsidTr="002A3C8C">
        <w:trPr>
          <w:trHeight w:val="340"/>
        </w:trPr>
        <w:tc>
          <w:tcPr>
            <w:tcW w:w="1430" w:type="pct"/>
            <w:vAlign w:val="center"/>
          </w:tcPr>
          <w:p w14:paraId="0E93844F" w14:textId="77777777" w:rsidR="00F80C0E" w:rsidRPr="00042924" w:rsidRDefault="00F80C0E" w:rsidP="00F80C0E">
            <w:pPr>
              <w:pStyle w:val="TableParagraph"/>
              <w:tabs>
                <w:tab w:val="left" w:pos="827"/>
              </w:tabs>
              <w:ind w:left="57"/>
              <w:rPr>
                <w:sz w:val="20"/>
                <w:szCs w:val="20"/>
                <w:lang w:val="uk-UA"/>
              </w:rPr>
            </w:pPr>
            <w:r w:rsidRPr="00042924">
              <w:rPr>
                <w:sz w:val="20"/>
                <w:szCs w:val="20"/>
                <w:lang w:val="uk-UA"/>
              </w:rPr>
              <w:t>1.Продукція</w:t>
            </w:r>
          </w:p>
        </w:tc>
        <w:tc>
          <w:tcPr>
            <w:tcW w:w="545" w:type="pct"/>
            <w:vAlign w:val="center"/>
          </w:tcPr>
          <w:p w14:paraId="4C479600" w14:textId="77777777" w:rsidR="00F80C0E" w:rsidRPr="00042924" w:rsidRDefault="00F80C0E" w:rsidP="00F80C0E">
            <w:pPr>
              <w:pStyle w:val="TableParagraph"/>
              <w:jc w:val="center"/>
              <w:rPr>
                <w:sz w:val="20"/>
                <w:szCs w:val="20"/>
                <w:lang w:val="uk-UA"/>
              </w:rPr>
            </w:pPr>
            <w:r w:rsidRPr="00042924">
              <w:rPr>
                <w:sz w:val="20"/>
                <w:szCs w:val="20"/>
                <w:lang w:val="uk-UA"/>
              </w:rPr>
              <w:t>0,4</w:t>
            </w:r>
          </w:p>
        </w:tc>
        <w:tc>
          <w:tcPr>
            <w:tcW w:w="532" w:type="pct"/>
            <w:vAlign w:val="center"/>
          </w:tcPr>
          <w:p w14:paraId="71526CE4" w14:textId="77777777" w:rsidR="00F80C0E" w:rsidRPr="00042924" w:rsidRDefault="00F80C0E" w:rsidP="00F80C0E">
            <w:pPr>
              <w:jc w:val="center"/>
              <w:rPr>
                <w:rFonts w:ascii="Times New Roman" w:hAnsi="Times New Roman" w:cs="Times New Roman"/>
                <w:sz w:val="20"/>
                <w:szCs w:val="20"/>
                <w:lang w:val="uk-UA"/>
              </w:rPr>
            </w:pPr>
          </w:p>
        </w:tc>
        <w:tc>
          <w:tcPr>
            <w:tcW w:w="478" w:type="pct"/>
            <w:vAlign w:val="center"/>
          </w:tcPr>
          <w:p w14:paraId="02286071"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62087B08" w14:textId="77777777" w:rsidR="00F80C0E" w:rsidRPr="00042924" w:rsidRDefault="00F80C0E" w:rsidP="00F80C0E">
            <w:pPr>
              <w:jc w:val="center"/>
              <w:rPr>
                <w:rFonts w:ascii="Times New Roman" w:hAnsi="Times New Roman" w:cs="Times New Roman"/>
                <w:sz w:val="20"/>
                <w:szCs w:val="20"/>
                <w:lang w:val="uk-UA"/>
              </w:rPr>
            </w:pPr>
          </w:p>
        </w:tc>
        <w:tc>
          <w:tcPr>
            <w:tcW w:w="479" w:type="pct"/>
            <w:vAlign w:val="center"/>
          </w:tcPr>
          <w:p w14:paraId="7A64D3A6"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09186DCF" w14:textId="77777777" w:rsidR="00F80C0E" w:rsidRPr="00042924" w:rsidRDefault="00F80C0E" w:rsidP="00F80C0E">
            <w:pPr>
              <w:jc w:val="center"/>
              <w:rPr>
                <w:rFonts w:ascii="Times New Roman" w:hAnsi="Times New Roman" w:cs="Times New Roman"/>
                <w:sz w:val="20"/>
                <w:szCs w:val="20"/>
                <w:lang w:val="uk-UA"/>
              </w:rPr>
            </w:pPr>
          </w:p>
        </w:tc>
        <w:tc>
          <w:tcPr>
            <w:tcW w:w="472" w:type="pct"/>
            <w:vAlign w:val="center"/>
          </w:tcPr>
          <w:p w14:paraId="09396443" w14:textId="77777777" w:rsidR="00F80C0E" w:rsidRPr="00042924" w:rsidRDefault="00F80C0E" w:rsidP="00F80C0E">
            <w:pPr>
              <w:jc w:val="center"/>
              <w:rPr>
                <w:rFonts w:ascii="Times New Roman" w:hAnsi="Times New Roman" w:cs="Times New Roman"/>
                <w:sz w:val="20"/>
                <w:szCs w:val="20"/>
                <w:lang w:val="uk-UA"/>
              </w:rPr>
            </w:pPr>
          </w:p>
        </w:tc>
      </w:tr>
      <w:tr w:rsidR="00F80C0E" w:rsidRPr="00042924" w14:paraId="1B6B667F" w14:textId="77777777" w:rsidTr="002A3C8C">
        <w:trPr>
          <w:trHeight w:val="340"/>
        </w:trPr>
        <w:tc>
          <w:tcPr>
            <w:tcW w:w="1430" w:type="pct"/>
            <w:vAlign w:val="center"/>
          </w:tcPr>
          <w:p w14:paraId="0A6BFB98" w14:textId="77777777" w:rsidR="00F80C0E" w:rsidRPr="00042924" w:rsidRDefault="00F80C0E" w:rsidP="005D6A06">
            <w:pPr>
              <w:pStyle w:val="TableParagraph"/>
              <w:tabs>
                <w:tab w:val="left" w:pos="827"/>
              </w:tabs>
              <w:ind w:left="113"/>
              <w:rPr>
                <w:sz w:val="20"/>
                <w:szCs w:val="20"/>
                <w:lang w:val="uk-UA"/>
              </w:rPr>
            </w:pPr>
            <w:r w:rsidRPr="00042924">
              <w:rPr>
                <w:sz w:val="20"/>
                <w:szCs w:val="20"/>
                <w:lang w:val="uk-UA"/>
              </w:rPr>
              <w:t>1.1</w:t>
            </w:r>
            <w:r w:rsidR="005D6A06" w:rsidRPr="00042924">
              <w:rPr>
                <w:sz w:val="20"/>
                <w:szCs w:val="20"/>
                <w:lang w:val="uk-UA"/>
              </w:rPr>
              <w:t xml:space="preserve"> </w:t>
            </w:r>
            <w:r w:rsidRPr="00042924">
              <w:rPr>
                <w:sz w:val="20"/>
                <w:szCs w:val="20"/>
                <w:lang w:val="uk-UA"/>
              </w:rPr>
              <w:t>Якість</w:t>
            </w:r>
          </w:p>
        </w:tc>
        <w:tc>
          <w:tcPr>
            <w:tcW w:w="545" w:type="pct"/>
            <w:vAlign w:val="center"/>
          </w:tcPr>
          <w:p w14:paraId="6B9FAE56" w14:textId="77777777" w:rsidR="00F80C0E" w:rsidRPr="00042924" w:rsidRDefault="00F80C0E" w:rsidP="00F80C0E">
            <w:pPr>
              <w:pStyle w:val="TableParagraph"/>
              <w:jc w:val="center"/>
              <w:rPr>
                <w:sz w:val="20"/>
                <w:szCs w:val="20"/>
                <w:lang w:val="uk-UA"/>
              </w:rPr>
            </w:pPr>
            <w:r w:rsidRPr="00042924">
              <w:rPr>
                <w:sz w:val="20"/>
                <w:szCs w:val="20"/>
                <w:lang w:val="uk-UA"/>
              </w:rPr>
              <w:t>0,25</w:t>
            </w:r>
          </w:p>
        </w:tc>
        <w:tc>
          <w:tcPr>
            <w:tcW w:w="532" w:type="pct"/>
            <w:vAlign w:val="center"/>
          </w:tcPr>
          <w:p w14:paraId="67F01B51"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8" w:type="pct"/>
            <w:vAlign w:val="center"/>
          </w:tcPr>
          <w:p w14:paraId="0154D8DB"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1,75</w:t>
            </w:r>
          </w:p>
        </w:tc>
        <w:tc>
          <w:tcPr>
            <w:tcW w:w="532" w:type="pct"/>
            <w:vAlign w:val="center"/>
          </w:tcPr>
          <w:p w14:paraId="2F1008A6"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15289FE6"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2,25</w:t>
            </w:r>
          </w:p>
        </w:tc>
        <w:tc>
          <w:tcPr>
            <w:tcW w:w="532" w:type="pct"/>
            <w:vAlign w:val="center"/>
          </w:tcPr>
          <w:p w14:paraId="528B067E"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w:t>
            </w:r>
          </w:p>
        </w:tc>
        <w:tc>
          <w:tcPr>
            <w:tcW w:w="472" w:type="pct"/>
            <w:vAlign w:val="center"/>
          </w:tcPr>
          <w:p w14:paraId="3A85005B"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1,5</w:t>
            </w:r>
          </w:p>
        </w:tc>
      </w:tr>
      <w:tr w:rsidR="00F80C0E" w:rsidRPr="00042924" w14:paraId="0355B501" w14:textId="77777777" w:rsidTr="002A3C8C">
        <w:trPr>
          <w:trHeight w:val="340"/>
        </w:trPr>
        <w:tc>
          <w:tcPr>
            <w:tcW w:w="1430" w:type="pct"/>
            <w:vAlign w:val="center"/>
          </w:tcPr>
          <w:p w14:paraId="0247DBE6" w14:textId="77777777" w:rsidR="00F80C0E" w:rsidRPr="00042924" w:rsidRDefault="00F80C0E" w:rsidP="005D6A06">
            <w:pPr>
              <w:pStyle w:val="TableParagraph"/>
              <w:ind w:left="113"/>
              <w:rPr>
                <w:sz w:val="20"/>
                <w:szCs w:val="20"/>
                <w:lang w:val="uk-UA"/>
              </w:rPr>
            </w:pPr>
            <w:r w:rsidRPr="00042924">
              <w:rPr>
                <w:sz w:val="20"/>
                <w:szCs w:val="20"/>
                <w:lang w:val="uk-UA"/>
              </w:rPr>
              <w:t>1.2</w:t>
            </w:r>
            <w:r w:rsidR="005D6A06" w:rsidRPr="00042924">
              <w:rPr>
                <w:sz w:val="20"/>
                <w:szCs w:val="20"/>
                <w:lang w:val="uk-UA"/>
              </w:rPr>
              <w:t xml:space="preserve"> </w:t>
            </w:r>
            <w:r w:rsidRPr="00042924">
              <w:rPr>
                <w:sz w:val="20"/>
                <w:szCs w:val="20"/>
                <w:lang w:val="uk-UA"/>
              </w:rPr>
              <w:t>Дотримання</w:t>
            </w:r>
            <w:r w:rsidRPr="00042924">
              <w:rPr>
                <w:spacing w:val="1"/>
                <w:sz w:val="20"/>
                <w:szCs w:val="20"/>
                <w:lang w:val="uk-UA"/>
              </w:rPr>
              <w:t xml:space="preserve"> </w:t>
            </w:r>
            <w:r w:rsidRPr="00042924">
              <w:rPr>
                <w:sz w:val="20"/>
                <w:szCs w:val="20"/>
                <w:lang w:val="uk-UA"/>
              </w:rPr>
              <w:t>екологічних</w:t>
            </w:r>
            <w:r w:rsidRPr="00042924">
              <w:rPr>
                <w:spacing w:val="-12"/>
                <w:sz w:val="20"/>
                <w:szCs w:val="20"/>
                <w:lang w:val="uk-UA"/>
              </w:rPr>
              <w:t xml:space="preserve"> </w:t>
            </w:r>
            <w:r w:rsidRPr="00042924">
              <w:rPr>
                <w:sz w:val="20"/>
                <w:szCs w:val="20"/>
                <w:lang w:val="uk-UA"/>
              </w:rPr>
              <w:t>вимог</w:t>
            </w:r>
          </w:p>
        </w:tc>
        <w:tc>
          <w:tcPr>
            <w:tcW w:w="545" w:type="pct"/>
            <w:vAlign w:val="center"/>
          </w:tcPr>
          <w:p w14:paraId="19CBBE27" w14:textId="77777777" w:rsidR="00F80C0E" w:rsidRPr="00042924" w:rsidRDefault="00F80C0E" w:rsidP="00F80C0E">
            <w:pPr>
              <w:pStyle w:val="TableParagraph"/>
              <w:jc w:val="center"/>
              <w:rPr>
                <w:sz w:val="20"/>
                <w:szCs w:val="20"/>
                <w:lang w:val="uk-UA"/>
              </w:rPr>
            </w:pPr>
            <w:r w:rsidRPr="00042924">
              <w:rPr>
                <w:sz w:val="20"/>
                <w:szCs w:val="20"/>
                <w:lang w:val="uk-UA"/>
              </w:rPr>
              <w:t>0,05</w:t>
            </w:r>
          </w:p>
        </w:tc>
        <w:tc>
          <w:tcPr>
            <w:tcW w:w="532" w:type="pct"/>
            <w:vAlign w:val="center"/>
          </w:tcPr>
          <w:p w14:paraId="384AAF78"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w:t>
            </w:r>
          </w:p>
        </w:tc>
        <w:tc>
          <w:tcPr>
            <w:tcW w:w="478" w:type="pct"/>
            <w:vAlign w:val="center"/>
          </w:tcPr>
          <w:p w14:paraId="243A5C26"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0,3</w:t>
            </w:r>
          </w:p>
        </w:tc>
        <w:tc>
          <w:tcPr>
            <w:tcW w:w="532" w:type="pct"/>
            <w:vAlign w:val="center"/>
          </w:tcPr>
          <w:p w14:paraId="6DEDD134"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9" w:type="pct"/>
            <w:vAlign w:val="center"/>
          </w:tcPr>
          <w:p w14:paraId="577FA8F5"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0,4</w:t>
            </w:r>
          </w:p>
        </w:tc>
        <w:tc>
          <w:tcPr>
            <w:tcW w:w="532" w:type="pct"/>
            <w:vAlign w:val="center"/>
          </w:tcPr>
          <w:p w14:paraId="57819C97"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5</w:t>
            </w:r>
          </w:p>
        </w:tc>
        <w:tc>
          <w:tcPr>
            <w:tcW w:w="472" w:type="pct"/>
            <w:vAlign w:val="center"/>
          </w:tcPr>
          <w:p w14:paraId="226121AD"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0,25</w:t>
            </w:r>
          </w:p>
        </w:tc>
      </w:tr>
      <w:tr w:rsidR="00F80C0E" w:rsidRPr="00042924" w14:paraId="2A17ABCE" w14:textId="77777777" w:rsidTr="002A3C8C">
        <w:trPr>
          <w:trHeight w:val="340"/>
        </w:trPr>
        <w:tc>
          <w:tcPr>
            <w:tcW w:w="1430" w:type="pct"/>
            <w:vAlign w:val="center"/>
          </w:tcPr>
          <w:p w14:paraId="0A0DA1F6" w14:textId="77777777" w:rsidR="00F80C0E" w:rsidRPr="00042924" w:rsidRDefault="00F80C0E" w:rsidP="005D6A06">
            <w:pPr>
              <w:pStyle w:val="TableParagraph"/>
              <w:ind w:left="113"/>
              <w:rPr>
                <w:sz w:val="20"/>
                <w:szCs w:val="20"/>
                <w:lang w:val="uk-UA"/>
              </w:rPr>
            </w:pPr>
            <w:r w:rsidRPr="00042924">
              <w:rPr>
                <w:sz w:val="20"/>
                <w:szCs w:val="20"/>
                <w:lang w:val="uk-UA"/>
              </w:rPr>
              <w:t>1.3</w:t>
            </w:r>
            <w:r w:rsidR="005D6A06" w:rsidRPr="00042924">
              <w:rPr>
                <w:sz w:val="20"/>
                <w:szCs w:val="20"/>
                <w:lang w:val="uk-UA"/>
              </w:rPr>
              <w:t xml:space="preserve"> </w:t>
            </w:r>
            <w:r w:rsidRPr="00042924">
              <w:rPr>
                <w:sz w:val="20"/>
                <w:szCs w:val="20"/>
                <w:lang w:val="uk-UA"/>
              </w:rPr>
              <w:t>Асортимент</w:t>
            </w:r>
            <w:r w:rsidRPr="00042924">
              <w:rPr>
                <w:spacing w:val="1"/>
                <w:sz w:val="20"/>
                <w:szCs w:val="20"/>
                <w:lang w:val="uk-UA"/>
              </w:rPr>
              <w:t xml:space="preserve"> </w:t>
            </w:r>
            <w:r w:rsidRPr="00042924">
              <w:rPr>
                <w:sz w:val="20"/>
                <w:szCs w:val="20"/>
                <w:lang w:val="uk-UA"/>
              </w:rPr>
              <w:t>(відповідність</w:t>
            </w:r>
            <w:r w:rsidRPr="00042924">
              <w:rPr>
                <w:spacing w:val="1"/>
                <w:sz w:val="20"/>
                <w:szCs w:val="20"/>
                <w:lang w:val="uk-UA"/>
              </w:rPr>
              <w:t xml:space="preserve"> </w:t>
            </w:r>
            <w:r w:rsidRPr="00042924">
              <w:rPr>
                <w:sz w:val="20"/>
                <w:szCs w:val="20"/>
                <w:lang w:val="uk-UA"/>
              </w:rPr>
              <w:t>структури</w:t>
            </w:r>
            <w:r w:rsidRPr="00042924">
              <w:rPr>
                <w:spacing w:val="-57"/>
                <w:sz w:val="20"/>
                <w:szCs w:val="20"/>
                <w:lang w:val="uk-UA"/>
              </w:rPr>
              <w:t xml:space="preserve"> </w:t>
            </w:r>
            <w:r w:rsidRPr="00042924">
              <w:rPr>
                <w:sz w:val="20"/>
                <w:szCs w:val="20"/>
                <w:lang w:val="uk-UA"/>
              </w:rPr>
              <w:t>попиту)</w:t>
            </w:r>
          </w:p>
        </w:tc>
        <w:tc>
          <w:tcPr>
            <w:tcW w:w="545" w:type="pct"/>
            <w:vAlign w:val="center"/>
          </w:tcPr>
          <w:p w14:paraId="480B0F7E" w14:textId="77777777" w:rsidR="00F80C0E" w:rsidRPr="00042924" w:rsidRDefault="00F80C0E" w:rsidP="00F80C0E">
            <w:pPr>
              <w:pStyle w:val="TableParagraph"/>
              <w:jc w:val="center"/>
              <w:rPr>
                <w:sz w:val="20"/>
                <w:szCs w:val="20"/>
                <w:lang w:val="uk-UA"/>
              </w:rPr>
            </w:pPr>
            <w:r w:rsidRPr="00042924">
              <w:rPr>
                <w:sz w:val="20"/>
                <w:szCs w:val="20"/>
                <w:lang w:val="uk-UA"/>
              </w:rPr>
              <w:t>0,1</w:t>
            </w:r>
          </w:p>
        </w:tc>
        <w:tc>
          <w:tcPr>
            <w:tcW w:w="532" w:type="pct"/>
            <w:vAlign w:val="center"/>
          </w:tcPr>
          <w:p w14:paraId="6B5E264B"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8" w:type="pct"/>
            <w:vAlign w:val="center"/>
          </w:tcPr>
          <w:p w14:paraId="15EFFD11"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0,8</w:t>
            </w:r>
          </w:p>
        </w:tc>
        <w:tc>
          <w:tcPr>
            <w:tcW w:w="532" w:type="pct"/>
            <w:vAlign w:val="center"/>
          </w:tcPr>
          <w:p w14:paraId="32CC255B"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5CC1E607"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0,9</w:t>
            </w:r>
          </w:p>
        </w:tc>
        <w:tc>
          <w:tcPr>
            <w:tcW w:w="532" w:type="pct"/>
            <w:vAlign w:val="center"/>
          </w:tcPr>
          <w:p w14:paraId="15A28FCF"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2" w:type="pct"/>
            <w:vAlign w:val="center"/>
          </w:tcPr>
          <w:p w14:paraId="1873B5F1"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0,7</w:t>
            </w:r>
          </w:p>
        </w:tc>
      </w:tr>
      <w:tr w:rsidR="00F80C0E" w:rsidRPr="00042924" w14:paraId="3282F787" w14:textId="77777777" w:rsidTr="002A3C8C">
        <w:trPr>
          <w:trHeight w:val="340"/>
        </w:trPr>
        <w:tc>
          <w:tcPr>
            <w:tcW w:w="1430" w:type="pct"/>
            <w:vAlign w:val="center"/>
          </w:tcPr>
          <w:p w14:paraId="6926BBB9" w14:textId="77777777" w:rsidR="00F80C0E" w:rsidRPr="00042924" w:rsidRDefault="00F80C0E" w:rsidP="00F80C0E">
            <w:pPr>
              <w:pStyle w:val="TableParagraph"/>
              <w:tabs>
                <w:tab w:val="left" w:pos="827"/>
              </w:tabs>
              <w:ind w:left="57"/>
              <w:rPr>
                <w:sz w:val="20"/>
                <w:szCs w:val="20"/>
                <w:lang w:val="uk-UA"/>
              </w:rPr>
            </w:pPr>
            <w:r w:rsidRPr="00042924">
              <w:rPr>
                <w:sz w:val="20"/>
                <w:szCs w:val="20"/>
                <w:lang w:val="uk-UA"/>
              </w:rPr>
              <w:t>2.Ціна</w:t>
            </w:r>
          </w:p>
        </w:tc>
        <w:tc>
          <w:tcPr>
            <w:tcW w:w="545" w:type="pct"/>
            <w:vAlign w:val="center"/>
          </w:tcPr>
          <w:p w14:paraId="0DFCA9C3" w14:textId="77777777" w:rsidR="00F80C0E" w:rsidRPr="00042924" w:rsidRDefault="00F80C0E" w:rsidP="00F80C0E">
            <w:pPr>
              <w:pStyle w:val="TableParagraph"/>
              <w:jc w:val="center"/>
              <w:rPr>
                <w:sz w:val="20"/>
                <w:szCs w:val="20"/>
                <w:lang w:val="uk-UA"/>
              </w:rPr>
            </w:pPr>
            <w:r w:rsidRPr="00042924">
              <w:rPr>
                <w:sz w:val="20"/>
                <w:szCs w:val="20"/>
                <w:lang w:val="uk-UA"/>
              </w:rPr>
              <w:t>0,4</w:t>
            </w:r>
          </w:p>
        </w:tc>
        <w:tc>
          <w:tcPr>
            <w:tcW w:w="532" w:type="pct"/>
            <w:vAlign w:val="center"/>
          </w:tcPr>
          <w:p w14:paraId="3109537D" w14:textId="77777777" w:rsidR="00F80C0E" w:rsidRPr="00042924" w:rsidRDefault="00F80C0E" w:rsidP="00F80C0E">
            <w:pPr>
              <w:jc w:val="center"/>
              <w:rPr>
                <w:rFonts w:ascii="Times New Roman" w:hAnsi="Times New Roman" w:cs="Times New Roman"/>
                <w:sz w:val="20"/>
                <w:szCs w:val="20"/>
                <w:lang w:val="uk-UA"/>
              </w:rPr>
            </w:pPr>
          </w:p>
        </w:tc>
        <w:tc>
          <w:tcPr>
            <w:tcW w:w="478" w:type="pct"/>
            <w:vAlign w:val="center"/>
          </w:tcPr>
          <w:p w14:paraId="4DD4BE59"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7597314C" w14:textId="77777777" w:rsidR="00F80C0E" w:rsidRPr="00042924" w:rsidRDefault="00F80C0E" w:rsidP="00F80C0E">
            <w:pPr>
              <w:jc w:val="center"/>
              <w:rPr>
                <w:rFonts w:ascii="Times New Roman" w:hAnsi="Times New Roman" w:cs="Times New Roman"/>
                <w:sz w:val="20"/>
                <w:szCs w:val="20"/>
                <w:lang w:val="uk-UA"/>
              </w:rPr>
            </w:pPr>
          </w:p>
        </w:tc>
        <w:tc>
          <w:tcPr>
            <w:tcW w:w="479" w:type="pct"/>
            <w:vAlign w:val="center"/>
          </w:tcPr>
          <w:p w14:paraId="444B3010"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137FAE9B" w14:textId="77777777" w:rsidR="00F80C0E" w:rsidRPr="00042924" w:rsidRDefault="00F80C0E" w:rsidP="00F80C0E">
            <w:pPr>
              <w:jc w:val="center"/>
              <w:rPr>
                <w:rFonts w:ascii="Times New Roman" w:hAnsi="Times New Roman" w:cs="Times New Roman"/>
                <w:sz w:val="20"/>
                <w:szCs w:val="20"/>
                <w:lang w:val="uk-UA"/>
              </w:rPr>
            </w:pPr>
          </w:p>
        </w:tc>
        <w:tc>
          <w:tcPr>
            <w:tcW w:w="472" w:type="pct"/>
            <w:vAlign w:val="center"/>
          </w:tcPr>
          <w:p w14:paraId="245A2D27" w14:textId="77777777" w:rsidR="00F80C0E" w:rsidRPr="00042924" w:rsidRDefault="00F80C0E" w:rsidP="00F80C0E">
            <w:pPr>
              <w:jc w:val="center"/>
              <w:rPr>
                <w:rFonts w:ascii="Times New Roman" w:hAnsi="Times New Roman" w:cs="Times New Roman"/>
                <w:sz w:val="20"/>
                <w:szCs w:val="20"/>
                <w:lang w:val="uk-UA"/>
              </w:rPr>
            </w:pPr>
          </w:p>
        </w:tc>
      </w:tr>
      <w:tr w:rsidR="00F80C0E" w:rsidRPr="00042924" w14:paraId="6E96D973" w14:textId="77777777" w:rsidTr="002A3C8C">
        <w:trPr>
          <w:trHeight w:val="340"/>
        </w:trPr>
        <w:tc>
          <w:tcPr>
            <w:tcW w:w="1430" w:type="pct"/>
            <w:vAlign w:val="center"/>
          </w:tcPr>
          <w:p w14:paraId="655EBF05" w14:textId="77777777" w:rsidR="00F80C0E" w:rsidRPr="00042924" w:rsidRDefault="00F80C0E" w:rsidP="005D6A06">
            <w:pPr>
              <w:pStyle w:val="TableParagraph"/>
              <w:ind w:left="113"/>
              <w:rPr>
                <w:sz w:val="20"/>
                <w:szCs w:val="20"/>
                <w:lang w:val="uk-UA"/>
              </w:rPr>
            </w:pPr>
            <w:r w:rsidRPr="00042924">
              <w:rPr>
                <w:sz w:val="20"/>
                <w:szCs w:val="20"/>
                <w:lang w:val="uk-UA"/>
              </w:rPr>
              <w:t>2.1</w:t>
            </w:r>
            <w:r w:rsidRPr="00042924">
              <w:rPr>
                <w:spacing w:val="-3"/>
                <w:sz w:val="20"/>
                <w:szCs w:val="20"/>
                <w:lang w:val="uk-UA"/>
              </w:rPr>
              <w:t xml:space="preserve"> </w:t>
            </w:r>
            <w:r w:rsidRPr="00042924">
              <w:rPr>
                <w:sz w:val="20"/>
                <w:szCs w:val="20"/>
                <w:lang w:val="uk-UA"/>
              </w:rPr>
              <w:t>Продажна</w:t>
            </w:r>
          </w:p>
        </w:tc>
        <w:tc>
          <w:tcPr>
            <w:tcW w:w="545" w:type="pct"/>
            <w:vAlign w:val="center"/>
          </w:tcPr>
          <w:p w14:paraId="7ED31FDE" w14:textId="77777777" w:rsidR="00F80C0E" w:rsidRPr="00042924" w:rsidRDefault="00F80C0E" w:rsidP="00F80C0E">
            <w:pPr>
              <w:pStyle w:val="TableParagraph"/>
              <w:jc w:val="center"/>
              <w:rPr>
                <w:sz w:val="20"/>
                <w:szCs w:val="20"/>
                <w:lang w:val="uk-UA"/>
              </w:rPr>
            </w:pPr>
            <w:r w:rsidRPr="00042924">
              <w:rPr>
                <w:sz w:val="20"/>
                <w:szCs w:val="20"/>
                <w:lang w:val="uk-UA"/>
              </w:rPr>
              <w:t>0,25</w:t>
            </w:r>
          </w:p>
        </w:tc>
        <w:tc>
          <w:tcPr>
            <w:tcW w:w="532" w:type="pct"/>
            <w:vAlign w:val="center"/>
          </w:tcPr>
          <w:p w14:paraId="047A8DED"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8" w:type="pct"/>
            <w:vAlign w:val="center"/>
          </w:tcPr>
          <w:p w14:paraId="6CA35D64"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1,75</w:t>
            </w:r>
          </w:p>
        </w:tc>
        <w:tc>
          <w:tcPr>
            <w:tcW w:w="532" w:type="pct"/>
            <w:vAlign w:val="center"/>
          </w:tcPr>
          <w:p w14:paraId="5242AA2E"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6287936E"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2,25</w:t>
            </w:r>
          </w:p>
        </w:tc>
        <w:tc>
          <w:tcPr>
            <w:tcW w:w="532" w:type="pct"/>
            <w:vAlign w:val="center"/>
          </w:tcPr>
          <w:p w14:paraId="062FD24F"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w:t>
            </w:r>
          </w:p>
        </w:tc>
        <w:tc>
          <w:tcPr>
            <w:tcW w:w="472" w:type="pct"/>
            <w:vAlign w:val="center"/>
          </w:tcPr>
          <w:p w14:paraId="73A3D106"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1,5</w:t>
            </w:r>
          </w:p>
        </w:tc>
      </w:tr>
      <w:tr w:rsidR="00F80C0E" w:rsidRPr="00042924" w14:paraId="3DDD84DA" w14:textId="77777777" w:rsidTr="002A3C8C">
        <w:trPr>
          <w:trHeight w:val="340"/>
        </w:trPr>
        <w:tc>
          <w:tcPr>
            <w:tcW w:w="1430" w:type="pct"/>
            <w:vAlign w:val="center"/>
          </w:tcPr>
          <w:p w14:paraId="2C20FDCD" w14:textId="77777777" w:rsidR="00F80C0E" w:rsidRPr="00042924" w:rsidRDefault="00F80C0E" w:rsidP="005D6A06">
            <w:pPr>
              <w:pStyle w:val="TableParagraph"/>
              <w:ind w:left="113"/>
              <w:rPr>
                <w:sz w:val="20"/>
                <w:szCs w:val="20"/>
                <w:lang w:val="uk-UA"/>
              </w:rPr>
            </w:pPr>
            <w:r w:rsidRPr="00042924">
              <w:rPr>
                <w:sz w:val="20"/>
                <w:szCs w:val="20"/>
                <w:lang w:val="uk-UA"/>
              </w:rPr>
              <w:t>2.2</w:t>
            </w:r>
            <w:r w:rsidRPr="00042924">
              <w:rPr>
                <w:spacing w:val="-2"/>
                <w:sz w:val="20"/>
                <w:szCs w:val="20"/>
                <w:lang w:val="uk-UA"/>
              </w:rPr>
              <w:t xml:space="preserve"> </w:t>
            </w:r>
            <w:r w:rsidRPr="00042924">
              <w:rPr>
                <w:sz w:val="20"/>
                <w:szCs w:val="20"/>
                <w:lang w:val="uk-UA"/>
              </w:rPr>
              <w:t>Процентна</w:t>
            </w:r>
            <w:r w:rsidRPr="00042924">
              <w:rPr>
                <w:spacing w:val="-3"/>
                <w:sz w:val="20"/>
                <w:szCs w:val="20"/>
                <w:lang w:val="uk-UA"/>
              </w:rPr>
              <w:t xml:space="preserve"> </w:t>
            </w:r>
            <w:r w:rsidRPr="00042924">
              <w:rPr>
                <w:sz w:val="20"/>
                <w:szCs w:val="20"/>
                <w:lang w:val="uk-UA"/>
              </w:rPr>
              <w:t>знижка</w:t>
            </w:r>
          </w:p>
        </w:tc>
        <w:tc>
          <w:tcPr>
            <w:tcW w:w="545" w:type="pct"/>
            <w:vAlign w:val="center"/>
          </w:tcPr>
          <w:p w14:paraId="08B5600B" w14:textId="77777777" w:rsidR="00F80C0E" w:rsidRPr="00042924" w:rsidRDefault="00F80C0E" w:rsidP="00F80C0E">
            <w:pPr>
              <w:pStyle w:val="TableParagraph"/>
              <w:jc w:val="center"/>
              <w:rPr>
                <w:sz w:val="20"/>
                <w:szCs w:val="20"/>
                <w:lang w:val="uk-UA"/>
              </w:rPr>
            </w:pPr>
            <w:r w:rsidRPr="00042924">
              <w:rPr>
                <w:sz w:val="20"/>
                <w:szCs w:val="20"/>
                <w:lang w:val="uk-UA"/>
              </w:rPr>
              <w:t>0,075</w:t>
            </w:r>
          </w:p>
        </w:tc>
        <w:tc>
          <w:tcPr>
            <w:tcW w:w="532" w:type="pct"/>
            <w:vAlign w:val="center"/>
          </w:tcPr>
          <w:p w14:paraId="31322CCF"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w:t>
            </w:r>
          </w:p>
        </w:tc>
        <w:tc>
          <w:tcPr>
            <w:tcW w:w="478" w:type="pct"/>
            <w:vAlign w:val="center"/>
          </w:tcPr>
          <w:p w14:paraId="6CEDDE7C"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0,45</w:t>
            </w:r>
          </w:p>
        </w:tc>
        <w:tc>
          <w:tcPr>
            <w:tcW w:w="532" w:type="pct"/>
            <w:vAlign w:val="center"/>
          </w:tcPr>
          <w:p w14:paraId="7C7D1A5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9" w:type="pct"/>
            <w:vAlign w:val="center"/>
          </w:tcPr>
          <w:p w14:paraId="6668F0B2"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0,6</w:t>
            </w:r>
          </w:p>
        </w:tc>
        <w:tc>
          <w:tcPr>
            <w:tcW w:w="532" w:type="pct"/>
            <w:vAlign w:val="center"/>
          </w:tcPr>
          <w:p w14:paraId="62E6BC32"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5</w:t>
            </w:r>
          </w:p>
        </w:tc>
        <w:tc>
          <w:tcPr>
            <w:tcW w:w="472" w:type="pct"/>
            <w:vAlign w:val="center"/>
          </w:tcPr>
          <w:p w14:paraId="48CEBAB5"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0,375</w:t>
            </w:r>
          </w:p>
        </w:tc>
      </w:tr>
      <w:tr w:rsidR="00F80C0E" w:rsidRPr="00042924" w14:paraId="5AD0EB77" w14:textId="77777777" w:rsidTr="002A3C8C">
        <w:trPr>
          <w:trHeight w:val="340"/>
        </w:trPr>
        <w:tc>
          <w:tcPr>
            <w:tcW w:w="1430" w:type="pct"/>
            <w:vAlign w:val="center"/>
          </w:tcPr>
          <w:p w14:paraId="763E6387" w14:textId="77777777" w:rsidR="00F80C0E" w:rsidRPr="00042924" w:rsidRDefault="00F80C0E" w:rsidP="005D6A06">
            <w:pPr>
              <w:pStyle w:val="TableParagraph"/>
              <w:ind w:left="113"/>
              <w:rPr>
                <w:sz w:val="20"/>
                <w:szCs w:val="20"/>
                <w:lang w:val="uk-UA"/>
              </w:rPr>
            </w:pPr>
            <w:r w:rsidRPr="00042924">
              <w:rPr>
                <w:sz w:val="20"/>
                <w:szCs w:val="20"/>
                <w:lang w:val="uk-UA"/>
              </w:rPr>
              <w:t>2.3 Строки</w:t>
            </w:r>
            <w:r w:rsidRPr="00042924">
              <w:rPr>
                <w:spacing w:val="-2"/>
                <w:sz w:val="20"/>
                <w:szCs w:val="20"/>
                <w:lang w:val="uk-UA"/>
              </w:rPr>
              <w:t xml:space="preserve"> </w:t>
            </w:r>
            <w:r w:rsidRPr="00042924">
              <w:rPr>
                <w:sz w:val="20"/>
                <w:szCs w:val="20"/>
                <w:lang w:val="uk-UA"/>
              </w:rPr>
              <w:t>платежу</w:t>
            </w:r>
          </w:p>
        </w:tc>
        <w:tc>
          <w:tcPr>
            <w:tcW w:w="545" w:type="pct"/>
            <w:vAlign w:val="center"/>
          </w:tcPr>
          <w:p w14:paraId="527D250F" w14:textId="77777777" w:rsidR="00F80C0E" w:rsidRPr="00042924" w:rsidRDefault="00F80C0E" w:rsidP="00F80C0E">
            <w:pPr>
              <w:pStyle w:val="TableParagraph"/>
              <w:jc w:val="center"/>
              <w:rPr>
                <w:sz w:val="20"/>
                <w:szCs w:val="20"/>
                <w:lang w:val="uk-UA"/>
              </w:rPr>
            </w:pPr>
            <w:r w:rsidRPr="00042924">
              <w:rPr>
                <w:sz w:val="20"/>
                <w:szCs w:val="20"/>
                <w:lang w:val="uk-UA"/>
              </w:rPr>
              <w:t>0,075</w:t>
            </w:r>
          </w:p>
        </w:tc>
        <w:tc>
          <w:tcPr>
            <w:tcW w:w="532" w:type="pct"/>
            <w:vAlign w:val="center"/>
          </w:tcPr>
          <w:p w14:paraId="26038366"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8" w:type="pct"/>
            <w:vAlign w:val="center"/>
          </w:tcPr>
          <w:p w14:paraId="6FD49673"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0,6</w:t>
            </w:r>
          </w:p>
        </w:tc>
        <w:tc>
          <w:tcPr>
            <w:tcW w:w="532" w:type="pct"/>
            <w:vAlign w:val="center"/>
          </w:tcPr>
          <w:p w14:paraId="499CB509"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1BD9EC78"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0,675</w:t>
            </w:r>
          </w:p>
        </w:tc>
        <w:tc>
          <w:tcPr>
            <w:tcW w:w="532" w:type="pct"/>
            <w:vAlign w:val="center"/>
          </w:tcPr>
          <w:p w14:paraId="1251750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2" w:type="pct"/>
            <w:vAlign w:val="center"/>
          </w:tcPr>
          <w:p w14:paraId="5A03B202"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0,525</w:t>
            </w:r>
          </w:p>
        </w:tc>
      </w:tr>
      <w:tr w:rsidR="00F80C0E" w:rsidRPr="00042924" w14:paraId="77210226" w14:textId="77777777" w:rsidTr="002A3C8C">
        <w:trPr>
          <w:trHeight w:val="340"/>
        </w:trPr>
        <w:tc>
          <w:tcPr>
            <w:tcW w:w="1430" w:type="pct"/>
            <w:vAlign w:val="center"/>
          </w:tcPr>
          <w:p w14:paraId="1BE60DEC" w14:textId="77777777" w:rsidR="00F80C0E" w:rsidRPr="00042924" w:rsidRDefault="00F80C0E" w:rsidP="00F80C0E">
            <w:pPr>
              <w:pStyle w:val="TableParagraph"/>
              <w:tabs>
                <w:tab w:val="left" w:pos="827"/>
              </w:tabs>
              <w:ind w:left="57"/>
              <w:rPr>
                <w:sz w:val="20"/>
                <w:szCs w:val="20"/>
                <w:lang w:val="uk-UA"/>
              </w:rPr>
            </w:pPr>
            <w:r w:rsidRPr="00042924">
              <w:rPr>
                <w:sz w:val="20"/>
                <w:szCs w:val="20"/>
                <w:lang w:val="uk-UA"/>
              </w:rPr>
              <w:t>3.Канали збуту</w:t>
            </w:r>
          </w:p>
        </w:tc>
        <w:tc>
          <w:tcPr>
            <w:tcW w:w="545" w:type="pct"/>
            <w:vAlign w:val="center"/>
          </w:tcPr>
          <w:p w14:paraId="63B0DA78" w14:textId="77777777" w:rsidR="00F80C0E" w:rsidRPr="00042924" w:rsidRDefault="00F80C0E" w:rsidP="00F80C0E">
            <w:pPr>
              <w:pStyle w:val="TableParagraph"/>
              <w:jc w:val="center"/>
              <w:rPr>
                <w:sz w:val="20"/>
                <w:szCs w:val="20"/>
                <w:lang w:val="uk-UA"/>
              </w:rPr>
            </w:pPr>
            <w:r w:rsidRPr="00042924">
              <w:rPr>
                <w:sz w:val="20"/>
                <w:szCs w:val="20"/>
                <w:lang w:val="uk-UA"/>
              </w:rPr>
              <w:t>0,1</w:t>
            </w:r>
          </w:p>
        </w:tc>
        <w:tc>
          <w:tcPr>
            <w:tcW w:w="532" w:type="pct"/>
            <w:vAlign w:val="center"/>
          </w:tcPr>
          <w:p w14:paraId="12BA0F3A" w14:textId="77777777" w:rsidR="00F80C0E" w:rsidRPr="00042924" w:rsidRDefault="00F80C0E" w:rsidP="00F80C0E">
            <w:pPr>
              <w:jc w:val="center"/>
              <w:rPr>
                <w:rFonts w:ascii="Times New Roman" w:hAnsi="Times New Roman" w:cs="Times New Roman"/>
                <w:sz w:val="20"/>
                <w:szCs w:val="20"/>
                <w:lang w:val="uk-UA"/>
              </w:rPr>
            </w:pPr>
          </w:p>
        </w:tc>
        <w:tc>
          <w:tcPr>
            <w:tcW w:w="478" w:type="pct"/>
            <w:vAlign w:val="center"/>
          </w:tcPr>
          <w:p w14:paraId="06E6F18D"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64CD5AA7" w14:textId="77777777" w:rsidR="00F80C0E" w:rsidRPr="00042924" w:rsidRDefault="00F80C0E" w:rsidP="00F80C0E">
            <w:pPr>
              <w:jc w:val="center"/>
              <w:rPr>
                <w:rFonts w:ascii="Times New Roman" w:hAnsi="Times New Roman" w:cs="Times New Roman"/>
                <w:sz w:val="20"/>
                <w:szCs w:val="20"/>
                <w:lang w:val="uk-UA"/>
              </w:rPr>
            </w:pPr>
          </w:p>
        </w:tc>
        <w:tc>
          <w:tcPr>
            <w:tcW w:w="479" w:type="pct"/>
            <w:vAlign w:val="center"/>
          </w:tcPr>
          <w:p w14:paraId="351BADDB"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01E987B3" w14:textId="77777777" w:rsidR="00F80C0E" w:rsidRPr="00042924" w:rsidRDefault="00F80C0E" w:rsidP="00F80C0E">
            <w:pPr>
              <w:jc w:val="center"/>
              <w:rPr>
                <w:rFonts w:ascii="Times New Roman" w:hAnsi="Times New Roman" w:cs="Times New Roman"/>
                <w:sz w:val="20"/>
                <w:szCs w:val="20"/>
                <w:lang w:val="uk-UA"/>
              </w:rPr>
            </w:pPr>
          </w:p>
        </w:tc>
        <w:tc>
          <w:tcPr>
            <w:tcW w:w="472" w:type="pct"/>
            <w:vAlign w:val="center"/>
          </w:tcPr>
          <w:p w14:paraId="77078908" w14:textId="77777777" w:rsidR="00F80C0E" w:rsidRPr="00042924" w:rsidRDefault="00F80C0E" w:rsidP="00F80C0E">
            <w:pPr>
              <w:jc w:val="center"/>
              <w:rPr>
                <w:rFonts w:ascii="Times New Roman" w:hAnsi="Times New Roman" w:cs="Times New Roman"/>
                <w:sz w:val="20"/>
                <w:szCs w:val="20"/>
                <w:lang w:val="uk-UA"/>
              </w:rPr>
            </w:pPr>
          </w:p>
        </w:tc>
      </w:tr>
      <w:tr w:rsidR="00F80C0E" w:rsidRPr="00042924" w14:paraId="1C86CCCE" w14:textId="77777777" w:rsidTr="002A3C8C">
        <w:trPr>
          <w:trHeight w:val="340"/>
        </w:trPr>
        <w:tc>
          <w:tcPr>
            <w:tcW w:w="1430" w:type="pct"/>
            <w:vAlign w:val="center"/>
          </w:tcPr>
          <w:p w14:paraId="485C6184" w14:textId="77777777" w:rsidR="00F80C0E" w:rsidRPr="00042924" w:rsidRDefault="00F80C0E" w:rsidP="00B818D5">
            <w:pPr>
              <w:pStyle w:val="TableParagraph"/>
              <w:ind w:left="113"/>
              <w:rPr>
                <w:sz w:val="20"/>
                <w:szCs w:val="20"/>
                <w:lang w:val="uk-UA"/>
              </w:rPr>
            </w:pPr>
            <w:r w:rsidRPr="00042924">
              <w:rPr>
                <w:sz w:val="20"/>
                <w:szCs w:val="20"/>
                <w:lang w:val="uk-UA"/>
              </w:rPr>
              <w:t>3.1</w:t>
            </w:r>
            <w:r w:rsidRPr="00042924">
              <w:rPr>
                <w:spacing w:val="-1"/>
                <w:sz w:val="20"/>
                <w:szCs w:val="20"/>
                <w:lang w:val="uk-UA"/>
              </w:rPr>
              <w:t xml:space="preserve"> </w:t>
            </w:r>
            <w:r w:rsidRPr="00042924">
              <w:rPr>
                <w:sz w:val="20"/>
                <w:szCs w:val="20"/>
                <w:lang w:val="uk-UA"/>
              </w:rPr>
              <w:t>Форми</w:t>
            </w:r>
            <w:r w:rsidRPr="00042924">
              <w:rPr>
                <w:spacing w:val="-2"/>
                <w:sz w:val="20"/>
                <w:szCs w:val="20"/>
                <w:lang w:val="uk-UA"/>
              </w:rPr>
              <w:t xml:space="preserve"> </w:t>
            </w:r>
            <w:r w:rsidRPr="00042924">
              <w:rPr>
                <w:sz w:val="20"/>
                <w:szCs w:val="20"/>
                <w:lang w:val="uk-UA"/>
              </w:rPr>
              <w:t>збуту</w:t>
            </w:r>
          </w:p>
        </w:tc>
        <w:tc>
          <w:tcPr>
            <w:tcW w:w="545" w:type="pct"/>
            <w:vAlign w:val="center"/>
          </w:tcPr>
          <w:p w14:paraId="1B15EC95" w14:textId="77777777" w:rsidR="00F80C0E" w:rsidRPr="00042924" w:rsidRDefault="00F80C0E" w:rsidP="00F80C0E">
            <w:pPr>
              <w:pStyle w:val="TableParagraph"/>
              <w:jc w:val="center"/>
              <w:rPr>
                <w:sz w:val="20"/>
                <w:szCs w:val="20"/>
                <w:lang w:val="uk-UA"/>
              </w:rPr>
            </w:pPr>
            <w:r w:rsidRPr="00042924">
              <w:rPr>
                <w:sz w:val="20"/>
                <w:szCs w:val="20"/>
                <w:lang w:val="uk-UA"/>
              </w:rPr>
              <w:t>0,05</w:t>
            </w:r>
          </w:p>
        </w:tc>
        <w:tc>
          <w:tcPr>
            <w:tcW w:w="532" w:type="pct"/>
            <w:vAlign w:val="center"/>
          </w:tcPr>
          <w:p w14:paraId="3321CBA0"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8" w:type="pct"/>
            <w:vAlign w:val="center"/>
          </w:tcPr>
          <w:p w14:paraId="328D7525"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0,35</w:t>
            </w:r>
          </w:p>
        </w:tc>
        <w:tc>
          <w:tcPr>
            <w:tcW w:w="532" w:type="pct"/>
            <w:vAlign w:val="center"/>
          </w:tcPr>
          <w:p w14:paraId="77D3D2DF"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144DAB54"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0,45</w:t>
            </w:r>
          </w:p>
        </w:tc>
        <w:tc>
          <w:tcPr>
            <w:tcW w:w="532" w:type="pct"/>
            <w:vAlign w:val="center"/>
          </w:tcPr>
          <w:p w14:paraId="02B261CD"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w:t>
            </w:r>
          </w:p>
        </w:tc>
        <w:tc>
          <w:tcPr>
            <w:tcW w:w="472" w:type="pct"/>
            <w:vAlign w:val="center"/>
          </w:tcPr>
          <w:p w14:paraId="105EB65D"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0,3</w:t>
            </w:r>
          </w:p>
        </w:tc>
      </w:tr>
      <w:tr w:rsidR="00F80C0E" w:rsidRPr="00042924" w14:paraId="09959000" w14:textId="77777777" w:rsidTr="002A3C8C">
        <w:trPr>
          <w:trHeight w:val="340"/>
        </w:trPr>
        <w:tc>
          <w:tcPr>
            <w:tcW w:w="1430" w:type="pct"/>
            <w:vAlign w:val="center"/>
          </w:tcPr>
          <w:p w14:paraId="7A6BBC18" w14:textId="77777777" w:rsidR="00F80C0E" w:rsidRPr="00042924" w:rsidRDefault="00F80C0E" w:rsidP="00B818D5">
            <w:pPr>
              <w:pStyle w:val="TableParagraph"/>
              <w:ind w:left="113"/>
              <w:rPr>
                <w:sz w:val="20"/>
                <w:szCs w:val="20"/>
                <w:lang w:val="uk-UA"/>
              </w:rPr>
            </w:pPr>
            <w:r w:rsidRPr="00042924">
              <w:rPr>
                <w:sz w:val="20"/>
                <w:szCs w:val="20"/>
                <w:lang w:val="uk-UA"/>
              </w:rPr>
              <w:t>3.2</w:t>
            </w:r>
            <w:r w:rsidR="005D6A06" w:rsidRPr="00042924">
              <w:rPr>
                <w:sz w:val="20"/>
                <w:szCs w:val="20"/>
                <w:lang w:val="uk-UA"/>
              </w:rPr>
              <w:t xml:space="preserve"> </w:t>
            </w:r>
            <w:r w:rsidRPr="00042924">
              <w:rPr>
                <w:sz w:val="20"/>
                <w:szCs w:val="20"/>
                <w:lang w:val="uk-UA"/>
              </w:rPr>
              <w:t>Система</w:t>
            </w:r>
            <w:r w:rsidRPr="00042924">
              <w:rPr>
                <w:spacing w:val="1"/>
                <w:sz w:val="20"/>
                <w:szCs w:val="20"/>
                <w:lang w:val="uk-UA"/>
              </w:rPr>
              <w:t xml:space="preserve"> </w:t>
            </w:r>
            <w:r w:rsidRPr="00042924">
              <w:rPr>
                <w:sz w:val="20"/>
                <w:szCs w:val="20"/>
                <w:lang w:val="uk-UA"/>
              </w:rPr>
              <w:t>транспортування</w:t>
            </w:r>
          </w:p>
        </w:tc>
        <w:tc>
          <w:tcPr>
            <w:tcW w:w="545" w:type="pct"/>
            <w:vAlign w:val="center"/>
          </w:tcPr>
          <w:p w14:paraId="121BECF1" w14:textId="77777777" w:rsidR="00F80C0E" w:rsidRPr="00042924" w:rsidRDefault="00F80C0E" w:rsidP="00F80C0E">
            <w:pPr>
              <w:pStyle w:val="TableParagraph"/>
              <w:jc w:val="center"/>
              <w:rPr>
                <w:sz w:val="20"/>
                <w:szCs w:val="20"/>
                <w:lang w:val="uk-UA"/>
              </w:rPr>
            </w:pPr>
            <w:r w:rsidRPr="00042924">
              <w:rPr>
                <w:sz w:val="20"/>
                <w:szCs w:val="20"/>
                <w:lang w:val="uk-UA"/>
              </w:rPr>
              <w:t>0,025</w:t>
            </w:r>
          </w:p>
        </w:tc>
        <w:tc>
          <w:tcPr>
            <w:tcW w:w="532" w:type="pct"/>
            <w:vAlign w:val="center"/>
          </w:tcPr>
          <w:p w14:paraId="545D95B8"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w:t>
            </w:r>
          </w:p>
        </w:tc>
        <w:tc>
          <w:tcPr>
            <w:tcW w:w="478" w:type="pct"/>
            <w:vAlign w:val="center"/>
          </w:tcPr>
          <w:p w14:paraId="25458837"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0,15</w:t>
            </w:r>
          </w:p>
        </w:tc>
        <w:tc>
          <w:tcPr>
            <w:tcW w:w="532" w:type="pct"/>
            <w:vAlign w:val="center"/>
          </w:tcPr>
          <w:p w14:paraId="77876DAF"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9" w:type="pct"/>
            <w:vAlign w:val="center"/>
          </w:tcPr>
          <w:p w14:paraId="2187CC43"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0,2</w:t>
            </w:r>
          </w:p>
        </w:tc>
        <w:tc>
          <w:tcPr>
            <w:tcW w:w="532" w:type="pct"/>
            <w:vAlign w:val="center"/>
          </w:tcPr>
          <w:p w14:paraId="71B3D937"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5</w:t>
            </w:r>
          </w:p>
        </w:tc>
        <w:tc>
          <w:tcPr>
            <w:tcW w:w="472" w:type="pct"/>
            <w:vAlign w:val="center"/>
          </w:tcPr>
          <w:p w14:paraId="1BA0F9A3"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0,125</w:t>
            </w:r>
          </w:p>
        </w:tc>
      </w:tr>
      <w:tr w:rsidR="00F80C0E" w:rsidRPr="00042924" w14:paraId="2423CFF9" w14:textId="77777777" w:rsidTr="002A3C8C">
        <w:trPr>
          <w:trHeight w:val="340"/>
        </w:trPr>
        <w:tc>
          <w:tcPr>
            <w:tcW w:w="1430" w:type="pct"/>
            <w:vAlign w:val="center"/>
          </w:tcPr>
          <w:p w14:paraId="49C202CD" w14:textId="77777777" w:rsidR="00F80C0E" w:rsidRPr="00042924" w:rsidRDefault="00F80C0E" w:rsidP="00B818D5">
            <w:pPr>
              <w:pStyle w:val="TableParagraph"/>
              <w:tabs>
                <w:tab w:val="left" w:pos="630"/>
                <w:tab w:val="left" w:pos="1717"/>
              </w:tabs>
              <w:ind w:left="113"/>
              <w:rPr>
                <w:sz w:val="20"/>
                <w:szCs w:val="20"/>
                <w:lang w:val="uk-UA"/>
              </w:rPr>
            </w:pPr>
            <w:r w:rsidRPr="00042924">
              <w:rPr>
                <w:sz w:val="20"/>
                <w:szCs w:val="20"/>
                <w:lang w:val="uk-UA"/>
              </w:rPr>
              <w:t>3.3</w:t>
            </w:r>
            <w:r w:rsidR="005D6A06" w:rsidRPr="00042924">
              <w:rPr>
                <w:sz w:val="20"/>
                <w:szCs w:val="20"/>
                <w:lang w:val="uk-UA"/>
              </w:rPr>
              <w:t xml:space="preserve"> </w:t>
            </w:r>
            <w:r w:rsidRPr="00042924">
              <w:rPr>
                <w:sz w:val="20"/>
                <w:szCs w:val="20"/>
                <w:lang w:val="uk-UA"/>
              </w:rPr>
              <w:t>Система</w:t>
            </w:r>
            <w:r w:rsidR="005D6A06" w:rsidRPr="00042924">
              <w:rPr>
                <w:sz w:val="20"/>
                <w:szCs w:val="20"/>
                <w:lang w:val="uk-UA"/>
              </w:rPr>
              <w:t xml:space="preserve"> </w:t>
            </w:r>
            <w:r w:rsidRPr="00042924">
              <w:rPr>
                <w:spacing w:val="-1"/>
                <w:sz w:val="20"/>
                <w:szCs w:val="20"/>
                <w:lang w:val="uk-UA"/>
              </w:rPr>
              <w:t>контролю</w:t>
            </w:r>
            <w:r w:rsidRPr="00042924">
              <w:rPr>
                <w:spacing w:val="-57"/>
                <w:sz w:val="20"/>
                <w:szCs w:val="20"/>
                <w:lang w:val="uk-UA"/>
              </w:rPr>
              <w:t xml:space="preserve"> </w:t>
            </w:r>
            <w:r w:rsidRPr="00042924">
              <w:rPr>
                <w:sz w:val="20"/>
                <w:szCs w:val="20"/>
                <w:lang w:val="uk-UA"/>
              </w:rPr>
              <w:t>замовлень</w:t>
            </w:r>
          </w:p>
        </w:tc>
        <w:tc>
          <w:tcPr>
            <w:tcW w:w="545" w:type="pct"/>
            <w:vAlign w:val="center"/>
          </w:tcPr>
          <w:p w14:paraId="32F25228" w14:textId="77777777" w:rsidR="00F80C0E" w:rsidRPr="00042924" w:rsidRDefault="00F80C0E" w:rsidP="00F80C0E">
            <w:pPr>
              <w:pStyle w:val="TableParagraph"/>
              <w:jc w:val="center"/>
              <w:rPr>
                <w:sz w:val="20"/>
                <w:szCs w:val="20"/>
                <w:lang w:val="uk-UA"/>
              </w:rPr>
            </w:pPr>
            <w:r w:rsidRPr="00042924">
              <w:rPr>
                <w:sz w:val="20"/>
                <w:szCs w:val="20"/>
                <w:lang w:val="uk-UA"/>
              </w:rPr>
              <w:t>0,025</w:t>
            </w:r>
          </w:p>
        </w:tc>
        <w:tc>
          <w:tcPr>
            <w:tcW w:w="532" w:type="pct"/>
            <w:vAlign w:val="center"/>
          </w:tcPr>
          <w:p w14:paraId="1546A0A6"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8" w:type="pct"/>
            <w:vAlign w:val="center"/>
          </w:tcPr>
          <w:p w14:paraId="518DCB28"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0,2</w:t>
            </w:r>
          </w:p>
        </w:tc>
        <w:tc>
          <w:tcPr>
            <w:tcW w:w="532" w:type="pct"/>
            <w:vAlign w:val="center"/>
          </w:tcPr>
          <w:p w14:paraId="47B7A8F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6BDA6AC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0,225</w:t>
            </w:r>
          </w:p>
        </w:tc>
        <w:tc>
          <w:tcPr>
            <w:tcW w:w="532" w:type="pct"/>
            <w:vAlign w:val="center"/>
          </w:tcPr>
          <w:p w14:paraId="353FBDC5"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2" w:type="pct"/>
            <w:vAlign w:val="center"/>
          </w:tcPr>
          <w:p w14:paraId="6960081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0,175</w:t>
            </w:r>
          </w:p>
        </w:tc>
      </w:tr>
      <w:tr w:rsidR="00F80C0E" w:rsidRPr="00042924" w14:paraId="794061AB" w14:textId="77777777" w:rsidTr="002A3C8C">
        <w:trPr>
          <w:trHeight w:val="340"/>
        </w:trPr>
        <w:tc>
          <w:tcPr>
            <w:tcW w:w="1430" w:type="pct"/>
            <w:vAlign w:val="center"/>
          </w:tcPr>
          <w:p w14:paraId="0CEE46F9" w14:textId="77777777" w:rsidR="00F80C0E" w:rsidRPr="00042924" w:rsidRDefault="00F80C0E" w:rsidP="00F80C0E">
            <w:pPr>
              <w:pStyle w:val="TableParagraph"/>
              <w:tabs>
                <w:tab w:val="left" w:pos="827"/>
              </w:tabs>
              <w:ind w:left="57"/>
              <w:rPr>
                <w:sz w:val="20"/>
                <w:szCs w:val="20"/>
                <w:lang w:val="uk-UA"/>
              </w:rPr>
            </w:pPr>
            <w:r w:rsidRPr="00042924">
              <w:rPr>
                <w:sz w:val="20"/>
                <w:szCs w:val="20"/>
                <w:lang w:val="uk-UA"/>
              </w:rPr>
              <w:t>4.</w:t>
            </w:r>
            <w:r w:rsidRPr="00042924">
              <w:rPr>
                <w:spacing w:val="-1"/>
                <w:sz w:val="20"/>
                <w:szCs w:val="20"/>
                <w:lang w:val="uk-UA"/>
              </w:rPr>
              <w:t>Просування</w:t>
            </w:r>
            <w:r w:rsidRPr="00042924">
              <w:rPr>
                <w:spacing w:val="-57"/>
                <w:sz w:val="20"/>
                <w:szCs w:val="20"/>
                <w:lang w:val="uk-UA"/>
              </w:rPr>
              <w:t xml:space="preserve"> </w:t>
            </w:r>
            <w:r w:rsidRPr="00042924">
              <w:rPr>
                <w:sz w:val="20"/>
                <w:szCs w:val="20"/>
                <w:lang w:val="uk-UA"/>
              </w:rPr>
              <w:t>товару</w:t>
            </w:r>
            <w:r w:rsidRPr="00042924">
              <w:rPr>
                <w:spacing w:val="-1"/>
                <w:sz w:val="20"/>
                <w:szCs w:val="20"/>
                <w:lang w:val="uk-UA"/>
              </w:rPr>
              <w:t xml:space="preserve"> </w:t>
            </w:r>
            <w:r w:rsidRPr="00042924">
              <w:rPr>
                <w:sz w:val="20"/>
                <w:szCs w:val="20"/>
                <w:lang w:val="uk-UA"/>
              </w:rPr>
              <w:t>на</w:t>
            </w:r>
            <w:r w:rsidRPr="00042924">
              <w:rPr>
                <w:spacing w:val="-1"/>
                <w:sz w:val="20"/>
                <w:szCs w:val="20"/>
                <w:lang w:val="uk-UA"/>
              </w:rPr>
              <w:t xml:space="preserve"> </w:t>
            </w:r>
            <w:r w:rsidRPr="00042924">
              <w:rPr>
                <w:sz w:val="20"/>
                <w:szCs w:val="20"/>
                <w:lang w:val="uk-UA"/>
              </w:rPr>
              <w:t>ринку</w:t>
            </w:r>
          </w:p>
        </w:tc>
        <w:tc>
          <w:tcPr>
            <w:tcW w:w="545" w:type="pct"/>
            <w:vAlign w:val="center"/>
          </w:tcPr>
          <w:p w14:paraId="2C2564D2" w14:textId="77777777" w:rsidR="00F80C0E" w:rsidRPr="00042924" w:rsidRDefault="00F80C0E" w:rsidP="00F80C0E">
            <w:pPr>
              <w:pStyle w:val="TableParagraph"/>
              <w:jc w:val="center"/>
              <w:rPr>
                <w:sz w:val="20"/>
                <w:szCs w:val="20"/>
                <w:lang w:val="uk-UA"/>
              </w:rPr>
            </w:pPr>
            <w:r w:rsidRPr="00042924">
              <w:rPr>
                <w:sz w:val="20"/>
                <w:szCs w:val="20"/>
                <w:lang w:val="uk-UA"/>
              </w:rPr>
              <w:t>0,1</w:t>
            </w:r>
          </w:p>
        </w:tc>
        <w:tc>
          <w:tcPr>
            <w:tcW w:w="532" w:type="pct"/>
            <w:vAlign w:val="center"/>
          </w:tcPr>
          <w:p w14:paraId="3199A621" w14:textId="77777777" w:rsidR="00F80C0E" w:rsidRPr="00042924" w:rsidRDefault="00F80C0E" w:rsidP="00F80C0E">
            <w:pPr>
              <w:jc w:val="center"/>
              <w:rPr>
                <w:rFonts w:ascii="Times New Roman" w:hAnsi="Times New Roman" w:cs="Times New Roman"/>
                <w:sz w:val="20"/>
                <w:szCs w:val="20"/>
                <w:lang w:val="uk-UA"/>
              </w:rPr>
            </w:pPr>
          </w:p>
        </w:tc>
        <w:tc>
          <w:tcPr>
            <w:tcW w:w="478" w:type="pct"/>
            <w:vAlign w:val="center"/>
          </w:tcPr>
          <w:p w14:paraId="6E8711A8"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4EBD59C9" w14:textId="77777777" w:rsidR="00F80C0E" w:rsidRPr="00042924" w:rsidRDefault="00F80C0E" w:rsidP="00F80C0E">
            <w:pPr>
              <w:jc w:val="center"/>
              <w:rPr>
                <w:rFonts w:ascii="Times New Roman" w:hAnsi="Times New Roman" w:cs="Times New Roman"/>
                <w:sz w:val="20"/>
                <w:szCs w:val="20"/>
                <w:lang w:val="uk-UA"/>
              </w:rPr>
            </w:pPr>
          </w:p>
        </w:tc>
        <w:tc>
          <w:tcPr>
            <w:tcW w:w="479" w:type="pct"/>
            <w:vAlign w:val="center"/>
          </w:tcPr>
          <w:p w14:paraId="512A4252" w14:textId="77777777" w:rsidR="00F80C0E" w:rsidRPr="00042924" w:rsidRDefault="00F80C0E" w:rsidP="00F80C0E">
            <w:pPr>
              <w:jc w:val="center"/>
              <w:rPr>
                <w:rFonts w:ascii="Times New Roman" w:hAnsi="Times New Roman" w:cs="Times New Roman"/>
                <w:sz w:val="20"/>
                <w:szCs w:val="20"/>
                <w:lang w:val="uk-UA"/>
              </w:rPr>
            </w:pPr>
          </w:p>
        </w:tc>
        <w:tc>
          <w:tcPr>
            <w:tcW w:w="532" w:type="pct"/>
            <w:vAlign w:val="center"/>
          </w:tcPr>
          <w:p w14:paraId="5D3F1682" w14:textId="77777777" w:rsidR="00F80C0E" w:rsidRPr="00042924" w:rsidRDefault="00F80C0E" w:rsidP="00F80C0E">
            <w:pPr>
              <w:jc w:val="center"/>
              <w:rPr>
                <w:rFonts w:ascii="Times New Roman" w:hAnsi="Times New Roman" w:cs="Times New Roman"/>
                <w:sz w:val="20"/>
                <w:szCs w:val="20"/>
                <w:lang w:val="uk-UA"/>
              </w:rPr>
            </w:pPr>
          </w:p>
        </w:tc>
        <w:tc>
          <w:tcPr>
            <w:tcW w:w="472" w:type="pct"/>
            <w:vAlign w:val="center"/>
          </w:tcPr>
          <w:p w14:paraId="584F6772" w14:textId="77777777" w:rsidR="00F80C0E" w:rsidRPr="00042924" w:rsidRDefault="00F80C0E" w:rsidP="00F80C0E">
            <w:pPr>
              <w:jc w:val="center"/>
              <w:rPr>
                <w:rFonts w:ascii="Times New Roman" w:hAnsi="Times New Roman" w:cs="Times New Roman"/>
                <w:sz w:val="20"/>
                <w:szCs w:val="20"/>
                <w:lang w:val="uk-UA"/>
              </w:rPr>
            </w:pPr>
          </w:p>
        </w:tc>
      </w:tr>
      <w:tr w:rsidR="00F80C0E" w:rsidRPr="00042924" w14:paraId="33D107AD" w14:textId="77777777" w:rsidTr="002A3C8C">
        <w:trPr>
          <w:trHeight w:val="340"/>
        </w:trPr>
        <w:tc>
          <w:tcPr>
            <w:tcW w:w="1430" w:type="pct"/>
            <w:vAlign w:val="center"/>
          </w:tcPr>
          <w:p w14:paraId="35EFD47C" w14:textId="77777777" w:rsidR="00F80C0E" w:rsidRPr="00042924" w:rsidRDefault="00F80C0E" w:rsidP="00F80C0E">
            <w:pPr>
              <w:pStyle w:val="TableParagraph"/>
              <w:ind w:left="57"/>
              <w:rPr>
                <w:sz w:val="20"/>
                <w:szCs w:val="20"/>
                <w:lang w:val="uk-UA"/>
              </w:rPr>
            </w:pPr>
            <w:r w:rsidRPr="00042924">
              <w:rPr>
                <w:sz w:val="20"/>
                <w:szCs w:val="20"/>
                <w:lang w:val="uk-UA"/>
              </w:rPr>
              <w:t>4.1</w:t>
            </w:r>
            <w:r w:rsidRPr="00042924">
              <w:rPr>
                <w:spacing w:val="-2"/>
                <w:sz w:val="20"/>
                <w:szCs w:val="20"/>
                <w:lang w:val="uk-UA"/>
              </w:rPr>
              <w:t xml:space="preserve"> </w:t>
            </w:r>
            <w:r w:rsidRPr="00042924">
              <w:rPr>
                <w:sz w:val="20"/>
                <w:szCs w:val="20"/>
                <w:lang w:val="uk-UA"/>
              </w:rPr>
              <w:t>Реклама</w:t>
            </w:r>
          </w:p>
        </w:tc>
        <w:tc>
          <w:tcPr>
            <w:tcW w:w="545" w:type="pct"/>
            <w:vAlign w:val="center"/>
          </w:tcPr>
          <w:p w14:paraId="4CB75A29" w14:textId="77777777" w:rsidR="00F80C0E" w:rsidRPr="00042924" w:rsidRDefault="00F80C0E" w:rsidP="00F80C0E">
            <w:pPr>
              <w:pStyle w:val="TableParagraph"/>
              <w:jc w:val="center"/>
              <w:rPr>
                <w:sz w:val="20"/>
                <w:szCs w:val="20"/>
                <w:lang w:val="uk-UA"/>
              </w:rPr>
            </w:pPr>
            <w:r w:rsidRPr="00042924">
              <w:rPr>
                <w:sz w:val="20"/>
                <w:szCs w:val="20"/>
                <w:lang w:val="uk-UA"/>
              </w:rPr>
              <w:t>0,1</w:t>
            </w:r>
          </w:p>
        </w:tc>
        <w:tc>
          <w:tcPr>
            <w:tcW w:w="532" w:type="pct"/>
            <w:vAlign w:val="center"/>
          </w:tcPr>
          <w:p w14:paraId="310AAAD1"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w:t>
            </w:r>
          </w:p>
        </w:tc>
        <w:tc>
          <w:tcPr>
            <w:tcW w:w="478" w:type="pct"/>
            <w:vAlign w:val="center"/>
          </w:tcPr>
          <w:p w14:paraId="0147D831"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0,8</w:t>
            </w:r>
          </w:p>
        </w:tc>
        <w:tc>
          <w:tcPr>
            <w:tcW w:w="532" w:type="pct"/>
            <w:vAlign w:val="center"/>
          </w:tcPr>
          <w:p w14:paraId="3C3D6F1F"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9</w:t>
            </w:r>
          </w:p>
        </w:tc>
        <w:tc>
          <w:tcPr>
            <w:tcW w:w="479" w:type="pct"/>
            <w:vAlign w:val="center"/>
          </w:tcPr>
          <w:p w14:paraId="1BDCCF42"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0,9</w:t>
            </w:r>
          </w:p>
        </w:tc>
        <w:tc>
          <w:tcPr>
            <w:tcW w:w="532" w:type="pct"/>
            <w:vAlign w:val="center"/>
          </w:tcPr>
          <w:p w14:paraId="0107D180"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w:t>
            </w:r>
          </w:p>
        </w:tc>
        <w:tc>
          <w:tcPr>
            <w:tcW w:w="472" w:type="pct"/>
            <w:vAlign w:val="center"/>
          </w:tcPr>
          <w:p w14:paraId="23FCC9A8"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0,7</w:t>
            </w:r>
          </w:p>
        </w:tc>
      </w:tr>
      <w:tr w:rsidR="00F80C0E" w:rsidRPr="00042924" w14:paraId="6FB6FB0B" w14:textId="77777777" w:rsidTr="002A3C8C">
        <w:trPr>
          <w:trHeight w:val="340"/>
        </w:trPr>
        <w:tc>
          <w:tcPr>
            <w:tcW w:w="1430" w:type="pct"/>
            <w:vAlign w:val="center"/>
          </w:tcPr>
          <w:p w14:paraId="75204E6D" w14:textId="77777777" w:rsidR="00F80C0E" w:rsidRPr="00042924" w:rsidRDefault="00F80C0E" w:rsidP="00F80C0E">
            <w:pPr>
              <w:pStyle w:val="TableParagraph"/>
              <w:ind w:left="57"/>
              <w:rPr>
                <w:sz w:val="20"/>
                <w:szCs w:val="20"/>
                <w:lang w:val="uk-UA"/>
              </w:rPr>
            </w:pPr>
            <w:r w:rsidRPr="00042924">
              <w:rPr>
                <w:sz w:val="20"/>
                <w:szCs w:val="20"/>
                <w:lang w:val="uk-UA"/>
              </w:rPr>
              <w:t>Загальна</w:t>
            </w:r>
            <w:r w:rsidRPr="00042924">
              <w:rPr>
                <w:spacing w:val="-3"/>
                <w:sz w:val="20"/>
                <w:szCs w:val="20"/>
                <w:lang w:val="uk-UA"/>
              </w:rPr>
              <w:t xml:space="preserve"> </w:t>
            </w:r>
            <w:r w:rsidRPr="00042924">
              <w:rPr>
                <w:sz w:val="20"/>
                <w:szCs w:val="20"/>
                <w:lang w:val="uk-UA"/>
              </w:rPr>
              <w:t>оцінка</w:t>
            </w:r>
          </w:p>
        </w:tc>
        <w:tc>
          <w:tcPr>
            <w:tcW w:w="545" w:type="pct"/>
            <w:vAlign w:val="center"/>
          </w:tcPr>
          <w:p w14:paraId="736D943B" w14:textId="77777777" w:rsidR="00F80C0E" w:rsidRPr="00042924" w:rsidRDefault="00F80C0E" w:rsidP="00F80C0E">
            <w:pPr>
              <w:pStyle w:val="TableParagraph"/>
              <w:jc w:val="center"/>
              <w:rPr>
                <w:sz w:val="20"/>
                <w:szCs w:val="20"/>
                <w:lang w:val="uk-UA"/>
              </w:rPr>
            </w:pPr>
            <w:r w:rsidRPr="00042924">
              <w:rPr>
                <w:sz w:val="20"/>
                <w:szCs w:val="20"/>
                <w:lang w:val="uk-UA"/>
              </w:rPr>
              <w:t>1</w:t>
            </w:r>
          </w:p>
        </w:tc>
        <w:tc>
          <w:tcPr>
            <w:tcW w:w="532" w:type="pct"/>
            <w:vAlign w:val="center"/>
          </w:tcPr>
          <w:p w14:paraId="4DDCA1EE" w14:textId="77777777" w:rsidR="00F80C0E" w:rsidRPr="00042924" w:rsidRDefault="00F80C0E" w:rsidP="00F80C0E">
            <w:pPr>
              <w:jc w:val="center"/>
              <w:rPr>
                <w:rFonts w:ascii="Times New Roman" w:hAnsi="Times New Roman" w:cs="Times New Roman"/>
                <w:sz w:val="20"/>
                <w:szCs w:val="20"/>
                <w:lang w:val="uk-UA"/>
              </w:rPr>
            </w:pPr>
          </w:p>
        </w:tc>
        <w:tc>
          <w:tcPr>
            <w:tcW w:w="478" w:type="pct"/>
            <w:vAlign w:val="center"/>
          </w:tcPr>
          <w:p w14:paraId="243D031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7,15</w:t>
            </w:r>
          </w:p>
        </w:tc>
        <w:tc>
          <w:tcPr>
            <w:tcW w:w="532" w:type="pct"/>
            <w:vAlign w:val="center"/>
          </w:tcPr>
          <w:p w14:paraId="53ACB58A" w14:textId="77777777" w:rsidR="00F80C0E" w:rsidRPr="00042924" w:rsidRDefault="00F80C0E" w:rsidP="00F80C0E">
            <w:pPr>
              <w:jc w:val="center"/>
              <w:rPr>
                <w:rFonts w:ascii="Times New Roman" w:hAnsi="Times New Roman" w:cs="Times New Roman"/>
                <w:sz w:val="20"/>
                <w:szCs w:val="20"/>
                <w:lang w:val="uk-UA"/>
              </w:rPr>
            </w:pPr>
          </w:p>
        </w:tc>
        <w:tc>
          <w:tcPr>
            <w:tcW w:w="479" w:type="pct"/>
            <w:vAlign w:val="center"/>
          </w:tcPr>
          <w:p w14:paraId="23BD58B5"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8,85</w:t>
            </w:r>
          </w:p>
        </w:tc>
        <w:tc>
          <w:tcPr>
            <w:tcW w:w="532" w:type="pct"/>
            <w:vAlign w:val="center"/>
          </w:tcPr>
          <w:p w14:paraId="3200EEF9" w14:textId="77777777" w:rsidR="00F80C0E" w:rsidRPr="00042924" w:rsidRDefault="00F80C0E" w:rsidP="00F80C0E">
            <w:pPr>
              <w:jc w:val="center"/>
              <w:rPr>
                <w:rFonts w:ascii="Times New Roman" w:hAnsi="Times New Roman" w:cs="Times New Roman"/>
                <w:sz w:val="20"/>
                <w:szCs w:val="20"/>
                <w:lang w:val="uk-UA"/>
              </w:rPr>
            </w:pPr>
          </w:p>
        </w:tc>
        <w:tc>
          <w:tcPr>
            <w:tcW w:w="472" w:type="pct"/>
            <w:vAlign w:val="center"/>
          </w:tcPr>
          <w:p w14:paraId="68DC8A6A" w14:textId="77777777" w:rsidR="00F80C0E" w:rsidRPr="00042924" w:rsidRDefault="00F80C0E" w:rsidP="00F80C0E">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6,15</w:t>
            </w:r>
          </w:p>
        </w:tc>
      </w:tr>
    </w:tbl>
    <w:bookmarkEnd w:id="15"/>
    <w:p w14:paraId="59C9BC79" w14:textId="77777777" w:rsidR="0087103C" w:rsidRPr="00042924" w:rsidRDefault="0063224F" w:rsidP="00EA05C8">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Джерело: </w:t>
      </w:r>
      <w:r w:rsidR="00EB40FC" w:rsidRPr="00E32FFC">
        <w:rPr>
          <w:rFonts w:ascii="Times New Roman" w:hAnsi="Times New Roman" w:cs="Times New Roman"/>
          <w:sz w:val="28"/>
          <w:szCs w:val="28"/>
          <w:lang w:val="uk-UA"/>
        </w:rPr>
        <w:t>складено автором на основі</w:t>
      </w:r>
      <w:r w:rsidR="00EB40FC"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и [</w:t>
      </w:r>
      <w:r w:rsidR="00D63CB2" w:rsidRPr="00042924">
        <w:rPr>
          <w:rFonts w:ascii="Times New Roman" w:eastAsia="Times New Roman" w:hAnsi="Times New Roman" w:cs="Times New Roman"/>
          <w:kern w:val="0"/>
          <w:sz w:val="28"/>
          <w:szCs w:val="28"/>
          <w:lang w:val="uk-UA"/>
          <w14:ligatures w14:val="none"/>
        </w:rPr>
        <w:t>36; 37</w:t>
      </w:r>
      <w:r w:rsidRPr="00042924">
        <w:rPr>
          <w:rFonts w:ascii="Times New Roman" w:eastAsia="Times New Roman" w:hAnsi="Times New Roman" w:cs="Times New Roman"/>
          <w:kern w:val="0"/>
          <w:sz w:val="28"/>
          <w:szCs w:val="28"/>
          <w:lang w:val="uk-UA"/>
          <w14:ligatures w14:val="none"/>
        </w:rPr>
        <w:t>]</w:t>
      </w:r>
    </w:p>
    <w:p w14:paraId="2B5041F4" w14:textId="77777777" w:rsidR="0063224F" w:rsidRPr="00042924" w:rsidRDefault="0063224F"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p>
    <w:p w14:paraId="40FEF8DE" w14:textId="77777777" w:rsidR="00F80C0E" w:rsidRPr="00042924" w:rsidRDefault="005D5387" w:rsidP="004C039B">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За результатами аналізу конкурентного профілю</w:t>
      </w:r>
      <w:r w:rsidR="00C70672" w:rsidRPr="00042924">
        <w:rPr>
          <w:rFonts w:ascii="Times New Roman" w:eastAsia="Times New Roman" w:hAnsi="Times New Roman" w:cs="Times New Roman"/>
          <w:kern w:val="0"/>
          <w:sz w:val="28"/>
          <w:szCs w:val="28"/>
          <w:lang w:val="uk-UA"/>
          <w14:ligatures w14:val="none"/>
        </w:rPr>
        <w:t xml:space="preserve"> за допомогою методу експертної оцінки</w:t>
      </w:r>
      <w:r w:rsidRPr="00042924">
        <w:rPr>
          <w:rFonts w:ascii="Times New Roman" w:eastAsia="Times New Roman" w:hAnsi="Times New Roman" w:cs="Times New Roman"/>
          <w:kern w:val="0"/>
          <w:sz w:val="28"/>
          <w:szCs w:val="28"/>
          <w:lang w:val="uk-UA"/>
          <w14:ligatures w14:val="none"/>
        </w:rPr>
        <w:t xml:space="preserve"> в табл. 2.3, ПАТ «</w:t>
      </w:r>
      <w:r w:rsidR="00B105A2" w:rsidRPr="00042924">
        <w:rPr>
          <w:rFonts w:ascii="Times New Roman" w:eastAsia="Times New Roman" w:hAnsi="Times New Roman" w:cs="Times New Roman"/>
          <w:spacing w:val="-1"/>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має найвищий загальний бал (8,85), </w:t>
      </w:r>
      <w:r w:rsidRPr="00042924">
        <w:rPr>
          <w:rFonts w:ascii="Times New Roman" w:eastAsia="Times New Roman" w:hAnsi="Times New Roman" w:cs="Times New Roman"/>
          <w:kern w:val="0"/>
          <w:sz w:val="28"/>
          <w:szCs w:val="28"/>
          <w:lang w:val="uk-UA"/>
          <w14:ligatures w14:val="none"/>
        </w:rPr>
        <w:lastRenderedPageBreak/>
        <w:t>ПАТ «Запоріжсталь» посідає друге місце (7,15), а ПрАТ «КАМЕТ-СТАЛЬ» має найнижчий бал (6,15).</w:t>
      </w:r>
    </w:p>
    <w:p w14:paraId="109E4494"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Оцінка фінансового стану базується на аналізі інформації, отриманої з фінансової звітності та бухгалтерського обліку, включаючи розрахунки та порівняння різних показників і коефіцієнтів. </w:t>
      </w:r>
    </w:p>
    <w:bookmarkEnd w:id="13"/>
    <w:p w14:paraId="22B992C5"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З метою глибшого розуміння фінансово-господарської діяльності підприємства проведемо аналіз показників його ефективності та їх динаміки за останні роки (див. таблиці 2.</w:t>
      </w:r>
      <w:r w:rsidR="007A66C4" w:rsidRPr="00042924">
        <w:rPr>
          <w:rFonts w:ascii="Times New Roman" w:eastAsia="Times New Roman" w:hAnsi="Times New Roman" w:cs="Times New Roman"/>
          <w:kern w:val="0"/>
          <w:sz w:val="28"/>
          <w:szCs w:val="28"/>
          <w:lang w:val="uk-UA"/>
          <w14:ligatures w14:val="none"/>
        </w:rPr>
        <w:t>4</w:t>
      </w:r>
      <w:r w:rsidRPr="00042924">
        <w:rPr>
          <w:rFonts w:ascii="Times New Roman" w:eastAsia="Times New Roman" w:hAnsi="Times New Roman" w:cs="Times New Roman"/>
          <w:kern w:val="0"/>
          <w:sz w:val="28"/>
          <w:szCs w:val="28"/>
          <w:lang w:val="uk-UA"/>
          <w14:ligatures w14:val="none"/>
        </w:rPr>
        <w:t xml:space="preserve"> – 2.</w:t>
      </w:r>
      <w:r w:rsidR="007A66C4" w:rsidRPr="00042924">
        <w:rPr>
          <w:rFonts w:ascii="Times New Roman" w:eastAsia="Times New Roman" w:hAnsi="Times New Roman" w:cs="Times New Roman"/>
          <w:kern w:val="0"/>
          <w:sz w:val="28"/>
          <w:szCs w:val="28"/>
          <w:lang w:val="uk-UA"/>
          <w14:ligatures w14:val="none"/>
        </w:rPr>
        <w:t>6</w:t>
      </w:r>
      <w:r w:rsidRPr="00042924">
        <w:rPr>
          <w:rFonts w:ascii="Times New Roman" w:eastAsia="Times New Roman" w:hAnsi="Times New Roman" w:cs="Times New Roman"/>
          <w:kern w:val="0"/>
          <w:sz w:val="28"/>
          <w:szCs w:val="28"/>
          <w:lang w:val="uk-UA"/>
          <w14:ligatures w14:val="none"/>
        </w:rPr>
        <w:t>).</w:t>
      </w:r>
    </w:p>
    <w:p w14:paraId="44406177"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spacing w:val="-68"/>
          <w:kern w:val="0"/>
          <w:sz w:val="28"/>
          <w:szCs w:val="28"/>
          <w:lang w:val="uk-UA"/>
          <w14:ligatures w14:val="none"/>
        </w:rPr>
      </w:pPr>
    </w:p>
    <w:p w14:paraId="74E7DA29" w14:textId="77777777" w:rsidR="000F5554" w:rsidRPr="00042924" w:rsidRDefault="000F5554" w:rsidP="001F06D5">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bookmarkStart w:id="16" w:name="_Hlk151573800"/>
      <w:r w:rsidRPr="00042924">
        <w:rPr>
          <w:rFonts w:ascii="Times New Roman" w:eastAsia="Times New Roman" w:hAnsi="Times New Roman" w:cs="Times New Roman"/>
          <w:kern w:val="0"/>
          <w:sz w:val="28"/>
          <w:szCs w:val="28"/>
          <w:lang w:val="uk-UA"/>
          <w14:ligatures w14:val="none"/>
        </w:rPr>
        <w:t>Таблиця</w:t>
      </w:r>
      <w:r w:rsidRPr="00042924">
        <w:rPr>
          <w:rFonts w:ascii="Times New Roman" w:eastAsia="Times New Roman" w:hAnsi="Times New Roman" w:cs="Times New Roman"/>
          <w:spacing w:val="-3"/>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2.</w:t>
      </w:r>
      <w:r w:rsidR="007A66C4" w:rsidRPr="00042924">
        <w:rPr>
          <w:rFonts w:ascii="Times New Roman" w:eastAsia="Times New Roman" w:hAnsi="Times New Roman" w:cs="Times New Roman"/>
          <w:kern w:val="0"/>
          <w:sz w:val="28"/>
          <w:szCs w:val="28"/>
          <w:lang w:val="uk-UA"/>
          <w14:ligatures w14:val="none"/>
        </w:rPr>
        <w:t>4</w:t>
      </w:r>
      <w:r w:rsidRPr="00042924">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 Аналіз показники ліквідності ПАТ</w:t>
      </w:r>
      <w:r w:rsidRPr="00042924">
        <w:rPr>
          <w:rFonts w:ascii="Times New Roman" w:eastAsia="Times New Roman" w:hAnsi="Times New Roman" w:cs="Times New Roman"/>
          <w:spacing w:val="-2"/>
          <w:kern w:val="0"/>
          <w:sz w:val="28"/>
          <w:szCs w:val="28"/>
          <w:lang w:val="uk-UA"/>
          <w14:ligatures w14:val="none"/>
        </w:rPr>
        <w:t xml:space="preserve"> </w:t>
      </w:r>
      <w:r w:rsidR="00B105A2" w:rsidRPr="00042924">
        <w:rPr>
          <w:rFonts w:ascii="Times New Roman" w:eastAsia="Times New Roman" w:hAnsi="Times New Roman" w:cs="Times New Roman"/>
          <w:spacing w:val="-1"/>
          <w:kern w:val="0"/>
          <w:sz w:val="28"/>
          <w:szCs w:val="28"/>
          <w:lang w:val="uk-UA"/>
          <w14:ligatures w14:val="none"/>
        </w:rPr>
        <w:t>«АМКР»</w:t>
      </w:r>
      <w:r w:rsidR="00BF114F">
        <w:rPr>
          <w:rFonts w:ascii="Times New Roman" w:eastAsia="Times New Roman" w:hAnsi="Times New Roman" w:cs="Times New Roman"/>
          <w:spacing w:val="-1"/>
          <w:kern w:val="0"/>
          <w:sz w:val="28"/>
          <w:szCs w:val="28"/>
          <w:lang w:val="uk-UA"/>
          <w14:ligatures w14:val="none"/>
        </w:rPr>
        <w:t xml:space="preserve"> за період 2020 – 2022 рр.</w:t>
      </w:r>
    </w:p>
    <w:tbl>
      <w:tblPr>
        <w:tblStyle w:val="TableNormal"/>
        <w:tblW w:w="4932"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977"/>
        <w:gridCol w:w="1418"/>
        <w:gridCol w:w="991"/>
        <w:gridCol w:w="991"/>
        <w:gridCol w:w="991"/>
        <w:gridCol w:w="1200"/>
        <w:gridCol w:w="1202"/>
        <w:gridCol w:w="6"/>
      </w:tblGrid>
      <w:tr w:rsidR="00CB3272" w:rsidRPr="00042924" w14:paraId="2934C28A" w14:textId="77777777" w:rsidTr="00CB3272">
        <w:trPr>
          <w:trHeight w:val="340"/>
          <w:jc w:val="center"/>
        </w:trPr>
        <w:tc>
          <w:tcPr>
            <w:tcW w:w="1522" w:type="pct"/>
            <w:vMerge w:val="restart"/>
            <w:tcBorders>
              <w:left w:val="single" w:sz="4" w:space="0" w:color="000000"/>
              <w:right w:val="single" w:sz="4" w:space="0" w:color="000000"/>
            </w:tcBorders>
            <w:vAlign w:val="center"/>
          </w:tcPr>
          <w:p w14:paraId="7DA93F1E"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Назва показника</w:t>
            </w:r>
          </w:p>
        </w:tc>
        <w:tc>
          <w:tcPr>
            <w:tcW w:w="725" w:type="pct"/>
            <w:vMerge w:val="restart"/>
            <w:tcBorders>
              <w:left w:val="single" w:sz="4" w:space="0" w:color="000000"/>
              <w:right w:val="single" w:sz="4" w:space="0" w:color="000000"/>
            </w:tcBorders>
            <w:vAlign w:val="center"/>
          </w:tcPr>
          <w:p w14:paraId="60E75536"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402A18"/>
                <w:sz w:val="20"/>
                <w:szCs w:val="20"/>
                <w:lang w:val="uk-UA" w:eastAsia="ru-RU"/>
              </w:rPr>
              <w:t>Нормативне  значення</w:t>
            </w:r>
          </w:p>
        </w:tc>
        <w:tc>
          <w:tcPr>
            <w:tcW w:w="507" w:type="pct"/>
            <w:vMerge w:val="restart"/>
            <w:tcBorders>
              <w:left w:val="single" w:sz="4" w:space="0" w:color="000000"/>
              <w:right w:val="single" w:sz="4" w:space="0" w:color="000000"/>
            </w:tcBorders>
            <w:vAlign w:val="center"/>
          </w:tcPr>
          <w:p w14:paraId="25BCE77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2020 р.</w:t>
            </w:r>
          </w:p>
        </w:tc>
        <w:tc>
          <w:tcPr>
            <w:tcW w:w="507" w:type="pct"/>
            <w:vMerge w:val="restart"/>
            <w:tcBorders>
              <w:left w:val="single" w:sz="4" w:space="0" w:color="000000"/>
              <w:right w:val="single" w:sz="4" w:space="0" w:color="000000"/>
            </w:tcBorders>
            <w:vAlign w:val="center"/>
          </w:tcPr>
          <w:p w14:paraId="5B077FF7"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2021 р.</w:t>
            </w:r>
          </w:p>
        </w:tc>
        <w:tc>
          <w:tcPr>
            <w:tcW w:w="507" w:type="pct"/>
            <w:vMerge w:val="restart"/>
            <w:tcBorders>
              <w:left w:val="single" w:sz="4" w:space="0" w:color="000000"/>
              <w:right w:val="single" w:sz="4" w:space="0" w:color="000000"/>
            </w:tcBorders>
            <w:vAlign w:val="center"/>
          </w:tcPr>
          <w:p w14:paraId="49C4FD1F"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r w:rsidRPr="00042924">
              <w:rPr>
                <w:rFonts w:ascii="Times New Roman" w:eastAsia="Times New Roman" w:hAnsi="Times New Roman" w:cs="Times New Roman"/>
                <w:color w:val="000000"/>
                <w:sz w:val="20"/>
                <w:szCs w:val="20"/>
                <w:lang w:val="uk-UA" w:eastAsia="ru-RU"/>
              </w:rPr>
              <w:t>2022 р.</w:t>
            </w:r>
          </w:p>
        </w:tc>
        <w:tc>
          <w:tcPr>
            <w:tcW w:w="1232" w:type="pct"/>
            <w:gridSpan w:val="3"/>
            <w:tcBorders>
              <w:left w:val="single" w:sz="4" w:space="0" w:color="000000"/>
              <w:bottom w:val="single" w:sz="4" w:space="0" w:color="000000"/>
              <w:right w:val="single" w:sz="4" w:space="0" w:color="000000"/>
            </w:tcBorders>
            <w:vAlign w:val="center"/>
          </w:tcPr>
          <w:p w14:paraId="252F78A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Абсолютне відхилення</w:t>
            </w:r>
          </w:p>
        </w:tc>
      </w:tr>
      <w:tr w:rsidR="00CB3272" w:rsidRPr="00042924" w14:paraId="23FDF238" w14:textId="77777777" w:rsidTr="00CB3272">
        <w:trPr>
          <w:gridAfter w:val="1"/>
          <w:wAfter w:w="3" w:type="pct"/>
          <w:trHeight w:val="340"/>
          <w:jc w:val="center"/>
        </w:trPr>
        <w:tc>
          <w:tcPr>
            <w:tcW w:w="1522" w:type="pct"/>
            <w:vMerge/>
            <w:tcBorders>
              <w:left w:val="single" w:sz="4" w:space="0" w:color="000000"/>
              <w:bottom w:val="single" w:sz="4" w:space="0" w:color="000000"/>
              <w:right w:val="single" w:sz="4" w:space="0" w:color="000000"/>
            </w:tcBorders>
            <w:vAlign w:val="center"/>
          </w:tcPr>
          <w:p w14:paraId="6817E51F"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p>
        </w:tc>
        <w:tc>
          <w:tcPr>
            <w:tcW w:w="725" w:type="pct"/>
            <w:vMerge/>
            <w:tcBorders>
              <w:left w:val="single" w:sz="4" w:space="0" w:color="000000"/>
              <w:bottom w:val="single" w:sz="4" w:space="0" w:color="000000"/>
              <w:right w:val="single" w:sz="4" w:space="0" w:color="000000"/>
            </w:tcBorders>
            <w:vAlign w:val="center"/>
          </w:tcPr>
          <w:p w14:paraId="77BDD0EB" w14:textId="77777777" w:rsidR="000F5554" w:rsidRPr="00042924" w:rsidRDefault="000F5554" w:rsidP="0029174C">
            <w:pPr>
              <w:jc w:val="center"/>
              <w:rPr>
                <w:rFonts w:ascii="Times New Roman" w:eastAsia="Times New Roman" w:hAnsi="Times New Roman" w:cs="Times New Roman"/>
                <w:color w:val="402A18"/>
                <w:sz w:val="20"/>
                <w:szCs w:val="20"/>
                <w:lang w:val="uk-UA" w:eastAsia="ru-RU"/>
              </w:rPr>
            </w:pPr>
          </w:p>
        </w:tc>
        <w:tc>
          <w:tcPr>
            <w:tcW w:w="507" w:type="pct"/>
            <w:vMerge/>
            <w:tcBorders>
              <w:left w:val="single" w:sz="4" w:space="0" w:color="000000"/>
              <w:bottom w:val="single" w:sz="4" w:space="0" w:color="000000"/>
              <w:right w:val="single" w:sz="4" w:space="0" w:color="000000"/>
            </w:tcBorders>
            <w:vAlign w:val="center"/>
          </w:tcPr>
          <w:p w14:paraId="4804AE79"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p>
        </w:tc>
        <w:tc>
          <w:tcPr>
            <w:tcW w:w="507" w:type="pct"/>
            <w:vMerge/>
            <w:tcBorders>
              <w:left w:val="single" w:sz="4" w:space="0" w:color="000000"/>
              <w:bottom w:val="single" w:sz="4" w:space="0" w:color="000000"/>
              <w:right w:val="single" w:sz="4" w:space="0" w:color="000000"/>
            </w:tcBorders>
            <w:vAlign w:val="center"/>
          </w:tcPr>
          <w:p w14:paraId="76A62F65"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p>
        </w:tc>
        <w:tc>
          <w:tcPr>
            <w:tcW w:w="507" w:type="pct"/>
            <w:vMerge/>
            <w:tcBorders>
              <w:left w:val="single" w:sz="4" w:space="0" w:color="000000"/>
              <w:bottom w:val="single" w:sz="4" w:space="0" w:color="000000"/>
              <w:right w:val="single" w:sz="4" w:space="0" w:color="000000"/>
            </w:tcBorders>
            <w:vAlign w:val="center"/>
          </w:tcPr>
          <w:p w14:paraId="607534EB"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p>
        </w:tc>
        <w:tc>
          <w:tcPr>
            <w:tcW w:w="614" w:type="pct"/>
            <w:tcBorders>
              <w:left w:val="single" w:sz="4" w:space="0" w:color="000000"/>
              <w:bottom w:val="single" w:sz="4" w:space="0" w:color="000000"/>
              <w:right w:val="single" w:sz="4" w:space="0" w:color="000000"/>
            </w:tcBorders>
            <w:vAlign w:val="center"/>
          </w:tcPr>
          <w:p w14:paraId="0B7C05B3" w14:textId="77777777" w:rsidR="000F5554" w:rsidRPr="006C319C" w:rsidRDefault="000F5554" w:rsidP="006C319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2021</w:t>
            </w:r>
            <w:r w:rsidR="006C319C">
              <w:rPr>
                <w:rFonts w:ascii="Times New Roman" w:hAnsi="Times New Roman" w:cs="Times New Roman"/>
                <w:color w:val="000000" w:themeColor="text1"/>
                <w:sz w:val="20"/>
                <w:szCs w:val="20"/>
                <w:lang w:val="uk-UA"/>
              </w:rPr>
              <w:t xml:space="preserve"> </w:t>
            </w:r>
            <w:r w:rsidRPr="00042924">
              <w:rPr>
                <w:rFonts w:ascii="Times New Roman" w:hAnsi="Times New Roman" w:cs="Times New Roman"/>
                <w:color w:val="000000" w:themeColor="text1"/>
                <w:sz w:val="20"/>
                <w:szCs w:val="20"/>
                <w:lang w:val="uk-UA"/>
              </w:rPr>
              <w:t>/</w:t>
            </w:r>
            <w:r w:rsidR="006C319C">
              <w:rPr>
                <w:rFonts w:ascii="Times New Roman" w:hAnsi="Times New Roman" w:cs="Times New Roman"/>
                <w:color w:val="000000" w:themeColor="text1"/>
                <w:sz w:val="20"/>
                <w:szCs w:val="20"/>
                <w:lang w:val="uk-UA"/>
              </w:rPr>
              <w:t xml:space="preserve"> </w:t>
            </w:r>
            <w:r w:rsidRPr="00042924">
              <w:rPr>
                <w:rFonts w:ascii="Times New Roman" w:hAnsi="Times New Roman" w:cs="Times New Roman"/>
                <w:color w:val="000000" w:themeColor="text1"/>
                <w:sz w:val="20"/>
                <w:szCs w:val="20"/>
                <w:lang w:val="uk-UA"/>
              </w:rPr>
              <w:t>2020</w:t>
            </w:r>
          </w:p>
        </w:tc>
        <w:tc>
          <w:tcPr>
            <w:tcW w:w="615" w:type="pct"/>
            <w:tcBorders>
              <w:left w:val="single" w:sz="4" w:space="0" w:color="000000"/>
              <w:bottom w:val="single" w:sz="4" w:space="0" w:color="000000"/>
              <w:right w:val="single" w:sz="4" w:space="0" w:color="000000"/>
            </w:tcBorders>
            <w:vAlign w:val="center"/>
          </w:tcPr>
          <w:p w14:paraId="2FF34DD7" w14:textId="77777777" w:rsidR="000F5554" w:rsidRPr="006C319C" w:rsidRDefault="000F5554" w:rsidP="006C319C">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2022</w:t>
            </w:r>
            <w:r w:rsidR="006C319C">
              <w:rPr>
                <w:rFonts w:ascii="Times New Roman" w:hAnsi="Times New Roman" w:cs="Times New Roman"/>
                <w:color w:val="000000" w:themeColor="text1"/>
                <w:sz w:val="20"/>
                <w:szCs w:val="20"/>
                <w:lang w:val="uk-UA"/>
              </w:rPr>
              <w:t xml:space="preserve"> </w:t>
            </w:r>
            <w:r w:rsidRPr="00042924">
              <w:rPr>
                <w:rFonts w:ascii="Times New Roman" w:hAnsi="Times New Roman" w:cs="Times New Roman"/>
                <w:color w:val="000000" w:themeColor="text1"/>
                <w:sz w:val="20"/>
                <w:szCs w:val="20"/>
                <w:lang w:val="uk-UA"/>
              </w:rPr>
              <w:t>/</w:t>
            </w:r>
            <w:r w:rsidR="006C319C">
              <w:rPr>
                <w:rFonts w:ascii="Times New Roman" w:hAnsi="Times New Roman" w:cs="Times New Roman"/>
                <w:color w:val="000000" w:themeColor="text1"/>
                <w:sz w:val="20"/>
                <w:szCs w:val="20"/>
                <w:lang w:val="uk-UA"/>
              </w:rPr>
              <w:t xml:space="preserve"> </w:t>
            </w:r>
            <w:r w:rsidRPr="00042924">
              <w:rPr>
                <w:rFonts w:ascii="Times New Roman" w:hAnsi="Times New Roman" w:cs="Times New Roman"/>
                <w:color w:val="000000" w:themeColor="text1"/>
                <w:sz w:val="20"/>
                <w:szCs w:val="20"/>
                <w:lang w:val="uk-UA"/>
              </w:rPr>
              <w:t>2021</w:t>
            </w:r>
          </w:p>
        </w:tc>
      </w:tr>
      <w:tr w:rsidR="00CB3272" w:rsidRPr="00042924" w14:paraId="1E6D9D7D" w14:textId="77777777" w:rsidTr="00CB3272">
        <w:trPr>
          <w:gridAfter w:val="1"/>
          <w:wAfter w:w="3" w:type="pct"/>
          <w:trHeight w:val="454"/>
          <w:jc w:val="center"/>
        </w:trPr>
        <w:tc>
          <w:tcPr>
            <w:tcW w:w="1522" w:type="pct"/>
            <w:tcBorders>
              <w:top w:val="single" w:sz="4" w:space="0" w:color="000000"/>
              <w:left w:val="single" w:sz="4" w:space="0" w:color="000000"/>
              <w:bottom w:val="single" w:sz="4" w:space="0" w:color="000000"/>
              <w:right w:val="single" w:sz="4" w:space="0" w:color="000000"/>
            </w:tcBorders>
            <w:vAlign w:val="center"/>
          </w:tcPr>
          <w:p w14:paraId="60422243"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402A18"/>
                <w:sz w:val="20"/>
                <w:szCs w:val="20"/>
                <w:lang w:val="uk-UA" w:eastAsia="ru-RU"/>
              </w:rPr>
              <w:t>Загальний коефіцієнт ліквідності</w:t>
            </w:r>
          </w:p>
        </w:tc>
        <w:tc>
          <w:tcPr>
            <w:tcW w:w="725" w:type="pct"/>
            <w:tcBorders>
              <w:top w:val="single" w:sz="4" w:space="0" w:color="000000"/>
              <w:left w:val="single" w:sz="4" w:space="0" w:color="000000"/>
              <w:bottom w:val="single" w:sz="4" w:space="0" w:color="000000"/>
              <w:right w:val="single" w:sz="4" w:space="0" w:color="000000"/>
            </w:tcBorders>
            <w:vAlign w:val="center"/>
          </w:tcPr>
          <w:p w14:paraId="64294EF6"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&gt; 1</w:t>
            </w:r>
          </w:p>
        </w:tc>
        <w:tc>
          <w:tcPr>
            <w:tcW w:w="507" w:type="pct"/>
            <w:tcBorders>
              <w:top w:val="single" w:sz="4" w:space="0" w:color="000000"/>
              <w:left w:val="single" w:sz="4" w:space="0" w:color="000000"/>
              <w:bottom w:val="single" w:sz="4" w:space="0" w:color="000000"/>
              <w:right w:val="single" w:sz="4" w:space="0" w:color="000000"/>
            </w:tcBorders>
            <w:vAlign w:val="center"/>
          </w:tcPr>
          <w:p w14:paraId="1FC71F6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1,68</w:t>
            </w:r>
          </w:p>
        </w:tc>
        <w:tc>
          <w:tcPr>
            <w:tcW w:w="507" w:type="pct"/>
            <w:tcBorders>
              <w:top w:val="single" w:sz="4" w:space="0" w:color="000000"/>
              <w:left w:val="single" w:sz="4" w:space="0" w:color="000000"/>
              <w:bottom w:val="single" w:sz="4" w:space="0" w:color="000000"/>
              <w:right w:val="single" w:sz="4" w:space="0" w:color="000000"/>
            </w:tcBorders>
            <w:vAlign w:val="center"/>
          </w:tcPr>
          <w:p w14:paraId="350CFC8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2,08</w:t>
            </w:r>
          </w:p>
        </w:tc>
        <w:tc>
          <w:tcPr>
            <w:tcW w:w="507" w:type="pct"/>
            <w:tcBorders>
              <w:top w:val="single" w:sz="4" w:space="0" w:color="000000"/>
              <w:left w:val="single" w:sz="4" w:space="0" w:color="000000"/>
              <w:bottom w:val="single" w:sz="4" w:space="0" w:color="000000"/>
              <w:right w:val="single" w:sz="4" w:space="0" w:color="000000"/>
            </w:tcBorders>
            <w:vAlign w:val="center"/>
          </w:tcPr>
          <w:p w14:paraId="4E3F8FEB"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r w:rsidRPr="00042924">
              <w:rPr>
                <w:rFonts w:ascii="Times New Roman" w:hAnsi="Times New Roman" w:cs="Times New Roman"/>
                <w:color w:val="000000"/>
                <w:sz w:val="20"/>
                <w:szCs w:val="20"/>
                <w:lang w:val="uk-UA"/>
              </w:rPr>
              <w:t>1,61</w:t>
            </w:r>
          </w:p>
        </w:tc>
        <w:tc>
          <w:tcPr>
            <w:tcW w:w="614" w:type="pct"/>
            <w:tcBorders>
              <w:top w:val="single" w:sz="4" w:space="0" w:color="000000"/>
              <w:left w:val="single" w:sz="4" w:space="0" w:color="000000"/>
              <w:right w:val="single" w:sz="4" w:space="0" w:color="000000"/>
            </w:tcBorders>
            <w:vAlign w:val="center"/>
          </w:tcPr>
          <w:p w14:paraId="778106E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24%</w:t>
            </w:r>
          </w:p>
        </w:tc>
        <w:tc>
          <w:tcPr>
            <w:tcW w:w="615" w:type="pct"/>
            <w:tcBorders>
              <w:top w:val="single" w:sz="4" w:space="0" w:color="000000"/>
              <w:left w:val="single" w:sz="4" w:space="0" w:color="000000"/>
              <w:right w:val="single" w:sz="4" w:space="0" w:color="000000"/>
            </w:tcBorders>
            <w:vAlign w:val="center"/>
          </w:tcPr>
          <w:p w14:paraId="2BF2D8A3"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-23%</w:t>
            </w:r>
          </w:p>
        </w:tc>
      </w:tr>
      <w:tr w:rsidR="00CB3272" w:rsidRPr="00042924" w14:paraId="6DF5D9B5" w14:textId="77777777" w:rsidTr="00CB3272">
        <w:trPr>
          <w:gridAfter w:val="1"/>
          <w:wAfter w:w="3" w:type="pct"/>
          <w:trHeight w:val="340"/>
          <w:jc w:val="center"/>
        </w:trPr>
        <w:tc>
          <w:tcPr>
            <w:tcW w:w="1522" w:type="pct"/>
            <w:tcBorders>
              <w:top w:val="single" w:sz="4" w:space="0" w:color="000000"/>
              <w:left w:val="single" w:sz="4" w:space="0" w:color="000000"/>
              <w:bottom w:val="single" w:sz="4" w:space="0" w:color="000000"/>
              <w:right w:val="single" w:sz="4" w:space="0" w:color="000000"/>
            </w:tcBorders>
            <w:vAlign w:val="center"/>
          </w:tcPr>
          <w:p w14:paraId="6E3F87B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Коефіцієнт швидкої ліквідності</w:t>
            </w:r>
          </w:p>
        </w:tc>
        <w:tc>
          <w:tcPr>
            <w:tcW w:w="725" w:type="pct"/>
            <w:tcBorders>
              <w:top w:val="single" w:sz="4" w:space="0" w:color="000000"/>
              <w:left w:val="single" w:sz="4" w:space="0" w:color="000000"/>
              <w:bottom w:val="single" w:sz="4" w:space="0" w:color="000000"/>
              <w:right w:val="single" w:sz="4" w:space="0" w:color="000000"/>
            </w:tcBorders>
            <w:vAlign w:val="center"/>
          </w:tcPr>
          <w:p w14:paraId="164595D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0,6 – 0,8</w:t>
            </w:r>
          </w:p>
        </w:tc>
        <w:tc>
          <w:tcPr>
            <w:tcW w:w="507" w:type="pct"/>
            <w:tcBorders>
              <w:top w:val="single" w:sz="4" w:space="0" w:color="000000"/>
              <w:left w:val="single" w:sz="4" w:space="0" w:color="000000"/>
              <w:bottom w:val="single" w:sz="4" w:space="0" w:color="000000"/>
              <w:right w:val="single" w:sz="4" w:space="0" w:color="000000"/>
            </w:tcBorders>
            <w:vAlign w:val="center"/>
          </w:tcPr>
          <w:p w14:paraId="06928C1D"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1,27</w:t>
            </w:r>
          </w:p>
        </w:tc>
        <w:tc>
          <w:tcPr>
            <w:tcW w:w="507" w:type="pct"/>
            <w:tcBorders>
              <w:top w:val="single" w:sz="4" w:space="0" w:color="000000"/>
              <w:left w:val="single" w:sz="4" w:space="0" w:color="000000"/>
              <w:bottom w:val="single" w:sz="4" w:space="0" w:color="000000"/>
              <w:right w:val="single" w:sz="4" w:space="0" w:color="000000"/>
            </w:tcBorders>
            <w:vAlign w:val="center"/>
          </w:tcPr>
          <w:p w14:paraId="3F15E5B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1,42</w:t>
            </w:r>
          </w:p>
        </w:tc>
        <w:tc>
          <w:tcPr>
            <w:tcW w:w="507" w:type="pct"/>
            <w:tcBorders>
              <w:top w:val="single" w:sz="4" w:space="0" w:color="000000"/>
              <w:left w:val="single" w:sz="4" w:space="0" w:color="000000"/>
              <w:bottom w:val="single" w:sz="4" w:space="0" w:color="000000"/>
              <w:right w:val="single" w:sz="4" w:space="0" w:color="000000"/>
            </w:tcBorders>
            <w:vAlign w:val="center"/>
          </w:tcPr>
          <w:p w14:paraId="461970C5"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r w:rsidRPr="00042924">
              <w:rPr>
                <w:rFonts w:ascii="Times New Roman" w:hAnsi="Times New Roman" w:cs="Times New Roman"/>
                <w:color w:val="000000"/>
                <w:sz w:val="20"/>
                <w:szCs w:val="20"/>
                <w:lang w:val="uk-UA"/>
              </w:rPr>
              <w:t>0,85</w:t>
            </w:r>
          </w:p>
        </w:tc>
        <w:tc>
          <w:tcPr>
            <w:tcW w:w="614" w:type="pct"/>
            <w:tcBorders>
              <w:left w:val="single" w:sz="4" w:space="0" w:color="000000"/>
              <w:right w:val="single" w:sz="4" w:space="0" w:color="000000"/>
            </w:tcBorders>
            <w:vAlign w:val="center"/>
          </w:tcPr>
          <w:p w14:paraId="59081B9E"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12%</w:t>
            </w:r>
          </w:p>
        </w:tc>
        <w:tc>
          <w:tcPr>
            <w:tcW w:w="615" w:type="pct"/>
            <w:tcBorders>
              <w:left w:val="single" w:sz="4" w:space="0" w:color="000000"/>
              <w:right w:val="single" w:sz="4" w:space="0" w:color="000000"/>
            </w:tcBorders>
            <w:vAlign w:val="center"/>
          </w:tcPr>
          <w:p w14:paraId="2718656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-40%</w:t>
            </w:r>
          </w:p>
        </w:tc>
      </w:tr>
      <w:tr w:rsidR="00CB3272" w:rsidRPr="00042924" w14:paraId="7617C0A5" w14:textId="77777777" w:rsidTr="008A6602">
        <w:trPr>
          <w:gridAfter w:val="1"/>
          <w:wAfter w:w="3" w:type="pct"/>
          <w:trHeight w:val="454"/>
          <w:jc w:val="center"/>
        </w:trPr>
        <w:tc>
          <w:tcPr>
            <w:tcW w:w="1522" w:type="pct"/>
            <w:tcBorders>
              <w:top w:val="single" w:sz="4" w:space="0" w:color="000000"/>
              <w:left w:val="single" w:sz="4" w:space="0" w:color="000000"/>
              <w:bottom w:val="single" w:sz="4" w:space="0" w:color="000000"/>
              <w:right w:val="single" w:sz="4" w:space="0" w:color="000000"/>
            </w:tcBorders>
            <w:vAlign w:val="center"/>
          </w:tcPr>
          <w:p w14:paraId="0BADD9B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Коефіцієнт абсолютної ліквідності</w:t>
            </w:r>
          </w:p>
        </w:tc>
        <w:tc>
          <w:tcPr>
            <w:tcW w:w="725" w:type="pct"/>
            <w:tcBorders>
              <w:top w:val="single" w:sz="4" w:space="0" w:color="000000"/>
              <w:left w:val="single" w:sz="4" w:space="0" w:color="000000"/>
              <w:bottom w:val="single" w:sz="4" w:space="0" w:color="000000"/>
              <w:right w:val="single" w:sz="4" w:space="0" w:color="000000"/>
            </w:tcBorders>
            <w:vAlign w:val="center"/>
          </w:tcPr>
          <w:p w14:paraId="2784DBD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0,1</w:t>
            </w:r>
          </w:p>
        </w:tc>
        <w:tc>
          <w:tcPr>
            <w:tcW w:w="507" w:type="pct"/>
            <w:tcBorders>
              <w:top w:val="single" w:sz="4" w:space="0" w:color="000000"/>
              <w:left w:val="single" w:sz="4" w:space="0" w:color="000000"/>
              <w:bottom w:val="single" w:sz="4" w:space="0" w:color="000000"/>
              <w:right w:val="single" w:sz="4" w:space="0" w:color="000000"/>
            </w:tcBorders>
            <w:vAlign w:val="center"/>
          </w:tcPr>
          <w:p w14:paraId="2EF211E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0,049</w:t>
            </w:r>
          </w:p>
        </w:tc>
        <w:tc>
          <w:tcPr>
            <w:tcW w:w="507" w:type="pct"/>
            <w:tcBorders>
              <w:top w:val="single" w:sz="4" w:space="0" w:color="000000"/>
              <w:left w:val="single" w:sz="4" w:space="0" w:color="000000"/>
              <w:bottom w:val="single" w:sz="4" w:space="0" w:color="000000"/>
              <w:right w:val="single" w:sz="4" w:space="0" w:color="000000"/>
            </w:tcBorders>
            <w:vAlign w:val="center"/>
          </w:tcPr>
          <w:p w14:paraId="17A5CC7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0,063</w:t>
            </w:r>
          </w:p>
        </w:tc>
        <w:tc>
          <w:tcPr>
            <w:tcW w:w="507" w:type="pct"/>
            <w:tcBorders>
              <w:top w:val="single" w:sz="4" w:space="0" w:color="000000"/>
              <w:left w:val="single" w:sz="4" w:space="0" w:color="000000"/>
              <w:bottom w:val="single" w:sz="4" w:space="0" w:color="000000"/>
              <w:right w:val="single" w:sz="4" w:space="0" w:color="000000"/>
            </w:tcBorders>
            <w:vAlign w:val="center"/>
          </w:tcPr>
          <w:p w14:paraId="4EA1F39B"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r w:rsidRPr="00042924">
              <w:rPr>
                <w:rFonts w:ascii="Times New Roman" w:hAnsi="Times New Roman" w:cs="Times New Roman"/>
                <w:color w:val="000000"/>
                <w:sz w:val="20"/>
                <w:szCs w:val="20"/>
                <w:lang w:val="uk-UA"/>
              </w:rPr>
              <w:t>0,052</w:t>
            </w:r>
          </w:p>
        </w:tc>
        <w:tc>
          <w:tcPr>
            <w:tcW w:w="614" w:type="pct"/>
            <w:tcBorders>
              <w:left w:val="single" w:sz="4" w:space="0" w:color="000000"/>
              <w:right w:val="single" w:sz="4" w:space="0" w:color="000000"/>
            </w:tcBorders>
            <w:vAlign w:val="center"/>
          </w:tcPr>
          <w:p w14:paraId="360B5D3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29%</w:t>
            </w:r>
          </w:p>
        </w:tc>
        <w:tc>
          <w:tcPr>
            <w:tcW w:w="615" w:type="pct"/>
            <w:tcBorders>
              <w:left w:val="single" w:sz="4" w:space="0" w:color="000000"/>
              <w:right w:val="single" w:sz="4" w:space="0" w:color="000000"/>
            </w:tcBorders>
            <w:vAlign w:val="center"/>
          </w:tcPr>
          <w:p w14:paraId="6D050ED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hAnsi="Times New Roman" w:cs="Times New Roman"/>
                <w:color w:val="000000"/>
                <w:sz w:val="20"/>
                <w:szCs w:val="20"/>
                <w:lang w:val="uk-UA"/>
              </w:rPr>
              <w:t>-18%</w:t>
            </w:r>
          </w:p>
        </w:tc>
      </w:tr>
      <w:tr w:rsidR="00CB3272" w:rsidRPr="00042924" w14:paraId="2722E8AD" w14:textId="77777777" w:rsidTr="008A6602">
        <w:trPr>
          <w:gridAfter w:val="1"/>
          <w:wAfter w:w="3" w:type="pct"/>
          <w:trHeight w:val="737"/>
          <w:jc w:val="center"/>
        </w:trPr>
        <w:tc>
          <w:tcPr>
            <w:tcW w:w="1522" w:type="pct"/>
            <w:tcBorders>
              <w:top w:val="single" w:sz="4" w:space="0" w:color="000000"/>
              <w:left w:val="single" w:sz="4" w:space="0" w:color="000000"/>
              <w:bottom w:val="single" w:sz="4" w:space="0" w:color="000000"/>
              <w:right w:val="single" w:sz="4" w:space="0" w:color="000000"/>
            </w:tcBorders>
            <w:vAlign w:val="center"/>
          </w:tcPr>
          <w:p w14:paraId="08467919" w14:textId="77777777" w:rsidR="00F53675" w:rsidRPr="00042924" w:rsidRDefault="00F53675" w:rsidP="00F53675">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Коефіцієнт співвідношення поточної дебіторської та кредиторської заборгованості</w:t>
            </w:r>
          </w:p>
        </w:tc>
        <w:tc>
          <w:tcPr>
            <w:tcW w:w="725" w:type="pct"/>
            <w:tcBorders>
              <w:top w:val="single" w:sz="4" w:space="0" w:color="000000"/>
              <w:left w:val="single" w:sz="4" w:space="0" w:color="000000"/>
              <w:bottom w:val="single" w:sz="4" w:space="0" w:color="000000"/>
              <w:right w:val="single" w:sz="4" w:space="0" w:color="000000"/>
            </w:tcBorders>
            <w:vAlign w:val="center"/>
          </w:tcPr>
          <w:p w14:paraId="12A07100" w14:textId="77777777" w:rsidR="00F53675" w:rsidRPr="00042924" w:rsidRDefault="00F53675" w:rsidP="00F53675">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 1</w:t>
            </w:r>
          </w:p>
        </w:tc>
        <w:tc>
          <w:tcPr>
            <w:tcW w:w="507" w:type="pct"/>
            <w:tcBorders>
              <w:top w:val="single" w:sz="4" w:space="0" w:color="000000"/>
              <w:left w:val="single" w:sz="4" w:space="0" w:color="000000"/>
              <w:bottom w:val="single" w:sz="4" w:space="0" w:color="000000"/>
              <w:right w:val="single" w:sz="4" w:space="0" w:color="000000"/>
            </w:tcBorders>
            <w:vAlign w:val="center"/>
          </w:tcPr>
          <w:p w14:paraId="301BDA54" w14:textId="77777777" w:rsidR="00F53675" w:rsidRPr="00042924" w:rsidRDefault="00F53675" w:rsidP="00F53675">
            <w:pPr>
              <w:jc w:val="center"/>
              <w:rPr>
                <w:rFonts w:ascii="Times New Roman" w:eastAsia="Times New Roman" w:hAnsi="Times New Roman" w:cs="Times New Roman"/>
                <w:sz w:val="20"/>
                <w:szCs w:val="20"/>
                <w:lang w:val="uk-UA"/>
              </w:rPr>
            </w:pPr>
            <w:r w:rsidRPr="00042924">
              <w:rPr>
                <w:rFonts w:ascii="Times New Roman" w:hAnsi="Times New Roman" w:cs="Times New Roman"/>
                <w:sz w:val="20"/>
                <w:szCs w:val="20"/>
                <w:lang w:val="uk-UA"/>
              </w:rPr>
              <w:t>1,69</w:t>
            </w:r>
          </w:p>
        </w:tc>
        <w:tc>
          <w:tcPr>
            <w:tcW w:w="507" w:type="pct"/>
            <w:tcBorders>
              <w:top w:val="single" w:sz="4" w:space="0" w:color="000000"/>
              <w:left w:val="single" w:sz="4" w:space="0" w:color="000000"/>
              <w:bottom w:val="single" w:sz="4" w:space="0" w:color="000000"/>
              <w:right w:val="single" w:sz="4" w:space="0" w:color="000000"/>
            </w:tcBorders>
            <w:vAlign w:val="center"/>
          </w:tcPr>
          <w:p w14:paraId="37938D60" w14:textId="77777777" w:rsidR="00F53675" w:rsidRPr="00042924" w:rsidRDefault="00F53675" w:rsidP="00F53675">
            <w:pPr>
              <w:jc w:val="center"/>
              <w:rPr>
                <w:rFonts w:ascii="Times New Roman" w:eastAsia="Times New Roman" w:hAnsi="Times New Roman" w:cs="Times New Roman"/>
                <w:sz w:val="20"/>
                <w:szCs w:val="20"/>
                <w:lang w:val="uk-UA"/>
              </w:rPr>
            </w:pPr>
            <w:r w:rsidRPr="00042924">
              <w:rPr>
                <w:rFonts w:ascii="Times New Roman" w:hAnsi="Times New Roman" w:cs="Times New Roman"/>
                <w:sz w:val="20"/>
                <w:szCs w:val="20"/>
                <w:lang w:val="uk-UA"/>
              </w:rPr>
              <w:t>1,55</w:t>
            </w:r>
          </w:p>
        </w:tc>
        <w:tc>
          <w:tcPr>
            <w:tcW w:w="507" w:type="pct"/>
            <w:tcBorders>
              <w:top w:val="single" w:sz="4" w:space="0" w:color="000000"/>
              <w:left w:val="single" w:sz="4" w:space="0" w:color="000000"/>
              <w:bottom w:val="single" w:sz="4" w:space="0" w:color="000000"/>
              <w:right w:val="single" w:sz="4" w:space="0" w:color="000000"/>
            </w:tcBorders>
            <w:vAlign w:val="center"/>
          </w:tcPr>
          <w:p w14:paraId="32A372F1" w14:textId="77777777" w:rsidR="00F53675" w:rsidRPr="00042924" w:rsidRDefault="00F53675" w:rsidP="00F53675">
            <w:pPr>
              <w:jc w:val="center"/>
              <w:rPr>
                <w:rFonts w:ascii="Times New Roman" w:eastAsia="Times New Roman" w:hAnsi="Times New Roman" w:cs="Times New Roman"/>
                <w:color w:val="000000"/>
                <w:sz w:val="20"/>
                <w:szCs w:val="20"/>
                <w:lang w:val="uk-UA" w:eastAsia="ru-RU"/>
              </w:rPr>
            </w:pPr>
            <w:r w:rsidRPr="00042924">
              <w:rPr>
                <w:rFonts w:ascii="Times New Roman" w:hAnsi="Times New Roman" w:cs="Times New Roman"/>
                <w:sz w:val="20"/>
                <w:szCs w:val="20"/>
                <w:lang w:val="uk-UA"/>
              </w:rPr>
              <w:t>1,06</w:t>
            </w:r>
          </w:p>
        </w:tc>
        <w:tc>
          <w:tcPr>
            <w:tcW w:w="614" w:type="pct"/>
            <w:tcBorders>
              <w:left w:val="single" w:sz="4" w:space="0" w:color="000000"/>
              <w:bottom w:val="single" w:sz="4" w:space="0" w:color="000000"/>
              <w:right w:val="single" w:sz="4" w:space="0" w:color="000000"/>
            </w:tcBorders>
            <w:vAlign w:val="center"/>
          </w:tcPr>
          <w:p w14:paraId="437D63F0" w14:textId="77777777" w:rsidR="00F53675" w:rsidRPr="00042924" w:rsidRDefault="00F53675" w:rsidP="00F53675">
            <w:pPr>
              <w:jc w:val="center"/>
              <w:rPr>
                <w:rFonts w:ascii="Times New Roman" w:eastAsia="Times New Roman" w:hAnsi="Times New Roman" w:cs="Times New Roman"/>
                <w:sz w:val="20"/>
                <w:szCs w:val="20"/>
                <w:lang w:val="uk-UA"/>
              </w:rPr>
            </w:pPr>
            <w:r w:rsidRPr="00042924">
              <w:rPr>
                <w:rFonts w:ascii="Times New Roman" w:hAnsi="Times New Roman" w:cs="Times New Roman"/>
                <w:sz w:val="20"/>
                <w:szCs w:val="20"/>
                <w:lang w:val="uk-UA"/>
              </w:rPr>
              <w:t>-8%</w:t>
            </w:r>
          </w:p>
        </w:tc>
        <w:tc>
          <w:tcPr>
            <w:tcW w:w="615" w:type="pct"/>
            <w:tcBorders>
              <w:left w:val="single" w:sz="4" w:space="0" w:color="000000"/>
              <w:bottom w:val="single" w:sz="4" w:space="0" w:color="000000"/>
              <w:right w:val="single" w:sz="4" w:space="0" w:color="000000"/>
            </w:tcBorders>
            <w:vAlign w:val="center"/>
          </w:tcPr>
          <w:p w14:paraId="3C6FC69A" w14:textId="77777777" w:rsidR="00F53675" w:rsidRPr="00042924" w:rsidRDefault="00F53675" w:rsidP="00F53675">
            <w:pPr>
              <w:jc w:val="center"/>
              <w:rPr>
                <w:rFonts w:ascii="Times New Roman" w:eastAsia="Times New Roman" w:hAnsi="Times New Roman" w:cs="Times New Roman"/>
                <w:sz w:val="20"/>
                <w:szCs w:val="20"/>
                <w:lang w:val="uk-UA"/>
              </w:rPr>
            </w:pPr>
            <w:r w:rsidRPr="00042924">
              <w:rPr>
                <w:rFonts w:ascii="Times New Roman" w:hAnsi="Times New Roman" w:cs="Times New Roman"/>
                <w:sz w:val="20"/>
                <w:szCs w:val="20"/>
                <w:lang w:val="uk-UA"/>
              </w:rPr>
              <w:t>-32%</w:t>
            </w:r>
          </w:p>
        </w:tc>
      </w:tr>
    </w:tbl>
    <w:p w14:paraId="0144E974" w14:textId="77777777" w:rsidR="000F5554" w:rsidRPr="00042924" w:rsidRDefault="000F5554" w:rsidP="000F5554">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Джерело: </w:t>
      </w:r>
      <w:r w:rsidR="00EB40FC" w:rsidRPr="00E32FFC">
        <w:rPr>
          <w:rFonts w:ascii="Times New Roman" w:hAnsi="Times New Roman" w:cs="Times New Roman"/>
          <w:sz w:val="28"/>
          <w:szCs w:val="28"/>
          <w:lang w:val="uk-UA"/>
        </w:rPr>
        <w:t>складено автором на основі</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z w:val="28"/>
          <w:szCs w:val="28"/>
          <w:lang w:val="uk-UA"/>
        </w:rPr>
        <w:t>[33]</w:t>
      </w:r>
    </w:p>
    <w:p w14:paraId="4BBCA7E2"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p>
    <w:p w14:paraId="1F817168"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Після ретельного аналізу ліквідності, представленого в таблиці 2.</w:t>
      </w:r>
      <w:r w:rsidR="007A66C4" w:rsidRPr="00042924">
        <w:rPr>
          <w:rFonts w:ascii="Times New Roman" w:eastAsia="Times New Roman" w:hAnsi="Times New Roman" w:cs="Times New Roman"/>
          <w:kern w:val="0"/>
          <w:sz w:val="28"/>
          <w:szCs w:val="28"/>
          <w:lang w:val="uk-UA"/>
          <w14:ligatures w14:val="none"/>
        </w:rPr>
        <w:t>4</w:t>
      </w:r>
      <w:r w:rsidRPr="00042924">
        <w:rPr>
          <w:rFonts w:ascii="Times New Roman" w:eastAsia="Times New Roman" w:hAnsi="Times New Roman" w:cs="Times New Roman"/>
          <w:kern w:val="0"/>
          <w:sz w:val="28"/>
          <w:szCs w:val="28"/>
          <w:lang w:val="uk-UA"/>
          <w14:ligatures w14:val="none"/>
        </w:rPr>
        <w:t xml:space="preserve">, можна зробити висновок, що загальний коефіцієнт ліквідності у 2021 році відзначився зростанням на 24% в порівнянні з 2020 роком. Це свідчить про позитивний тренд у платоспроможності підприємства. Проте, </w:t>
      </w:r>
      <w:r w:rsidR="006C319C" w:rsidRPr="006C319C">
        <w:rPr>
          <w:rFonts w:ascii="Times New Roman" w:eastAsia="Times New Roman" w:hAnsi="Times New Roman" w:cs="Times New Roman"/>
          <w:kern w:val="0"/>
          <w:sz w:val="28"/>
          <w:szCs w:val="28"/>
          <w:lang w:val="uk-UA"/>
          <w14:ligatures w14:val="none"/>
        </w:rPr>
        <w:t>спостерігається різке падіння</w:t>
      </w:r>
      <w:r w:rsidRPr="00042924">
        <w:rPr>
          <w:rFonts w:ascii="Times New Roman" w:eastAsia="Times New Roman" w:hAnsi="Times New Roman" w:cs="Times New Roman"/>
          <w:kern w:val="0"/>
          <w:sz w:val="28"/>
          <w:szCs w:val="28"/>
          <w:lang w:val="uk-UA"/>
          <w14:ligatures w14:val="none"/>
        </w:rPr>
        <w:t xml:space="preserve"> цього показника майже до рівня 2020 року у 2022 році, що </w:t>
      </w:r>
      <w:r w:rsidR="008E1AB8">
        <w:rPr>
          <w:rFonts w:ascii="Times New Roman" w:eastAsia="Times New Roman" w:hAnsi="Times New Roman" w:cs="Times New Roman"/>
          <w:kern w:val="0"/>
          <w:sz w:val="28"/>
          <w:szCs w:val="28"/>
          <w:lang w:val="uk-UA"/>
          <w14:ligatures w14:val="none"/>
        </w:rPr>
        <w:t>вказує на</w:t>
      </w:r>
      <w:r w:rsidRPr="00042924">
        <w:rPr>
          <w:rFonts w:ascii="Times New Roman" w:eastAsia="Times New Roman" w:hAnsi="Times New Roman" w:cs="Times New Roman"/>
          <w:kern w:val="0"/>
          <w:sz w:val="28"/>
          <w:szCs w:val="28"/>
          <w:lang w:val="uk-UA"/>
          <w14:ligatures w14:val="none"/>
        </w:rPr>
        <w:t xml:space="preserve"> певне погіршення ліквідності та здатності компанії вчасно виконувати поточні фінансові зобов'язання.</w:t>
      </w:r>
    </w:p>
    <w:p w14:paraId="43E85BBA"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Коефіцієнт швидкої ліквідності також відображає динаміку, характеризуючи зростання у 2021 році та раптове падіння у 2022 році. Це вказує на скорочення частки високоліквідних активів у загальній структурі активів компанії, що негативно впливає на її ліквідність.</w:t>
      </w:r>
    </w:p>
    <w:p w14:paraId="4413CA35" w14:textId="77777777" w:rsidR="000F5554" w:rsidRPr="00042924" w:rsidRDefault="007B4FF1"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7B4FF1">
        <w:rPr>
          <w:rFonts w:ascii="Times New Roman" w:eastAsia="Times New Roman" w:hAnsi="Times New Roman" w:cs="Times New Roman"/>
          <w:kern w:val="0"/>
          <w:sz w:val="28"/>
          <w:szCs w:val="28"/>
          <w:lang w:val="uk-UA"/>
          <w14:ligatures w14:val="none"/>
        </w:rPr>
        <w:t>Переходячи до подальшого розгляду, акцентуємо увагу на таблиці 2.5, де представлені дані щодо показників рентабельності, з метою отримання більш повного висновку про фінансовий стан та продуктивність підприємства</w:t>
      </w:r>
      <w:r w:rsidR="000F5554" w:rsidRPr="00042924">
        <w:rPr>
          <w:rFonts w:ascii="Times New Roman" w:eastAsia="Times New Roman" w:hAnsi="Times New Roman" w:cs="Times New Roman"/>
          <w:kern w:val="0"/>
          <w:sz w:val="28"/>
          <w:szCs w:val="28"/>
          <w:lang w:val="uk-UA"/>
          <w14:ligatures w14:val="none"/>
        </w:rPr>
        <w:t>.</w:t>
      </w:r>
    </w:p>
    <w:p w14:paraId="464132B6" w14:textId="77777777" w:rsidR="000F5554" w:rsidRPr="00042924" w:rsidRDefault="000F5554" w:rsidP="000F5554">
      <w:pPr>
        <w:widowControl w:val="0"/>
        <w:autoSpaceDE w:val="0"/>
        <w:autoSpaceDN w:val="0"/>
        <w:spacing w:after="0" w:line="240" w:lineRule="auto"/>
        <w:jc w:val="center"/>
        <w:rPr>
          <w:rFonts w:ascii="Times New Roman" w:eastAsia="Times New Roman" w:hAnsi="Times New Roman" w:cs="Times New Roman"/>
          <w:kern w:val="0"/>
          <w:sz w:val="28"/>
          <w:szCs w:val="28"/>
          <w:lang w:val="uk-UA"/>
          <w14:ligatures w14:val="none"/>
        </w:rPr>
      </w:pPr>
    </w:p>
    <w:p w14:paraId="4E4359B1" w14:textId="77777777" w:rsidR="000F5554" w:rsidRPr="00BF114F" w:rsidRDefault="000F5554" w:rsidP="001F06D5">
      <w:pPr>
        <w:widowControl w:val="0"/>
        <w:autoSpaceDE w:val="0"/>
        <w:autoSpaceDN w:val="0"/>
        <w:spacing w:after="0" w:line="240" w:lineRule="auto"/>
        <w:ind w:firstLine="709"/>
        <w:jc w:val="both"/>
        <w:rPr>
          <w:rFonts w:ascii="Times New Roman" w:eastAsia="Times New Roman" w:hAnsi="Times New Roman" w:cs="Times New Roman"/>
          <w:spacing w:val="-2"/>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Таблиця</w:t>
      </w:r>
      <w:r w:rsidRPr="00042924">
        <w:rPr>
          <w:rFonts w:ascii="Times New Roman" w:eastAsia="Times New Roman" w:hAnsi="Times New Roman" w:cs="Times New Roman"/>
          <w:spacing w:val="-3"/>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2.</w:t>
      </w:r>
      <w:r w:rsidR="007A66C4" w:rsidRPr="00042924">
        <w:rPr>
          <w:rFonts w:ascii="Times New Roman" w:eastAsia="Times New Roman" w:hAnsi="Times New Roman" w:cs="Times New Roman"/>
          <w:kern w:val="0"/>
          <w:sz w:val="28"/>
          <w:szCs w:val="28"/>
          <w:lang w:val="uk-UA"/>
          <w14:ligatures w14:val="none"/>
        </w:rPr>
        <w:t>5</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Аналіз показників рентабельності ПАТ</w:t>
      </w:r>
      <w:r w:rsidRPr="00042924">
        <w:rPr>
          <w:rFonts w:ascii="Times New Roman" w:eastAsia="Times New Roman" w:hAnsi="Times New Roman" w:cs="Times New Roman"/>
          <w:spacing w:val="-2"/>
          <w:kern w:val="0"/>
          <w:sz w:val="28"/>
          <w:szCs w:val="28"/>
          <w:lang w:val="uk-UA"/>
          <w14:ligatures w14:val="none"/>
        </w:rPr>
        <w:t xml:space="preserve"> </w:t>
      </w:r>
      <w:r w:rsidR="00B105A2" w:rsidRPr="00042924">
        <w:rPr>
          <w:rFonts w:ascii="Times New Roman" w:eastAsia="Times New Roman" w:hAnsi="Times New Roman" w:cs="Times New Roman"/>
          <w:spacing w:val="-1"/>
          <w:kern w:val="0"/>
          <w:sz w:val="28"/>
          <w:szCs w:val="28"/>
          <w:lang w:val="uk-UA"/>
          <w14:ligatures w14:val="none"/>
        </w:rPr>
        <w:t>«АМКР»</w:t>
      </w:r>
      <w:r w:rsidR="00BF114F">
        <w:rPr>
          <w:rFonts w:ascii="Times New Roman" w:eastAsia="Times New Roman" w:hAnsi="Times New Roman" w:cs="Times New Roman"/>
          <w:spacing w:val="-1"/>
          <w:kern w:val="0"/>
          <w:sz w:val="28"/>
          <w:szCs w:val="28"/>
          <w:lang w:val="uk-UA"/>
          <w14:ligatures w14:val="none"/>
        </w:rPr>
        <w:t xml:space="preserve"> за період 2020 – 2022 рр.</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914"/>
        <w:gridCol w:w="1409"/>
        <w:gridCol w:w="1409"/>
        <w:gridCol w:w="1409"/>
        <w:gridCol w:w="1384"/>
        <w:gridCol w:w="1386"/>
      </w:tblGrid>
      <w:tr w:rsidR="000F5554" w:rsidRPr="00042924" w14:paraId="1BCAF19C" w14:textId="77777777" w:rsidTr="0019456E">
        <w:trPr>
          <w:trHeight w:val="227"/>
          <w:jc w:val="center"/>
        </w:trPr>
        <w:tc>
          <w:tcPr>
            <w:tcW w:w="1470" w:type="pct"/>
            <w:vMerge w:val="restart"/>
            <w:vAlign w:val="center"/>
          </w:tcPr>
          <w:p w14:paraId="08D4B28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Показники</w:t>
            </w:r>
          </w:p>
        </w:tc>
        <w:tc>
          <w:tcPr>
            <w:tcW w:w="711" w:type="pct"/>
            <w:vMerge w:val="restart"/>
            <w:vAlign w:val="center"/>
          </w:tcPr>
          <w:p w14:paraId="62D15C46"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2020</w:t>
            </w:r>
          </w:p>
        </w:tc>
        <w:tc>
          <w:tcPr>
            <w:tcW w:w="711" w:type="pct"/>
            <w:vMerge w:val="restart"/>
            <w:vAlign w:val="center"/>
          </w:tcPr>
          <w:p w14:paraId="14CDDFF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2021</w:t>
            </w:r>
          </w:p>
        </w:tc>
        <w:tc>
          <w:tcPr>
            <w:tcW w:w="711" w:type="pct"/>
            <w:vMerge w:val="restart"/>
            <w:vAlign w:val="center"/>
          </w:tcPr>
          <w:p w14:paraId="3915EE3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2022</w:t>
            </w:r>
          </w:p>
        </w:tc>
        <w:tc>
          <w:tcPr>
            <w:tcW w:w="1397" w:type="pct"/>
            <w:gridSpan w:val="2"/>
            <w:vAlign w:val="center"/>
          </w:tcPr>
          <w:p w14:paraId="19603B2D"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eastAsia="ru-RU"/>
              </w:rPr>
              <w:t>Відхилення</w:t>
            </w:r>
          </w:p>
        </w:tc>
      </w:tr>
      <w:tr w:rsidR="000F5554" w:rsidRPr="00042924" w14:paraId="0D737462" w14:textId="77777777" w:rsidTr="0019456E">
        <w:trPr>
          <w:trHeight w:val="227"/>
          <w:jc w:val="center"/>
        </w:trPr>
        <w:tc>
          <w:tcPr>
            <w:tcW w:w="1470" w:type="pct"/>
            <w:vMerge/>
            <w:vAlign w:val="center"/>
          </w:tcPr>
          <w:p w14:paraId="53A3B35B"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711" w:type="pct"/>
            <w:vMerge/>
            <w:vAlign w:val="center"/>
          </w:tcPr>
          <w:p w14:paraId="4A24810D"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711" w:type="pct"/>
            <w:vMerge/>
            <w:vAlign w:val="center"/>
          </w:tcPr>
          <w:p w14:paraId="7577A523"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711" w:type="pct"/>
            <w:vMerge/>
            <w:vAlign w:val="center"/>
          </w:tcPr>
          <w:p w14:paraId="0A07329E" w14:textId="77777777" w:rsidR="000F5554" w:rsidRPr="00042924" w:rsidRDefault="000F5554" w:rsidP="0029174C">
            <w:pPr>
              <w:jc w:val="center"/>
              <w:rPr>
                <w:rFonts w:ascii="Times New Roman" w:eastAsia="Times New Roman" w:hAnsi="Times New Roman" w:cs="Times New Roman"/>
                <w:sz w:val="20"/>
                <w:szCs w:val="20"/>
                <w:lang w:val="uk-UA"/>
              </w:rPr>
            </w:pPr>
          </w:p>
        </w:tc>
        <w:tc>
          <w:tcPr>
            <w:tcW w:w="698" w:type="pct"/>
            <w:tcBorders>
              <w:top w:val="nil"/>
              <w:left w:val="nil"/>
              <w:bottom w:val="single" w:sz="8" w:space="0" w:color="auto"/>
              <w:right w:val="single" w:sz="8" w:space="0" w:color="auto"/>
            </w:tcBorders>
            <w:shd w:val="clear" w:color="auto" w:fill="auto"/>
            <w:vAlign w:val="center"/>
          </w:tcPr>
          <w:p w14:paraId="512D9776"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r w:rsidRPr="00042924">
              <w:rPr>
                <w:rFonts w:ascii="Times New Roman" w:eastAsia="Times New Roman" w:hAnsi="Times New Roman" w:cs="Times New Roman"/>
                <w:color w:val="000000"/>
                <w:sz w:val="20"/>
                <w:szCs w:val="20"/>
                <w:lang w:val="uk-UA"/>
              </w:rPr>
              <w:t>2021/ 2020</w:t>
            </w:r>
          </w:p>
        </w:tc>
        <w:tc>
          <w:tcPr>
            <w:tcW w:w="699" w:type="pct"/>
            <w:tcBorders>
              <w:top w:val="nil"/>
              <w:left w:val="nil"/>
              <w:bottom w:val="single" w:sz="8" w:space="0" w:color="auto"/>
              <w:right w:val="single" w:sz="8" w:space="0" w:color="auto"/>
            </w:tcBorders>
            <w:shd w:val="clear" w:color="auto" w:fill="auto"/>
            <w:vAlign w:val="center"/>
          </w:tcPr>
          <w:p w14:paraId="5D186F52" w14:textId="77777777" w:rsidR="000F5554" w:rsidRPr="00042924" w:rsidRDefault="000F5554" w:rsidP="0029174C">
            <w:pPr>
              <w:jc w:val="center"/>
              <w:rPr>
                <w:rFonts w:ascii="Times New Roman" w:eastAsia="Times New Roman" w:hAnsi="Times New Roman" w:cs="Times New Roman"/>
                <w:color w:val="000000"/>
                <w:sz w:val="20"/>
                <w:szCs w:val="20"/>
                <w:lang w:val="uk-UA" w:eastAsia="ru-RU"/>
              </w:rPr>
            </w:pPr>
            <w:r w:rsidRPr="00042924">
              <w:rPr>
                <w:rFonts w:ascii="Times New Roman" w:eastAsia="Times New Roman" w:hAnsi="Times New Roman" w:cs="Times New Roman"/>
                <w:color w:val="000000"/>
                <w:sz w:val="20"/>
                <w:szCs w:val="20"/>
                <w:lang w:val="uk-UA"/>
              </w:rPr>
              <w:t>2022/2021</w:t>
            </w:r>
          </w:p>
        </w:tc>
      </w:tr>
      <w:tr w:rsidR="00707083" w:rsidRPr="00042924" w14:paraId="63AE53EB" w14:textId="77777777" w:rsidTr="0019456E">
        <w:trPr>
          <w:trHeight w:val="227"/>
          <w:jc w:val="center"/>
        </w:trPr>
        <w:tc>
          <w:tcPr>
            <w:tcW w:w="1470" w:type="pct"/>
            <w:vAlign w:val="center"/>
          </w:tcPr>
          <w:p w14:paraId="2144940B" w14:textId="77777777" w:rsidR="00707083" w:rsidRPr="00042924" w:rsidRDefault="00707083"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w:t>
            </w:r>
          </w:p>
        </w:tc>
        <w:tc>
          <w:tcPr>
            <w:tcW w:w="711" w:type="pct"/>
            <w:vAlign w:val="center"/>
          </w:tcPr>
          <w:p w14:paraId="5EF02590" w14:textId="77777777" w:rsidR="00707083" w:rsidRPr="00042924" w:rsidRDefault="00707083"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2</w:t>
            </w:r>
          </w:p>
        </w:tc>
        <w:tc>
          <w:tcPr>
            <w:tcW w:w="711" w:type="pct"/>
            <w:vAlign w:val="center"/>
          </w:tcPr>
          <w:p w14:paraId="3DDDEEAA" w14:textId="77777777" w:rsidR="00707083" w:rsidRPr="00042924" w:rsidRDefault="00707083"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3</w:t>
            </w:r>
          </w:p>
        </w:tc>
        <w:tc>
          <w:tcPr>
            <w:tcW w:w="711" w:type="pct"/>
            <w:vAlign w:val="center"/>
          </w:tcPr>
          <w:p w14:paraId="0619B213" w14:textId="77777777" w:rsidR="00707083" w:rsidRPr="00042924" w:rsidRDefault="00707083"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4</w:t>
            </w:r>
          </w:p>
        </w:tc>
        <w:tc>
          <w:tcPr>
            <w:tcW w:w="698" w:type="pct"/>
            <w:vAlign w:val="center"/>
          </w:tcPr>
          <w:p w14:paraId="22D12CDD" w14:textId="77777777" w:rsidR="00707083" w:rsidRPr="00042924" w:rsidRDefault="00707083"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5</w:t>
            </w:r>
          </w:p>
        </w:tc>
        <w:tc>
          <w:tcPr>
            <w:tcW w:w="699" w:type="pct"/>
            <w:vAlign w:val="center"/>
          </w:tcPr>
          <w:p w14:paraId="4DB2E956" w14:textId="77777777" w:rsidR="00707083" w:rsidRPr="00042924" w:rsidRDefault="00707083"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6</w:t>
            </w:r>
          </w:p>
        </w:tc>
      </w:tr>
      <w:tr w:rsidR="000F5554" w:rsidRPr="00042924" w14:paraId="547009A9" w14:textId="77777777" w:rsidTr="008A6602">
        <w:trPr>
          <w:trHeight w:val="227"/>
          <w:jc w:val="center"/>
        </w:trPr>
        <w:tc>
          <w:tcPr>
            <w:tcW w:w="1470" w:type="pct"/>
            <w:vAlign w:val="center"/>
          </w:tcPr>
          <w:p w14:paraId="31D649B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Рентабельність продаж</w:t>
            </w:r>
          </w:p>
        </w:tc>
        <w:tc>
          <w:tcPr>
            <w:tcW w:w="711" w:type="pct"/>
            <w:vAlign w:val="center"/>
          </w:tcPr>
          <w:p w14:paraId="04D7E30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0,012</w:t>
            </w:r>
          </w:p>
        </w:tc>
        <w:tc>
          <w:tcPr>
            <w:tcW w:w="711" w:type="pct"/>
            <w:vAlign w:val="center"/>
          </w:tcPr>
          <w:p w14:paraId="692D57A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0,231</w:t>
            </w:r>
          </w:p>
        </w:tc>
        <w:tc>
          <w:tcPr>
            <w:tcW w:w="711" w:type="pct"/>
            <w:vAlign w:val="center"/>
          </w:tcPr>
          <w:p w14:paraId="0B89D41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-1,118</w:t>
            </w:r>
          </w:p>
        </w:tc>
        <w:tc>
          <w:tcPr>
            <w:tcW w:w="698" w:type="pct"/>
            <w:vAlign w:val="center"/>
          </w:tcPr>
          <w:p w14:paraId="419AC92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1977,13%</w:t>
            </w:r>
          </w:p>
        </w:tc>
        <w:tc>
          <w:tcPr>
            <w:tcW w:w="699" w:type="pct"/>
            <w:vAlign w:val="center"/>
          </w:tcPr>
          <w:p w14:paraId="6A22CF1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-484,81%</w:t>
            </w:r>
          </w:p>
        </w:tc>
      </w:tr>
      <w:tr w:rsidR="00707083" w:rsidRPr="00042924" w14:paraId="5EE1BB13" w14:textId="77777777" w:rsidTr="002A3C8C">
        <w:trPr>
          <w:trHeight w:val="340"/>
          <w:jc w:val="center"/>
        </w:trPr>
        <w:tc>
          <w:tcPr>
            <w:tcW w:w="5000" w:type="pct"/>
            <w:gridSpan w:val="6"/>
            <w:tcBorders>
              <w:top w:val="nil"/>
              <w:left w:val="nil"/>
              <w:right w:val="nil"/>
            </w:tcBorders>
          </w:tcPr>
          <w:p w14:paraId="692F83D7" w14:textId="77777777" w:rsidR="00707083" w:rsidRPr="0019456E" w:rsidRDefault="00707083" w:rsidP="000A6743">
            <w:pPr>
              <w:ind w:firstLine="284"/>
              <w:jc w:val="right"/>
              <w:rPr>
                <w:rFonts w:ascii="Times New Roman" w:eastAsia="Times New Roman" w:hAnsi="Times New Roman" w:cs="Times New Roman"/>
                <w:color w:val="000000"/>
                <w:sz w:val="28"/>
                <w:szCs w:val="28"/>
                <w:lang w:val="uk-UA"/>
              </w:rPr>
            </w:pPr>
            <w:r w:rsidRPr="0019456E">
              <w:rPr>
                <w:rFonts w:ascii="Times New Roman" w:eastAsia="Times New Roman" w:hAnsi="Times New Roman" w:cs="Times New Roman"/>
                <w:color w:val="000000"/>
                <w:sz w:val="28"/>
                <w:szCs w:val="28"/>
                <w:lang w:val="uk-UA"/>
              </w:rPr>
              <w:lastRenderedPageBreak/>
              <w:t xml:space="preserve">Продовження таблиці </w:t>
            </w:r>
            <w:r w:rsidR="007A66C4" w:rsidRPr="0019456E">
              <w:rPr>
                <w:rFonts w:ascii="Times New Roman" w:eastAsia="Times New Roman" w:hAnsi="Times New Roman" w:cs="Times New Roman"/>
                <w:color w:val="000000"/>
                <w:sz w:val="28"/>
                <w:szCs w:val="28"/>
                <w:lang w:val="uk-UA"/>
              </w:rPr>
              <w:t>2.5</w:t>
            </w:r>
          </w:p>
        </w:tc>
      </w:tr>
      <w:tr w:rsidR="00707083" w:rsidRPr="00042924" w14:paraId="7C058ECB" w14:textId="77777777" w:rsidTr="00707083">
        <w:trPr>
          <w:trHeight w:val="170"/>
          <w:jc w:val="center"/>
        </w:trPr>
        <w:tc>
          <w:tcPr>
            <w:tcW w:w="1470" w:type="pct"/>
            <w:vAlign w:val="center"/>
          </w:tcPr>
          <w:p w14:paraId="14D2BE4B" w14:textId="77777777" w:rsidR="00707083" w:rsidRPr="00042924" w:rsidRDefault="007A66C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1</w:t>
            </w:r>
          </w:p>
        </w:tc>
        <w:tc>
          <w:tcPr>
            <w:tcW w:w="711" w:type="pct"/>
            <w:vAlign w:val="center"/>
          </w:tcPr>
          <w:p w14:paraId="73DAF66B" w14:textId="77777777" w:rsidR="00707083" w:rsidRPr="00042924" w:rsidRDefault="007A66C4"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2</w:t>
            </w:r>
          </w:p>
        </w:tc>
        <w:tc>
          <w:tcPr>
            <w:tcW w:w="711" w:type="pct"/>
            <w:vAlign w:val="center"/>
          </w:tcPr>
          <w:p w14:paraId="322C6966" w14:textId="77777777" w:rsidR="00707083" w:rsidRPr="00042924" w:rsidRDefault="007A66C4"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3</w:t>
            </w:r>
          </w:p>
        </w:tc>
        <w:tc>
          <w:tcPr>
            <w:tcW w:w="711" w:type="pct"/>
            <w:vAlign w:val="center"/>
          </w:tcPr>
          <w:p w14:paraId="6CD431B6" w14:textId="77777777" w:rsidR="00707083" w:rsidRPr="00042924" w:rsidRDefault="007A66C4"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4</w:t>
            </w:r>
          </w:p>
        </w:tc>
        <w:tc>
          <w:tcPr>
            <w:tcW w:w="698" w:type="pct"/>
            <w:vAlign w:val="center"/>
          </w:tcPr>
          <w:p w14:paraId="23841425" w14:textId="77777777" w:rsidR="00707083" w:rsidRPr="00042924" w:rsidRDefault="007A66C4"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5</w:t>
            </w:r>
          </w:p>
        </w:tc>
        <w:tc>
          <w:tcPr>
            <w:tcW w:w="699" w:type="pct"/>
            <w:vAlign w:val="center"/>
          </w:tcPr>
          <w:p w14:paraId="1D05A131" w14:textId="77777777" w:rsidR="00707083" w:rsidRPr="00042924" w:rsidRDefault="007A66C4" w:rsidP="0029174C">
            <w:pPr>
              <w:jc w:val="center"/>
              <w:rPr>
                <w:rFonts w:ascii="Times New Roman" w:eastAsia="Times New Roman" w:hAnsi="Times New Roman" w:cs="Times New Roman"/>
                <w:color w:val="000000"/>
                <w:sz w:val="20"/>
                <w:szCs w:val="20"/>
                <w:lang w:val="uk-UA"/>
              </w:rPr>
            </w:pPr>
            <w:r w:rsidRPr="00042924">
              <w:rPr>
                <w:rFonts w:ascii="Times New Roman" w:eastAsia="Times New Roman" w:hAnsi="Times New Roman" w:cs="Times New Roman"/>
                <w:color w:val="000000"/>
                <w:sz w:val="20"/>
                <w:szCs w:val="20"/>
                <w:lang w:val="uk-UA"/>
              </w:rPr>
              <w:t>6</w:t>
            </w:r>
          </w:p>
        </w:tc>
      </w:tr>
      <w:tr w:rsidR="000F5554" w:rsidRPr="00042924" w14:paraId="0F4D22F8" w14:textId="77777777" w:rsidTr="0029174C">
        <w:trPr>
          <w:trHeight w:val="340"/>
          <w:jc w:val="center"/>
        </w:trPr>
        <w:tc>
          <w:tcPr>
            <w:tcW w:w="1470" w:type="pct"/>
            <w:vAlign w:val="center"/>
          </w:tcPr>
          <w:p w14:paraId="7C43F236"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Рентабельність капіталу</w:t>
            </w:r>
          </w:p>
        </w:tc>
        <w:tc>
          <w:tcPr>
            <w:tcW w:w="711" w:type="pct"/>
            <w:vAlign w:val="center"/>
          </w:tcPr>
          <w:p w14:paraId="55AFF42E"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0,008</w:t>
            </w:r>
          </w:p>
        </w:tc>
        <w:tc>
          <w:tcPr>
            <w:tcW w:w="711" w:type="pct"/>
            <w:vAlign w:val="center"/>
          </w:tcPr>
          <w:p w14:paraId="5A377E92"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0,238</w:t>
            </w:r>
          </w:p>
        </w:tc>
        <w:tc>
          <w:tcPr>
            <w:tcW w:w="711" w:type="pct"/>
            <w:vAlign w:val="center"/>
          </w:tcPr>
          <w:p w14:paraId="1DFF9C87"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-0,930</w:t>
            </w:r>
          </w:p>
        </w:tc>
        <w:tc>
          <w:tcPr>
            <w:tcW w:w="698" w:type="pct"/>
            <w:vAlign w:val="center"/>
          </w:tcPr>
          <w:p w14:paraId="7224B9B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2842,05%</w:t>
            </w:r>
          </w:p>
        </w:tc>
        <w:tc>
          <w:tcPr>
            <w:tcW w:w="699" w:type="pct"/>
            <w:vAlign w:val="center"/>
          </w:tcPr>
          <w:p w14:paraId="05F47C3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-390,32%</w:t>
            </w:r>
          </w:p>
        </w:tc>
      </w:tr>
      <w:tr w:rsidR="000F5554" w:rsidRPr="00042924" w14:paraId="257F5F3C" w14:textId="77777777" w:rsidTr="0029174C">
        <w:trPr>
          <w:trHeight w:val="340"/>
          <w:jc w:val="center"/>
        </w:trPr>
        <w:tc>
          <w:tcPr>
            <w:tcW w:w="1470" w:type="pct"/>
            <w:vAlign w:val="center"/>
          </w:tcPr>
          <w:p w14:paraId="1D433C4B"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Рентабельність необоротних активів</w:t>
            </w:r>
          </w:p>
        </w:tc>
        <w:tc>
          <w:tcPr>
            <w:tcW w:w="711" w:type="pct"/>
            <w:vAlign w:val="center"/>
          </w:tcPr>
          <w:p w14:paraId="376CC590"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0,013</w:t>
            </w:r>
          </w:p>
        </w:tc>
        <w:tc>
          <w:tcPr>
            <w:tcW w:w="711" w:type="pct"/>
            <w:vAlign w:val="center"/>
          </w:tcPr>
          <w:p w14:paraId="62E4079E"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0,419</w:t>
            </w:r>
          </w:p>
        </w:tc>
        <w:tc>
          <w:tcPr>
            <w:tcW w:w="711" w:type="pct"/>
            <w:vAlign w:val="center"/>
          </w:tcPr>
          <w:p w14:paraId="61051E3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-2,133</w:t>
            </w:r>
          </w:p>
        </w:tc>
        <w:tc>
          <w:tcPr>
            <w:tcW w:w="698" w:type="pct"/>
            <w:vAlign w:val="center"/>
          </w:tcPr>
          <w:p w14:paraId="1C656B2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3296,91%</w:t>
            </w:r>
          </w:p>
        </w:tc>
        <w:tc>
          <w:tcPr>
            <w:tcW w:w="699" w:type="pct"/>
            <w:vAlign w:val="center"/>
          </w:tcPr>
          <w:p w14:paraId="79CC1645"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-509,06%</w:t>
            </w:r>
          </w:p>
        </w:tc>
      </w:tr>
      <w:tr w:rsidR="000F5554" w:rsidRPr="00042924" w14:paraId="67574DD6" w14:textId="77777777" w:rsidTr="0029174C">
        <w:trPr>
          <w:trHeight w:val="340"/>
          <w:jc w:val="center"/>
        </w:trPr>
        <w:tc>
          <w:tcPr>
            <w:tcW w:w="1470" w:type="pct"/>
            <w:vAlign w:val="center"/>
          </w:tcPr>
          <w:p w14:paraId="2275588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Рентабельність власного капіталу</w:t>
            </w:r>
          </w:p>
        </w:tc>
        <w:tc>
          <w:tcPr>
            <w:tcW w:w="711" w:type="pct"/>
            <w:vAlign w:val="center"/>
          </w:tcPr>
          <w:p w14:paraId="0AD27483"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0,012</w:t>
            </w:r>
          </w:p>
        </w:tc>
        <w:tc>
          <w:tcPr>
            <w:tcW w:w="711" w:type="pct"/>
            <w:vAlign w:val="center"/>
          </w:tcPr>
          <w:p w14:paraId="46CC78E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0,329</w:t>
            </w:r>
          </w:p>
        </w:tc>
        <w:tc>
          <w:tcPr>
            <w:tcW w:w="711" w:type="pct"/>
            <w:vAlign w:val="center"/>
          </w:tcPr>
          <w:p w14:paraId="2D47931C"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-1,737</w:t>
            </w:r>
          </w:p>
        </w:tc>
        <w:tc>
          <w:tcPr>
            <w:tcW w:w="698" w:type="pct"/>
            <w:vAlign w:val="center"/>
          </w:tcPr>
          <w:p w14:paraId="2DE35471"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2706,63%</w:t>
            </w:r>
          </w:p>
        </w:tc>
        <w:tc>
          <w:tcPr>
            <w:tcW w:w="699" w:type="pct"/>
            <w:vAlign w:val="center"/>
          </w:tcPr>
          <w:p w14:paraId="052B4088"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-527,36%</w:t>
            </w:r>
          </w:p>
        </w:tc>
      </w:tr>
      <w:tr w:rsidR="000F5554" w:rsidRPr="00042924" w14:paraId="48D3ACEF" w14:textId="77777777" w:rsidTr="0029174C">
        <w:trPr>
          <w:trHeight w:val="340"/>
          <w:jc w:val="center"/>
        </w:trPr>
        <w:tc>
          <w:tcPr>
            <w:tcW w:w="1470" w:type="pct"/>
            <w:vAlign w:val="center"/>
          </w:tcPr>
          <w:p w14:paraId="1B51FFEF"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sz w:val="20"/>
                <w:szCs w:val="20"/>
                <w:lang w:val="uk-UA"/>
              </w:rPr>
              <w:t>Рентабельність перманентного капіталу</w:t>
            </w:r>
          </w:p>
        </w:tc>
        <w:tc>
          <w:tcPr>
            <w:tcW w:w="711" w:type="pct"/>
            <w:vAlign w:val="center"/>
          </w:tcPr>
          <w:p w14:paraId="33D42A99"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0,011</w:t>
            </w:r>
          </w:p>
        </w:tc>
        <w:tc>
          <w:tcPr>
            <w:tcW w:w="711" w:type="pct"/>
            <w:vAlign w:val="center"/>
          </w:tcPr>
          <w:p w14:paraId="6D7300F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0,301</w:t>
            </w:r>
          </w:p>
        </w:tc>
        <w:tc>
          <w:tcPr>
            <w:tcW w:w="711" w:type="pct"/>
            <w:vAlign w:val="center"/>
          </w:tcPr>
          <w:p w14:paraId="6FF87484"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-1,431</w:t>
            </w:r>
          </w:p>
        </w:tc>
        <w:tc>
          <w:tcPr>
            <w:tcW w:w="698" w:type="pct"/>
            <w:vAlign w:val="center"/>
          </w:tcPr>
          <w:p w14:paraId="299AF11A"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2858,82%</w:t>
            </w:r>
          </w:p>
        </w:tc>
        <w:tc>
          <w:tcPr>
            <w:tcW w:w="699" w:type="pct"/>
            <w:vAlign w:val="center"/>
          </w:tcPr>
          <w:p w14:paraId="382043BE" w14:textId="77777777" w:rsidR="000F5554" w:rsidRPr="00042924" w:rsidRDefault="000F5554" w:rsidP="0029174C">
            <w:pPr>
              <w:jc w:val="center"/>
              <w:rPr>
                <w:rFonts w:ascii="Times New Roman" w:eastAsia="Times New Roman" w:hAnsi="Times New Roman" w:cs="Times New Roman"/>
                <w:sz w:val="20"/>
                <w:szCs w:val="20"/>
                <w:lang w:val="uk-UA"/>
              </w:rPr>
            </w:pPr>
            <w:r w:rsidRPr="00042924">
              <w:rPr>
                <w:rFonts w:ascii="Times New Roman" w:eastAsia="Times New Roman" w:hAnsi="Times New Roman" w:cs="Times New Roman"/>
                <w:color w:val="000000"/>
                <w:sz w:val="20"/>
                <w:szCs w:val="20"/>
                <w:lang w:val="uk-UA"/>
              </w:rPr>
              <w:t>-476,04%</w:t>
            </w:r>
          </w:p>
        </w:tc>
      </w:tr>
    </w:tbl>
    <w:p w14:paraId="7B9E2FA7" w14:textId="77777777" w:rsidR="000F5554" w:rsidRPr="00042924" w:rsidRDefault="000F5554" w:rsidP="000F5554">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Джерело: </w:t>
      </w:r>
      <w:r w:rsidR="00EB40FC" w:rsidRPr="00E32FFC">
        <w:rPr>
          <w:rFonts w:ascii="Times New Roman" w:hAnsi="Times New Roman" w:cs="Times New Roman"/>
          <w:sz w:val="28"/>
          <w:szCs w:val="28"/>
          <w:lang w:val="uk-UA"/>
        </w:rPr>
        <w:t>складено автором на основі</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z w:val="28"/>
          <w:szCs w:val="28"/>
          <w:lang w:val="uk-UA"/>
        </w:rPr>
        <w:t>[33]</w:t>
      </w:r>
    </w:p>
    <w:p w14:paraId="7E9709E8" w14:textId="77777777" w:rsidR="000F5554" w:rsidRPr="00042924" w:rsidRDefault="000F5554" w:rsidP="000F5554">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p>
    <w:p w14:paraId="03640D62" w14:textId="77777777" w:rsidR="000F5554" w:rsidRPr="00042924" w:rsidRDefault="00E65C7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В</w:t>
      </w:r>
      <w:r w:rsidR="000F5554" w:rsidRPr="00042924">
        <w:rPr>
          <w:rFonts w:ascii="Times New Roman" w:eastAsia="Times New Roman" w:hAnsi="Times New Roman" w:cs="Times New Roman"/>
          <w:kern w:val="0"/>
          <w:sz w:val="28"/>
          <w:szCs w:val="28"/>
          <w:lang w:val="uk-UA"/>
          <w14:ligatures w14:val="none"/>
        </w:rPr>
        <w:t xml:space="preserve"> результаті проведеного аналізу, представленого у таблиці 2.</w:t>
      </w:r>
      <w:r w:rsidR="00CF7AEA" w:rsidRPr="00042924">
        <w:rPr>
          <w:rFonts w:ascii="Times New Roman" w:eastAsia="Times New Roman" w:hAnsi="Times New Roman" w:cs="Times New Roman"/>
          <w:kern w:val="0"/>
          <w:sz w:val="28"/>
          <w:szCs w:val="28"/>
          <w:lang w:val="uk-UA"/>
          <w14:ligatures w14:val="none"/>
        </w:rPr>
        <w:t>5</w:t>
      </w:r>
      <w:r w:rsidR="000F5554" w:rsidRPr="00042924">
        <w:rPr>
          <w:rFonts w:ascii="Times New Roman" w:eastAsia="Times New Roman" w:hAnsi="Times New Roman" w:cs="Times New Roman"/>
          <w:kern w:val="0"/>
          <w:sz w:val="28"/>
          <w:szCs w:val="28"/>
          <w:lang w:val="uk-UA"/>
          <w14:ligatures w14:val="none"/>
        </w:rPr>
        <w:t>, мож</w:t>
      </w:r>
      <w:r w:rsidR="00122ED3">
        <w:rPr>
          <w:rFonts w:ascii="Times New Roman" w:eastAsia="Times New Roman" w:hAnsi="Times New Roman" w:cs="Times New Roman"/>
          <w:kern w:val="0"/>
          <w:sz w:val="28"/>
          <w:szCs w:val="28"/>
          <w:lang w:val="uk-UA"/>
          <w14:ligatures w14:val="none"/>
        </w:rPr>
        <w:t>на</w:t>
      </w:r>
      <w:r w:rsidR="000F5554" w:rsidRPr="00042924">
        <w:rPr>
          <w:rFonts w:ascii="Times New Roman" w:eastAsia="Times New Roman" w:hAnsi="Times New Roman" w:cs="Times New Roman"/>
          <w:kern w:val="0"/>
          <w:sz w:val="28"/>
          <w:szCs w:val="28"/>
          <w:lang w:val="uk-UA"/>
          <w14:ligatures w14:val="none"/>
        </w:rPr>
        <w:t xml:space="preserve"> </w:t>
      </w:r>
      <w:r w:rsidR="00122ED3">
        <w:rPr>
          <w:rFonts w:ascii="Times New Roman" w:eastAsia="Times New Roman" w:hAnsi="Times New Roman" w:cs="Times New Roman"/>
          <w:kern w:val="0"/>
          <w:sz w:val="28"/>
          <w:szCs w:val="28"/>
          <w:lang w:val="uk-UA"/>
          <w14:ligatures w14:val="none"/>
        </w:rPr>
        <w:t>зробити висновок</w:t>
      </w:r>
      <w:r w:rsidR="000F5554" w:rsidRPr="00042924">
        <w:rPr>
          <w:rFonts w:ascii="Times New Roman" w:eastAsia="Times New Roman" w:hAnsi="Times New Roman" w:cs="Times New Roman"/>
          <w:kern w:val="0"/>
          <w:sz w:val="28"/>
          <w:szCs w:val="28"/>
          <w:lang w:val="uk-UA"/>
          <w14:ligatures w14:val="none"/>
        </w:rPr>
        <w:t xml:space="preserve">, що у 2021 році порівняно з 2020 роком відбулося стрімке зростання всіх показників рентабельності, таких як рентабельність продажів, капіталу, необоротних активів, власного та постійного капіталу. </w:t>
      </w:r>
      <w:r w:rsidR="00122ED3">
        <w:rPr>
          <w:rFonts w:ascii="Times New Roman" w:eastAsia="Times New Roman" w:hAnsi="Times New Roman" w:cs="Times New Roman"/>
          <w:kern w:val="0"/>
          <w:sz w:val="28"/>
          <w:szCs w:val="28"/>
          <w:lang w:val="uk-UA"/>
          <w14:ligatures w14:val="none"/>
        </w:rPr>
        <w:t>Таке зростання</w:t>
      </w:r>
      <w:r w:rsidR="000F5554" w:rsidRPr="00042924">
        <w:rPr>
          <w:rFonts w:ascii="Times New Roman" w:eastAsia="Times New Roman" w:hAnsi="Times New Roman" w:cs="Times New Roman"/>
          <w:kern w:val="0"/>
          <w:sz w:val="28"/>
          <w:szCs w:val="28"/>
          <w:lang w:val="uk-UA"/>
          <w14:ligatures w14:val="none"/>
        </w:rPr>
        <w:t xml:space="preserve"> </w:t>
      </w:r>
      <w:r w:rsidR="00353D3C">
        <w:rPr>
          <w:rFonts w:ascii="Times New Roman" w:eastAsia="Times New Roman" w:hAnsi="Times New Roman" w:cs="Times New Roman"/>
          <w:kern w:val="0"/>
          <w:sz w:val="28"/>
          <w:szCs w:val="28"/>
          <w:lang w:val="uk-UA"/>
          <w14:ligatures w14:val="none"/>
        </w:rPr>
        <w:t>говорить нам про</w:t>
      </w:r>
      <w:r w:rsidR="000F5554" w:rsidRPr="00042924">
        <w:rPr>
          <w:rFonts w:ascii="Times New Roman" w:eastAsia="Times New Roman" w:hAnsi="Times New Roman" w:cs="Times New Roman"/>
          <w:kern w:val="0"/>
          <w:sz w:val="28"/>
          <w:szCs w:val="28"/>
          <w:lang w:val="uk-UA"/>
          <w14:ligatures w14:val="none"/>
        </w:rPr>
        <w:t xml:space="preserve"> істотне підвищення ефективності діяльності підприємства та прибутковості його активів і капіталу.</w:t>
      </w:r>
    </w:p>
    <w:p w14:paraId="30622512" w14:textId="77777777" w:rsidR="000F5554" w:rsidRPr="00042924" w:rsidRDefault="000F5554" w:rsidP="000C2E4B">
      <w:pPr>
        <w:spacing w:after="0" w:line="240" w:lineRule="auto"/>
        <w:ind w:firstLine="709"/>
        <w:jc w:val="both"/>
        <w:rPr>
          <w:rFonts w:ascii="Times New Roman" w:hAnsi="Times New Roman" w:cs="Times New Roman"/>
          <w:sz w:val="28"/>
          <w:szCs w:val="28"/>
          <w:lang w:val="uk-UA"/>
        </w:rPr>
      </w:pPr>
      <w:r w:rsidRPr="00042924">
        <w:rPr>
          <w:rFonts w:ascii="Times New Roman" w:eastAsia="Times New Roman" w:hAnsi="Times New Roman" w:cs="Times New Roman"/>
          <w:kern w:val="0"/>
          <w:sz w:val="28"/>
          <w:szCs w:val="28"/>
          <w:lang w:val="uk-UA"/>
          <w14:ligatures w14:val="none"/>
        </w:rPr>
        <w:t xml:space="preserve">Проте в 2022 році динаміка різко змінюється - всі показники рентабельності різко падають, набуваючи від'ємних значень. Таке стрімке погіршення </w:t>
      </w:r>
      <w:r w:rsidR="00353D3C">
        <w:rPr>
          <w:rFonts w:ascii="Times New Roman" w:eastAsia="Times New Roman" w:hAnsi="Times New Roman" w:cs="Times New Roman"/>
          <w:kern w:val="0"/>
          <w:sz w:val="28"/>
          <w:szCs w:val="28"/>
          <w:lang w:val="uk-UA"/>
          <w14:ligatures w14:val="none"/>
        </w:rPr>
        <w:t>підтверджує</w:t>
      </w:r>
      <w:r w:rsidRPr="00042924">
        <w:rPr>
          <w:rFonts w:ascii="Times New Roman" w:eastAsia="Times New Roman" w:hAnsi="Times New Roman" w:cs="Times New Roman"/>
          <w:kern w:val="0"/>
          <w:sz w:val="28"/>
          <w:szCs w:val="28"/>
          <w:lang w:val="uk-UA"/>
          <w14:ligatures w14:val="none"/>
        </w:rPr>
        <w:t xml:space="preserve"> збитковість основних видів діяльності підприємства та неефективне використання його активів і ресурсів у звітному році. </w:t>
      </w:r>
      <w:r w:rsidRPr="00042924">
        <w:rPr>
          <w:rFonts w:ascii="Times New Roman" w:hAnsi="Times New Roman" w:cs="Times New Roman"/>
          <w:sz w:val="28"/>
          <w:szCs w:val="28"/>
          <w:lang w:val="uk-UA"/>
        </w:rPr>
        <w:t>Така ситуація пов’язана не лише зі скороченням виробництва прокату, а й попитом на ринку. Адже уся металургійна галузь наразі зазнала значних проблем</w:t>
      </w:r>
      <w:r w:rsidR="008338C6">
        <w:rPr>
          <w:rFonts w:ascii="Times New Roman" w:hAnsi="Times New Roman" w:cs="Times New Roman"/>
          <w:sz w:val="28"/>
          <w:szCs w:val="28"/>
          <w:lang w:val="uk-UA"/>
        </w:rPr>
        <w:t>, а саме:</w:t>
      </w:r>
      <w:r w:rsidRPr="00042924">
        <w:rPr>
          <w:rFonts w:ascii="Times New Roman" w:hAnsi="Times New Roman" w:cs="Times New Roman"/>
          <w:sz w:val="28"/>
          <w:szCs w:val="28"/>
          <w:lang w:val="uk-UA"/>
        </w:rPr>
        <w:t xml:space="preserve"> зниження експорту, зниження ціни на прокат та металеву продукцію, тощо.</w:t>
      </w:r>
    </w:p>
    <w:p w14:paraId="4034ED6B" w14:textId="77777777" w:rsidR="000F5554" w:rsidRDefault="009A380F"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9A380F">
        <w:rPr>
          <w:rFonts w:ascii="Times New Roman" w:eastAsia="Times New Roman" w:hAnsi="Times New Roman" w:cs="Times New Roman"/>
          <w:kern w:val="0"/>
          <w:sz w:val="28"/>
          <w:szCs w:val="28"/>
          <w:lang w:val="uk-UA"/>
          <w14:ligatures w14:val="none"/>
        </w:rPr>
        <w:t xml:space="preserve">Завершуючи аналіз ефективності нашого підприємства, надамо </w:t>
      </w:r>
      <w:r w:rsidR="00265B30" w:rsidRPr="009A380F">
        <w:rPr>
          <w:rFonts w:ascii="Times New Roman" w:eastAsia="Times New Roman" w:hAnsi="Times New Roman" w:cs="Times New Roman"/>
          <w:kern w:val="0"/>
          <w:sz w:val="28"/>
          <w:szCs w:val="28"/>
          <w:lang w:val="uk-UA"/>
          <w14:ligatures w14:val="none"/>
        </w:rPr>
        <w:t>обґрунтований</w:t>
      </w:r>
      <w:r w:rsidRPr="009A380F">
        <w:rPr>
          <w:rFonts w:ascii="Times New Roman" w:eastAsia="Times New Roman" w:hAnsi="Times New Roman" w:cs="Times New Roman"/>
          <w:kern w:val="0"/>
          <w:sz w:val="28"/>
          <w:szCs w:val="28"/>
          <w:lang w:val="uk-UA"/>
          <w14:ligatures w14:val="none"/>
        </w:rPr>
        <w:t xml:space="preserve"> розрахунок відносних показників фінансової стійкості, які докладно представлені у таблиці 2.6.</w:t>
      </w:r>
    </w:p>
    <w:p w14:paraId="4984FF75" w14:textId="77777777" w:rsidR="009A380F" w:rsidRPr="009A380F" w:rsidRDefault="009A380F"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p>
    <w:p w14:paraId="0E490053" w14:textId="77777777" w:rsidR="000F5554" w:rsidRPr="00042924" w:rsidRDefault="000F5554" w:rsidP="001F06D5">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Таблиця</w:t>
      </w:r>
      <w:r w:rsidRPr="00042924">
        <w:rPr>
          <w:rFonts w:ascii="Times New Roman" w:eastAsia="Times New Roman" w:hAnsi="Times New Roman" w:cs="Times New Roman"/>
          <w:spacing w:val="-3"/>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2.</w:t>
      </w:r>
      <w:r w:rsidR="00CF7AEA" w:rsidRPr="00042924">
        <w:rPr>
          <w:rFonts w:ascii="Times New Roman" w:eastAsia="Times New Roman" w:hAnsi="Times New Roman" w:cs="Times New Roman"/>
          <w:kern w:val="0"/>
          <w:sz w:val="28"/>
          <w:szCs w:val="28"/>
          <w:lang w:val="uk-UA"/>
          <w14:ligatures w14:val="none"/>
        </w:rPr>
        <w:t>6</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Аналіз відносних показників фінансової стійкості ПАТ</w:t>
      </w:r>
      <w:r w:rsidRPr="00042924">
        <w:rPr>
          <w:rFonts w:ascii="Times New Roman" w:eastAsia="Times New Roman" w:hAnsi="Times New Roman" w:cs="Times New Roman"/>
          <w:spacing w:val="-2"/>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«АМКР»</w:t>
      </w:r>
      <w:r w:rsidR="000D6B51">
        <w:rPr>
          <w:rFonts w:ascii="Times New Roman" w:eastAsia="Times New Roman" w:hAnsi="Times New Roman" w:cs="Times New Roman"/>
          <w:kern w:val="0"/>
          <w:sz w:val="28"/>
          <w:szCs w:val="28"/>
          <w:lang w:val="uk-UA"/>
          <w14:ligatures w14:val="none"/>
        </w:rPr>
        <w:t xml:space="preserve"> </w:t>
      </w:r>
    </w:p>
    <w:tbl>
      <w:tblPr>
        <w:tblStyle w:val="a6"/>
        <w:tblW w:w="0" w:type="auto"/>
        <w:tblCellMar>
          <w:top w:w="57" w:type="dxa"/>
          <w:left w:w="57" w:type="dxa"/>
          <w:bottom w:w="57" w:type="dxa"/>
          <w:right w:w="57" w:type="dxa"/>
        </w:tblCellMar>
        <w:tblLook w:val="04A0" w:firstRow="1" w:lastRow="0" w:firstColumn="1" w:lastColumn="0" w:noHBand="0" w:noVBand="1"/>
      </w:tblPr>
      <w:tblGrid>
        <w:gridCol w:w="3310"/>
        <w:gridCol w:w="1637"/>
        <w:gridCol w:w="1038"/>
        <w:gridCol w:w="1038"/>
        <w:gridCol w:w="1038"/>
        <w:gridCol w:w="925"/>
        <w:gridCol w:w="925"/>
      </w:tblGrid>
      <w:tr w:rsidR="000F5554" w:rsidRPr="00042924" w14:paraId="2D7983C7" w14:textId="77777777" w:rsidTr="0029174C">
        <w:trPr>
          <w:trHeight w:val="340"/>
        </w:trPr>
        <w:tc>
          <w:tcPr>
            <w:tcW w:w="3310" w:type="dxa"/>
            <w:vMerge w:val="restart"/>
            <w:vAlign w:val="center"/>
          </w:tcPr>
          <w:p w14:paraId="219E3B4F"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sz w:val="20"/>
                <w:szCs w:val="20"/>
                <w:lang w:val="uk-UA"/>
                <w14:ligatures w14:val="none"/>
              </w:rPr>
              <w:t>Показник</w:t>
            </w:r>
          </w:p>
        </w:tc>
        <w:tc>
          <w:tcPr>
            <w:tcW w:w="1637" w:type="dxa"/>
            <w:vMerge w:val="restart"/>
            <w:vAlign w:val="center"/>
          </w:tcPr>
          <w:p w14:paraId="4E56004B"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402A18"/>
                <w:sz w:val="20"/>
                <w:szCs w:val="20"/>
                <w:lang w:val="uk-UA"/>
                <w14:ligatures w14:val="none"/>
              </w:rPr>
              <w:t>Нормативне значення</w:t>
            </w:r>
          </w:p>
        </w:tc>
        <w:tc>
          <w:tcPr>
            <w:tcW w:w="1038" w:type="dxa"/>
            <w:vMerge w:val="restart"/>
            <w:vAlign w:val="center"/>
          </w:tcPr>
          <w:p w14:paraId="545618BC"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2020 р.</w:t>
            </w:r>
          </w:p>
        </w:tc>
        <w:tc>
          <w:tcPr>
            <w:tcW w:w="1038" w:type="dxa"/>
            <w:vMerge w:val="restart"/>
            <w:vAlign w:val="center"/>
          </w:tcPr>
          <w:p w14:paraId="05FFB5D3"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2021 р.</w:t>
            </w:r>
          </w:p>
        </w:tc>
        <w:tc>
          <w:tcPr>
            <w:tcW w:w="1038" w:type="dxa"/>
            <w:vMerge w:val="restart"/>
            <w:vAlign w:val="center"/>
          </w:tcPr>
          <w:p w14:paraId="3DEF04BE"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2022 р.</w:t>
            </w:r>
          </w:p>
        </w:tc>
        <w:tc>
          <w:tcPr>
            <w:tcW w:w="1850" w:type="dxa"/>
            <w:gridSpan w:val="2"/>
            <w:vAlign w:val="center"/>
          </w:tcPr>
          <w:p w14:paraId="1595C37E"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eastAsia="ru-RU"/>
              </w:rPr>
              <w:t>Відхилення</w:t>
            </w:r>
          </w:p>
        </w:tc>
      </w:tr>
      <w:tr w:rsidR="000F5554" w:rsidRPr="00042924" w14:paraId="4C3163EE" w14:textId="77777777" w:rsidTr="0029174C">
        <w:trPr>
          <w:trHeight w:val="340"/>
        </w:trPr>
        <w:tc>
          <w:tcPr>
            <w:tcW w:w="3310" w:type="dxa"/>
            <w:vMerge/>
            <w:vAlign w:val="center"/>
          </w:tcPr>
          <w:p w14:paraId="29C13C51"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p>
        </w:tc>
        <w:tc>
          <w:tcPr>
            <w:tcW w:w="1637" w:type="dxa"/>
            <w:vMerge/>
            <w:vAlign w:val="center"/>
          </w:tcPr>
          <w:p w14:paraId="7533ACCA" w14:textId="77777777" w:rsidR="000F5554" w:rsidRPr="00042924" w:rsidRDefault="000F5554" w:rsidP="0029174C">
            <w:pPr>
              <w:widowControl w:val="0"/>
              <w:autoSpaceDE w:val="0"/>
              <w:autoSpaceDN w:val="0"/>
              <w:jc w:val="center"/>
              <w:rPr>
                <w:rFonts w:ascii="Times New Roman" w:eastAsia="Times New Roman" w:hAnsi="Times New Roman" w:cs="Times New Roman"/>
                <w:color w:val="402A18"/>
                <w:sz w:val="20"/>
                <w:szCs w:val="20"/>
                <w:lang w:val="uk-UA"/>
                <w14:ligatures w14:val="none"/>
              </w:rPr>
            </w:pPr>
          </w:p>
        </w:tc>
        <w:tc>
          <w:tcPr>
            <w:tcW w:w="1038" w:type="dxa"/>
            <w:vMerge/>
            <w:vAlign w:val="center"/>
          </w:tcPr>
          <w:p w14:paraId="5A78B884"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p>
        </w:tc>
        <w:tc>
          <w:tcPr>
            <w:tcW w:w="1038" w:type="dxa"/>
            <w:vMerge/>
            <w:vAlign w:val="center"/>
          </w:tcPr>
          <w:p w14:paraId="644B98F6"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p>
        </w:tc>
        <w:tc>
          <w:tcPr>
            <w:tcW w:w="1038" w:type="dxa"/>
            <w:vMerge/>
            <w:vAlign w:val="center"/>
          </w:tcPr>
          <w:p w14:paraId="4337FC9E"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p>
        </w:tc>
        <w:tc>
          <w:tcPr>
            <w:tcW w:w="925" w:type="dxa"/>
            <w:vAlign w:val="center"/>
          </w:tcPr>
          <w:p w14:paraId="55E31EC7"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rPr>
              <w:t>2021/ 2020</w:t>
            </w:r>
          </w:p>
        </w:tc>
        <w:tc>
          <w:tcPr>
            <w:tcW w:w="925" w:type="dxa"/>
            <w:vAlign w:val="center"/>
          </w:tcPr>
          <w:p w14:paraId="052088EB"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rPr>
              <w:t>2022/ 2021</w:t>
            </w:r>
          </w:p>
        </w:tc>
      </w:tr>
      <w:tr w:rsidR="000F5554" w:rsidRPr="00042924" w14:paraId="3E24A0CD" w14:textId="77777777" w:rsidTr="0029174C">
        <w:trPr>
          <w:trHeight w:val="340"/>
        </w:trPr>
        <w:tc>
          <w:tcPr>
            <w:tcW w:w="3310" w:type="dxa"/>
            <w:vAlign w:val="center"/>
          </w:tcPr>
          <w:p w14:paraId="1DD38305"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sz w:val="20"/>
                <w:szCs w:val="20"/>
                <w:lang w:val="uk-UA"/>
                <w14:ligatures w14:val="none"/>
              </w:rPr>
              <w:t>Коефіцієнт автономії</w:t>
            </w:r>
          </w:p>
        </w:tc>
        <w:tc>
          <w:tcPr>
            <w:tcW w:w="1637" w:type="dxa"/>
            <w:vAlign w:val="center"/>
          </w:tcPr>
          <w:p w14:paraId="56561D53"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&gt; 0,5</w:t>
            </w:r>
          </w:p>
        </w:tc>
        <w:tc>
          <w:tcPr>
            <w:tcW w:w="1038" w:type="dxa"/>
            <w:vAlign w:val="center"/>
          </w:tcPr>
          <w:p w14:paraId="40AFD012"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0,69</w:t>
            </w:r>
          </w:p>
        </w:tc>
        <w:tc>
          <w:tcPr>
            <w:tcW w:w="1038" w:type="dxa"/>
            <w:vAlign w:val="center"/>
          </w:tcPr>
          <w:p w14:paraId="33CE10FD"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0,72</w:t>
            </w:r>
          </w:p>
        </w:tc>
        <w:tc>
          <w:tcPr>
            <w:tcW w:w="1038" w:type="dxa"/>
            <w:vAlign w:val="center"/>
          </w:tcPr>
          <w:p w14:paraId="036E9A92"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0,54</w:t>
            </w:r>
          </w:p>
        </w:tc>
        <w:tc>
          <w:tcPr>
            <w:tcW w:w="925" w:type="dxa"/>
            <w:vAlign w:val="center"/>
          </w:tcPr>
          <w:p w14:paraId="452C92A7"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4%</w:t>
            </w:r>
          </w:p>
        </w:tc>
        <w:tc>
          <w:tcPr>
            <w:tcW w:w="925" w:type="dxa"/>
            <w:vAlign w:val="center"/>
          </w:tcPr>
          <w:p w14:paraId="5A02F2AC"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4%</w:t>
            </w:r>
          </w:p>
        </w:tc>
      </w:tr>
      <w:tr w:rsidR="000F5554" w:rsidRPr="00042924" w14:paraId="087415FA" w14:textId="77777777" w:rsidTr="0029174C">
        <w:trPr>
          <w:trHeight w:val="340"/>
        </w:trPr>
        <w:tc>
          <w:tcPr>
            <w:tcW w:w="3310" w:type="dxa"/>
            <w:vAlign w:val="center"/>
          </w:tcPr>
          <w:p w14:paraId="1E39BD07"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sz w:val="20"/>
                <w:szCs w:val="20"/>
                <w:lang w:val="uk-UA"/>
                <w14:ligatures w14:val="none"/>
              </w:rPr>
              <w:t>Коефіцієнт фінансової залежності</w:t>
            </w:r>
          </w:p>
        </w:tc>
        <w:tc>
          <w:tcPr>
            <w:tcW w:w="1637" w:type="dxa"/>
            <w:vAlign w:val="center"/>
          </w:tcPr>
          <w:p w14:paraId="2815863E"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&lt; 2</w:t>
            </w:r>
          </w:p>
        </w:tc>
        <w:tc>
          <w:tcPr>
            <w:tcW w:w="1038" w:type="dxa"/>
            <w:vAlign w:val="center"/>
          </w:tcPr>
          <w:p w14:paraId="5CCBC40D"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1,45</w:t>
            </w:r>
          </w:p>
        </w:tc>
        <w:tc>
          <w:tcPr>
            <w:tcW w:w="1038" w:type="dxa"/>
            <w:vAlign w:val="center"/>
          </w:tcPr>
          <w:p w14:paraId="102D0429"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1,38</w:t>
            </w:r>
          </w:p>
        </w:tc>
        <w:tc>
          <w:tcPr>
            <w:tcW w:w="1038" w:type="dxa"/>
            <w:vAlign w:val="center"/>
          </w:tcPr>
          <w:p w14:paraId="2A055FC7"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1,87</w:t>
            </w:r>
          </w:p>
        </w:tc>
        <w:tc>
          <w:tcPr>
            <w:tcW w:w="925" w:type="dxa"/>
            <w:vAlign w:val="center"/>
          </w:tcPr>
          <w:p w14:paraId="2B3828B1"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-5%</w:t>
            </w:r>
          </w:p>
        </w:tc>
        <w:tc>
          <w:tcPr>
            <w:tcW w:w="925" w:type="dxa"/>
            <w:vAlign w:val="center"/>
          </w:tcPr>
          <w:p w14:paraId="247DC826"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-5%</w:t>
            </w:r>
          </w:p>
        </w:tc>
      </w:tr>
      <w:tr w:rsidR="000F5554" w:rsidRPr="00042924" w14:paraId="0DA84F76" w14:textId="77777777" w:rsidTr="0029174C">
        <w:trPr>
          <w:trHeight w:val="340"/>
        </w:trPr>
        <w:tc>
          <w:tcPr>
            <w:tcW w:w="3310" w:type="dxa"/>
            <w:vAlign w:val="center"/>
          </w:tcPr>
          <w:p w14:paraId="687BC5D3"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sz w:val="20"/>
                <w:szCs w:val="20"/>
                <w:lang w:val="uk-UA"/>
                <w14:ligatures w14:val="none"/>
              </w:rPr>
              <w:t>Коефіцієнт фінансового ризику</w:t>
            </w:r>
          </w:p>
        </w:tc>
        <w:tc>
          <w:tcPr>
            <w:tcW w:w="1637" w:type="dxa"/>
            <w:vAlign w:val="center"/>
          </w:tcPr>
          <w:p w14:paraId="6F611DB8"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 xml:space="preserve">&lt; 0,5, </w:t>
            </w:r>
            <w:r w:rsidRPr="00042924">
              <w:rPr>
                <w:rFonts w:ascii="Times New Roman" w:eastAsia="Times New Roman" w:hAnsi="Times New Roman" w:cs="Times New Roman"/>
                <w:color w:val="000000"/>
                <w:sz w:val="20"/>
                <w:szCs w:val="20"/>
                <w:lang w:val="uk-UA"/>
                <w14:ligatures w14:val="none"/>
              </w:rPr>
              <w:br/>
              <w:t>крит. - 1</w:t>
            </w:r>
          </w:p>
        </w:tc>
        <w:tc>
          <w:tcPr>
            <w:tcW w:w="1038" w:type="dxa"/>
            <w:vAlign w:val="center"/>
          </w:tcPr>
          <w:p w14:paraId="7BBE1586"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0,45</w:t>
            </w:r>
          </w:p>
        </w:tc>
        <w:tc>
          <w:tcPr>
            <w:tcW w:w="1038" w:type="dxa"/>
            <w:vAlign w:val="center"/>
          </w:tcPr>
          <w:p w14:paraId="464CB548"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0,38</w:t>
            </w:r>
          </w:p>
        </w:tc>
        <w:tc>
          <w:tcPr>
            <w:tcW w:w="1038" w:type="dxa"/>
            <w:vAlign w:val="center"/>
          </w:tcPr>
          <w:p w14:paraId="07D371E3"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0,87</w:t>
            </w:r>
          </w:p>
        </w:tc>
        <w:tc>
          <w:tcPr>
            <w:tcW w:w="925" w:type="dxa"/>
            <w:vAlign w:val="center"/>
          </w:tcPr>
          <w:p w14:paraId="55C4C610"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-16%</w:t>
            </w:r>
          </w:p>
        </w:tc>
        <w:tc>
          <w:tcPr>
            <w:tcW w:w="925" w:type="dxa"/>
            <w:vAlign w:val="center"/>
          </w:tcPr>
          <w:p w14:paraId="78EF4148"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-16%</w:t>
            </w:r>
          </w:p>
        </w:tc>
      </w:tr>
      <w:tr w:rsidR="000F5554" w:rsidRPr="00042924" w14:paraId="41A975D1" w14:textId="77777777" w:rsidTr="0029174C">
        <w:trPr>
          <w:trHeight w:val="340"/>
        </w:trPr>
        <w:tc>
          <w:tcPr>
            <w:tcW w:w="3310" w:type="dxa"/>
            <w:vAlign w:val="center"/>
          </w:tcPr>
          <w:p w14:paraId="0CFD0F5A"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sz w:val="20"/>
                <w:szCs w:val="20"/>
                <w:lang w:val="uk-UA"/>
                <w14:ligatures w14:val="none"/>
              </w:rPr>
              <w:t>Коефіцієнт маневреності власного капіталу</w:t>
            </w:r>
          </w:p>
        </w:tc>
        <w:tc>
          <w:tcPr>
            <w:tcW w:w="1637" w:type="dxa"/>
            <w:vAlign w:val="center"/>
          </w:tcPr>
          <w:p w14:paraId="6342ACFC"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&gt; 0</w:t>
            </w:r>
          </w:p>
        </w:tc>
        <w:tc>
          <w:tcPr>
            <w:tcW w:w="1038" w:type="dxa"/>
            <w:vAlign w:val="center"/>
          </w:tcPr>
          <w:p w14:paraId="0FF32FB8"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0,04</w:t>
            </w:r>
          </w:p>
        </w:tc>
        <w:tc>
          <w:tcPr>
            <w:tcW w:w="1038" w:type="dxa"/>
            <w:vAlign w:val="center"/>
          </w:tcPr>
          <w:p w14:paraId="7F7A5618"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0,21</w:t>
            </w:r>
          </w:p>
        </w:tc>
        <w:tc>
          <w:tcPr>
            <w:tcW w:w="1038" w:type="dxa"/>
            <w:vAlign w:val="center"/>
          </w:tcPr>
          <w:p w14:paraId="1345D606"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0,19</w:t>
            </w:r>
          </w:p>
        </w:tc>
        <w:tc>
          <w:tcPr>
            <w:tcW w:w="925" w:type="dxa"/>
            <w:vAlign w:val="center"/>
          </w:tcPr>
          <w:p w14:paraId="79306F08"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425%</w:t>
            </w:r>
          </w:p>
        </w:tc>
        <w:tc>
          <w:tcPr>
            <w:tcW w:w="925" w:type="dxa"/>
            <w:vAlign w:val="center"/>
          </w:tcPr>
          <w:p w14:paraId="5220715A"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425%</w:t>
            </w:r>
          </w:p>
        </w:tc>
      </w:tr>
      <w:tr w:rsidR="000F5554" w:rsidRPr="00042924" w14:paraId="0FBCDC21" w14:textId="77777777" w:rsidTr="0029174C">
        <w:trPr>
          <w:trHeight w:val="340"/>
        </w:trPr>
        <w:tc>
          <w:tcPr>
            <w:tcW w:w="3310" w:type="dxa"/>
            <w:vAlign w:val="center"/>
          </w:tcPr>
          <w:p w14:paraId="1D19B0E3" w14:textId="77777777" w:rsidR="000F5554" w:rsidRPr="00042924" w:rsidRDefault="000F5554" w:rsidP="0029174C">
            <w:pPr>
              <w:widowControl w:val="0"/>
              <w:autoSpaceDE w:val="0"/>
              <w:autoSpaceDN w:val="0"/>
              <w:jc w:val="center"/>
              <w:rPr>
                <w:rFonts w:ascii="Times New Roman" w:eastAsia="Times New Roman" w:hAnsi="Times New Roman" w:cs="Times New Roman"/>
                <w:sz w:val="20"/>
                <w:szCs w:val="20"/>
                <w:lang w:val="uk-UA"/>
                <w14:ligatures w14:val="none"/>
              </w:rPr>
            </w:pPr>
            <w:r w:rsidRPr="00042924">
              <w:rPr>
                <w:rFonts w:ascii="Times New Roman" w:eastAsia="Times New Roman" w:hAnsi="Times New Roman" w:cs="Times New Roman"/>
                <w:sz w:val="20"/>
                <w:szCs w:val="20"/>
                <w:lang w:val="uk-UA"/>
                <w14:ligatures w14:val="none"/>
              </w:rPr>
              <w:t>Коефіцієнт фінансової незалежності капіталізованих джерел</w:t>
            </w:r>
          </w:p>
        </w:tc>
        <w:tc>
          <w:tcPr>
            <w:tcW w:w="1637" w:type="dxa"/>
            <w:vAlign w:val="center"/>
          </w:tcPr>
          <w:p w14:paraId="7DA3C5C2"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&gt; 0,6</w:t>
            </w:r>
          </w:p>
        </w:tc>
        <w:tc>
          <w:tcPr>
            <w:tcW w:w="1038" w:type="dxa"/>
            <w:vAlign w:val="center"/>
          </w:tcPr>
          <w:p w14:paraId="0EE6A6C1"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0,86</w:t>
            </w:r>
          </w:p>
        </w:tc>
        <w:tc>
          <w:tcPr>
            <w:tcW w:w="1038" w:type="dxa"/>
            <w:vAlign w:val="center"/>
          </w:tcPr>
          <w:p w14:paraId="4197F695"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0,91</w:t>
            </w:r>
          </w:p>
        </w:tc>
        <w:tc>
          <w:tcPr>
            <w:tcW w:w="1038" w:type="dxa"/>
            <w:vAlign w:val="center"/>
          </w:tcPr>
          <w:p w14:paraId="7DDB7C01"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eastAsia="Times New Roman" w:hAnsi="Times New Roman" w:cs="Times New Roman"/>
                <w:color w:val="000000"/>
                <w:sz w:val="20"/>
                <w:szCs w:val="20"/>
                <w:lang w:val="uk-UA"/>
                <w14:ligatures w14:val="none"/>
              </w:rPr>
              <w:t>0,82</w:t>
            </w:r>
          </w:p>
        </w:tc>
        <w:tc>
          <w:tcPr>
            <w:tcW w:w="925" w:type="dxa"/>
            <w:vAlign w:val="center"/>
          </w:tcPr>
          <w:p w14:paraId="6831364F"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6%</w:t>
            </w:r>
          </w:p>
        </w:tc>
        <w:tc>
          <w:tcPr>
            <w:tcW w:w="925" w:type="dxa"/>
            <w:vAlign w:val="center"/>
          </w:tcPr>
          <w:p w14:paraId="42FD6FF5" w14:textId="77777777" w:rsidR="000F5554" w:rsidRPr="00042924" w:rsidRDefault="000F5554" w:rsidP="0029174C">
            <w:pPr>
              <w:widowControl w:val="0"/>
              <w:autoSpaceDE w:val="0"/>
              <w:autoSpaceDN w:val="0"/>
              <w:jc w:val="center"/>
              <w:rPr>
                <w:rFonts w:ascii="Times New Roman" w:eastAsia="Times New Roman" w:hAnsi="Times New Roman" w:cs="Times New Roman"/>
                <w:color w:val="000000"/>
                <w:sz w:val="20"/>
                <w:szCs w:val="20"/>
                <w:lang w:val="uk-UA"/>
                <w14:ligatures w14:val="none"/>
              </w:rPr>
            </w:pPr>
            <w:r w:rsidRPr="00042924">
              <w:rPr>
                <w:rFonts w:ascii="Times New Roman" w:hAnsi="Times New Roman" w:cs="Times New Roman"/>
                <w:color w:val="000000"/>
                <w:sz w:val="20"/>
                <w:szCs w:val="20"/>
                <w:lang w:val="uk-UA"/>
              </w:rPr>
              <w:t>6%</w:t>
            </w:r>
          </w:p>
        </w:tc>
      </w:tr>
    </w:tbl>
    <w:p w14:paraId="5B559476" w14:textId="77777777" w:rsidR="000F5554" w:rsidRPr="00042924" w:rsidRDefault="000F5554" w:rsidP="000F5554">
      <w:pPr>
        <w:widowControl w:val="0"/>
        <w:autoSpaceDE w:val="0"/>
        <w:autoSpaceDN w:val="0"/>
        <w:spacing w:after="0" w:line="240" w:lineRule="auto"/>
        <w:ind w:firstLine="284"/>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 xml:space="preserve">Джерело: </w:t>
      </w:r>
      <w:r w:rsidR="00EB40FC" w:rsidRPr="00E32FFC">
        <w:rPr>
          <w:rFonts w:ascii="Times New Roman" w:hAnsi="Times New Roman" w:cs="Times New Roman"/>
          <w:sz w:val="28"/>
          <w:szCs w:val="28"/>
          <w:lang w:val="uk-UA"/>
        </w:rPr>
        <w:t>складено автором на основі</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z w:val="28"/>
          <w:szCs w:val="28"/>
          <w:lang w:val="uk-UA"/>
        </w:rPr>
        <w:t>[33]</w:t>
      </w:r>
    </w:p>
    <w:bookmarkEnd w:id="16"/>
    <w:p w14:paraId="7D2D4EBA"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p>
    <w:p w14:paraId="4E3229EF"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Аналізуючи показники фінансової стійкості у таблиці 2.</w:t>
      </w:r>
      <w:r w:rsidR="00CF7AEA" w:rsidRPr="00042924">
        <w:rPr>
          <w:rFonts w:ascii="Times New Roman" w:eastAsia="Times New Roman" w:hAnsi="Times New Roman" w:cs="Times New Roman"/>
          <w:kern w:val="0"/>
          <w:sz w:val="28"/>
          <w:szCs w:val="28"/>
          <w:lang w:val="uk-UA"/>
          <w14:ligatures w14:val="none"/>
        </w:rPr>
        <w:t>6</w:t>
      </w:r>
      <w:r w:rsidRPr="00042924">
        <w:rPr>
          <w:rFonts w:ascii="Times New Roman" w:eastAsia="Times New Roman" w:hAnsi="Times New Roman" w:cs="Times New Roman"/>
          <w:kern w:val="0"/>
          <w:sz w:val="28"/>
          <w:szCs w:val="28"/>
          <w:lang w:val="uk-UA"/>
          <w14:ligatures w14:val="none"/>
        </w:rPr>
        <w:t xml:space="preserve">, можна побачити </w:t>
      </w:r>
      <w:r w:rsidRPr="00042924">
        <w:rPr>
          <w:rFonts w:ascii="Times New Roman" w:eastAsia="Times New Roman" w:hAnsi="Times New Roman" w:cs="Times New Roman"/>
          <w:kern w:val="0"/>
          <w:sz w:val="28"/>
          <w:szCs w:val="28"/>
          <w:lang w:val="uk-UA"/>
          <w14:ligatures w14:val="none"/>
        </w:rPr>
        <w:lastRenderedPageBreak/>
        <w:t xml:space="preserve">негативні тенденції у 2022 році. Зокрема, зниження коефіцієнта автономії та фінансової незалежності капіталізованих джерел свідчить про послаблення фінансової стійкості компанії та посилення її залежності від зовнішніх джерел фінансування. </w:t>
      </w:r>
      <w:r w:rsidR="009A380F">
        <w:rPr>
          <w:rFonts w:ascii="Times New Roman" w:eastAsia="Times New Roman" w:hAnsi="Times New Roman" w:cs="Times New Roman"/>
          <w:kern w:val="0"/>
          <w:sz w:val="28"/>
          <w:szCs w:val="28"/>
          <w:lang w:val="uk-UA"/>
          <w14:ligatures w14:val="none"/>
        </w:rPr>
        <w:t>Що в свою чергу</w:t>
      </w:r>
      <w:r w:rsidR="00B85F23">
        <w:rPr>
          <w:rFonts w:ascii="Times New Roman" w:eastAsia="Times New Roman" w:hAnsi="Times New Roman" w:cs="Times New Roman"/>
          <w:kern w:val="0"/>
          <w:sz w:val="28"/>
          <w:szCs w:val="28"/>
          <w:lang w:val="uk-UA"/>
          <w14:ligatures w14:val="none"/>
        </w:rPr>
        <w:t>,</w:t>
      </w:r>
      <w:r w:rsidRPr="00042924">
        <w:rPr>
          <w:rFonts w:ascii="Times New Roman" w:eastAsia="Times New Roman" w:hAnsi="Times New Roman" w:cs="Times New Roman"/>
          <w:kern w:val="0"/>
          <w:sz w:val="28"/>
          <w:szCs w:val="28"/>
          <w:lang w:val="uk-UA"/>
          <w14:ligatures w14:val="none"/>
        </w:rPr>
        <w:t xml:space="preserve"> підвищує ризики втрати фінансової стабільності при погіршенні зовнішньої кон'юнктури ринку.</w:t>
      </w:r>
    </w:p>
    <w:p w14:paraId="757F931B" w14:textId="77777777" w:rsidR="000F5554" w:rsidRPr="00042924" w:rsidRDefault="000F5554" w:rsidP="000F5554">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Паралельно зростання коефіцієнта фінансової залежності сигналізує про нарощування частки позикового капіталу в структурі джерел фінансування. А збільшення коефіцієнта фінансового ризику - про підвищення рівня фінансових ризиків і загрозу банкрутства через високу заборгованість.</w:t>
      </w:r>
    </w:p>
    <w:p w14:paraId="3A3B787B" w14:textId="77777777" w:rsidR="000F5554" w:rsidRPr="00B216D2" w:rsidRDefault="000F5554" w:rsidP="000F5554">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0"/>
          <w:sz w:val="28"/>
          <w:szCs w:val="28"/>
          <w:lang w:val="uk-UA"/>
          <w14:ligatures w14:val="none"/>
        </w:rPr>
      </w:pPr>
      <w:r w:rsidRPr="00B216D2">
        <w:rPr>
          <w:rFonts w:ascii="Times New Roman" w:eastAsia="Times New Roman" w:hAnsi="Times New Roman" w:cs="Times New Roman"/>
          <w:color w:val="000000" w:themeColor="text1"/>
          <w:kern w:val="0"/>
          <w:sz w:val="28"/>
          <w:szCs w:val="28"/>
          <w:lang w:val="uk-UA"/>
          <w14:ligatures w14:val="none"/>
        </w:rPr>
        <w:t>Отже, фінансовий аналіз показників ефективності підприємства засвідчує глибоку системну кризу компанії у 2022 році, яка загрожує подальшому погіршенню її діяльності. Необхідні термінові заходи для стабілізації та відновлення прибутковості, інакше існує реальна загроза банкрутства підприємства.</w:t>
      </w:r>
    </w:p>
    <w:p w14:paraId="1689E253" w14:textId="77777777" w:rsidR="000F5554" w:rsidRPr="00042924" w:rsidRDefault="000F5554" w:rsidP="000F5554">
      <w:pPr>
        <w:widowControl w:val="0"/>
        <w:autoSpaceDE w:val="0"/>
        <w:autoSpaceDN w:val="0"/>
        <w:adjustRightInd w:val="0"/>
        <w:spacing w:after="0" w:line="240" w:lineRule="auto"/>
        <w:ind w:right="23" w:firstLine="709"/>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Враховуючи вищезазначені труднощі у виробництві, важливим аспектом є також фінальна оцінка ефективності управління фінансово-господарською діяльністю. Щоб детальніше охарактеризувати та дослідити цей аспект, проведемо розрахунок інтегрального показника оцінки ефективності управління за вивчений період у таблиці 2.7.</w:t>
      </w:r>
    </w:p>
    <w:p w14:paraId="42BC433F" w14:textId="77777777" w:rsidR="000F5554" w:rsidRPr="00042924" w:rsidRDefault="000F5554" w:rsidP="000F5554">
      <w:pPr>
        <w:widowControl w:val="0"/>
        <w:autoSpaceDE w:val="0"/>
        <w:autoSpaceDN w:val="0"/>
        <w:adjustRightInd w:val="0"/>
        <w:spacing w:after="0" w:line="240" w:lineRule="auto"/>
        <w:ind w:right="23" w:firstLine="709"/>
        <w:jc w:val="both"/>
        <w:rPr>
          <w:rFonts w:ascii="Times New Roman" w:hAnsi="Times New Roman" w:cs="Times New Roman"/>
          <w:spacing w:val="-1"/>
          <w:sz w:val="28"/>
          <w:szCs w:val="36"/>
          <w:lang w:val="uk-UA" w:eastAsia="uk-UA"/>
        </w:rPr>
      </w:pPr>
    </w:p>
    <w:p w14:paraId="4B6CB176" w14:textId="77777777" w:rsidR="000F5554" w:rsidRPr="00042924" w:rsidRDefault="000F5554" w:rsidP="001F06D5">
      <w:pPr>
        <w:widowControl w:val="0"/>
        <w:autoSpaceDE w:val="0"/>
        <w:autoSpaceDN w:val="0"/>
        <w:spacing w:after="0" w:line="240" w:lineRule="auto"/>
        <w:ind w:firstLine="709"/>
        <w:jc w:val="both"/>
        <w:rPr>
          <w:rFonts w:ascii="Times New Roman" w:eastAsia="Times New Roman" w:hAnsi="Times New Roman" w:cs="Times New Roman"/>
          <w:spacing w:val="-1"/>
          <w:kern w:val="0"/>
          <w:sz w:val="28"/>
          <w:szCs w:val="36"/>
          <w:lang w:val="uk-UA" w:eastAsia="uk-UA"/>
          <w14:ligatures w14:val="none"/>
        </w:rPr>
      </w:pPr>
      <w:r w:rsidRPr="00042924">
        <w:rPr>
          <w:rFonts w:ascii="Times New Roman" w:eastAsia="Times New Roman" w:hAnsi="Times New Roman" w:cs="Times New Roman"/>
          <w:kern w:val="0"/>
          <w:sz w:val="28"/>
          <w:szCs w:val="28"/>
          <w:lang w:val="uk-UA"/>
          <w14:ligatures w14:val="none"/>
        </w:rPr>
        <w:t xml:space="preserve"> </w:t>
      </w:r>
      <w:bookmarkStart w:id="17" w:name="_Hlk151586056"/>
      <w:r w:rsidRPr="00042924">
        <w:rPr>
          <w:rFonts w:ascii="Times New Roman" w:eastAsia="Times New Roman" w:hAnsi="Times New Roman" w:cs="Times New Roman"/>
          <w:kern w:val="0"/>
          <w:sz w:val="28"/>
          <w:szCs w:val="28"/>
          <w:lang w:val="uk-UA"/>
          <w14:ligatures w14:val="none"/>
        </w:rPr>
        <w:t>Таблиця 2.7 –Розрахунку</w:t>
      </w:r>
      <w:r w:rsidRPr="00042924">
        <w:rPr>
          <w:rFonts w:ascii="Times New Roman" w:eastAsia="Times New Roman" w:hAnsi="Times New Roman" w:cs="Times New Roman"/>
          <w:spacing w:val="43"/>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інтегрального</w:t>
      </w:r>
      <w:r w:rsidRPr="00042924">
        <w:rPr>
          <w:rFonts w:ascii="Times New Roman" w:eastAsia="Times New Roman" w:hAnsi="Times New Roman" w:cs="Times New Roman"/>
          <w:spacing w:val="46"/>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показника</w:t>
      </w:r>
      <w:r w:rsidRPr="00042924">
        <w:rPr>
          <w:rFonts w:ascii="Times New Roman" w:eastAsia="Times New Roman" w:hAnsi="Times New Roman" w:cs="Times New Roman"/>
          <w:spacing w:val="60"/>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оцінки</w:t>
      </w:r>
      <w:r w:rsidRPr="00042924">
        <w:rPr>
          <w:rFonts w:ascii="Times New Roman" w:eastAsia="Times New Roman" w:hAnsi="Times New Roman" w:cs="Times New Roman"/>
          <w:spacing w:val="45"/>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ефективності управління</w:t>
      </w:r>
      <w:r w:rsidRPr="00042924">
        <w:rPr>
          <w:rFonts w:ascii="Times New Roman" w:eastAsia="Times New Roman" w:hAnsi="Times New Roman" w:cs="Times New Roman"/>
          <w:spacing w:val="2"/>
          <w:kern w:val="0"/>
          <w:sz w:val="28"/>
          <w:szCs w:val="28"/>
          <w:lang w:val="uk-UA"/>
          <w14:ligatures w14:val="none"/>
        </w:rPr>
        <w:t xml:space="preserve"> </w:t>
      </w:r>
      <w:r w:rsidRPr="00042924">
        <w:rPr>
          <w:rFonts w:ascii="Times New Roman" w:eastAsia="Times New Roman" w:hAnsi="Times New Roman" w:cs="Times New Roman"/>
          <w:spacing w:val="-1"/>
          <w:kern w:val="0"/>
          <w:sz w:val="28"/>
          <w:szCs w:val="36"/>
          <w:lang w:val="uk-UA" w:eastAsia="uk-UA"/>
          <w14:ligatures w14:val="none"/>
        </w:rPr>
        <w:t>фінансово-господарською діяльністю</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079"/>
        <w:gridCol w:w="1750"/>
        <w:gridCol w:w="1360"/>
        <w:gridCol w:w="1360"/>
        <w:gridCol w:w="1362"/>
      </w:tblGrid>
      <w:tr w:rsidR="000F5554" w:rsidRPr="00042924" w14:paraId="04F00C26" w14:textId="77777777" w:rsidTr="0029174C">
        <w:trPr>
          <w:trHeight w:val="376"/>
          <w:jc w:val="center"/>
        </w:trPr>
        <w:tc>
          <w:tcPr>
            <w:tcW w:w="2058" w:type="pct"/>
            <w:tcBorders>
              <w:left w:val="single" w:sz="4" w:space="0" w:color="000000"/>
              <w:bottom w:val="single" w:sz="4" w:space="0" w:color="000000"/>
              <w:right w:val="single" w:sz="4" w:space="0" w:color="000000"/>
            </w:tcBorders>
            <w:vAlign w:val="center"/>
          </w:tcPr>
          <w:p w14:paraId="23E0D316"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Показник</w:t>
            </w:r>
          </w:p>
        </w:tc>
        <w:tc>
          <w:tcPr>
            <w:tcW w:w="883" w:type="pct"/>
            <w:tcBorders>
              <w:left w:val="single" w:sz="4" w:space="0" w:color="000000"/>
              <w:bottom w:val="single" w:sz="4" w:space="0" w:color="000000"/>
              <w:right w:val="single" w:sz="4" w:space="0" w:color="000000"/>
            </w:tcBorders>
            <w:vAlign w:val="center"/>
          </w:tcPr>
          <w:p w14:paraId="030EB6F5"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Позначення</w:t>
            </w:r>
          </w:p>
        </w:tc>
        <w:tc>
          <w:tcPr>
            <w:tcW w:w="686" w:type="pct"/>
            <w:tcBorders>
              <w:left w:val="single" w:sz="4" w:space="0" w:color="000000"/>
              <w:bottom w:val="single" w:sz="4" w:space="0" w:color="000000"/>
              <w:right w:val="single" w:sz="4" w:space="0" w:color="000000"/>
            </w:tcBorders>
            <w:vAlign w:val="center"/>
          </w:tcPr>
          <w:p w14:paraId="668D7ED0"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2020 р.</w:t>
            </w:r>
          </w:p>
        </w:tc>
        <w:tc>
          <w:tcPr>
            <w:tcW w:w="686" w:type="pct"/>
            <w:tcBorders>
              <w:left w:val="single" w:sz="4" w:space="0" w:color="000000"/>
              <w:bottom w:val="single" w:sz="4" w:space="0" w:color="000000"/>
              <w:right w:val="single" w:sz="4" w:space="0" w:color="000000"/>
            </w:tcBorders>
            <w:vAlign w:val="center"/>
          </w:tcPr>
          <w:p w14:paraId="5D46D90A"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2021 р.</w:t>
            </w:r>
          </w:p>
        </w:tc>
        <w:tc>
          <w:tcPr>
            <w:tcW w:w="687" w:type="pct"/>
            <w:tcBorders>
              <w:left w:val="single" w:sz="4" w:space="0" w:color="000000"/>
              <w:bottom w:val="single" w:sz="4" w:space="0" w:color="000000"/>
              <w:right w:val="single" w:sz="4" w:space="0" w:color="000000"/>
            </w:tcBorders>
            <w:vAlign w:val="center"/>
          </w:tcPr>
          <w:p w14:paraId="02013F8F"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2022 р.</w:t>
            </w:r>
          </w:p>
        </w:tc>
      </w:tr>
      <w:tr w:rsidR="000F5554" w:rsidRPr="00042924" w14:paraId="78AD4F65" w14:textId="77777777" w:rsidTr="0029174C">
        <w:trPr>
          <w:trHeight w:val="431"/>
          <w:jc w:val="center"/>
        </w:trPr>
        <w:tc>
          <w:tcPr>
            <w:tcW w:w="2058" w:type="pct"/>
            <w:tcBorders>
              <w:top w:val="single" w:sz="4" w:space="0" w:color="000000"/>
              <w:left w:val="single" w:sz="4" w:space="0" w:color="000000"/>
              <w:bottom w:val="single" w:sz="4" w:space="0" w:color="000000"/>
              <w:right w:val="single" w:sz="4" w:space="0" w:color="000000"/>
            </w:tcBorders>
            <w:vAlign w:val="center"/>
          </w:tcPr>
          <w:p w14:paraId="080EADF4"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Прибуток до оподаткування</w:t>
            </w:r>
          </w:p>
        </w:tc>
        <w:tc>
          <w:tcPr>
            <w:tcW w:w="883" w:type="pct"/>
            <w:tcBorders>
              <w:top w:val="single" w:sz="4" w:space="0" w:color="000000"/>
              <w:left w:val="single" w:sz="4" w:space="0" w:color="000000"/>
              <w:bottom w:val="single" w:sz="4" w:space="0" w:color="000000"/>
              <w:right w:val="single" w:sz="4" w:space="0" w:color="000000"/>
            </w:tcBorders>
            <w:vAlign w:val="center"/>
          </w:tcPr>
          <w:p w14:paraId="36343130" w14:textId="77777777" w:rsidR="000F5554" w:rsidRPr="00042924" w:rsidRDefault="000F5554" w:rsidP="0029174C">
            <w:pPr>
              <w:jc w:val="center"/>
              <w:rPr>
                <w:rFonts w:ascii="Times New Roman" w:eastAsia="Times New Roman" w:hAnsi="Times New Roman" w:cs="Times New Roman"/>
                <w:i/>
                <w:sz w:val="24"/>
                <w:lang w:val="uk-UA"/>
              </w:rPr>
            </w:pPr>
            <w:r w:rsidRPr="00042924">
              <w:rPr>
                <w:rFonts w:ascii="Times New Roman" w:eastAsia="Times New Roman" w:hAnsi="Times New Roman" w:cs="Times New Roman"/>
                <w:i/>
                <w:iCs/>
                <w:color w:val="000000"/>
                <w:lang w:val="uk-UA"/>
              </w:rPr>
              <w:t>П</w:t>
            </w:r>
          </w:p>
        </w:tc>
        <w:tc>
          <w:tcPr>
            <w:tcW w:w="686" w:type="pct"/>
            <w:tcBorders>
              <w:top w:val="single" w:sz="4" w:space="0" w:color="000000"/>
              <w:left w:val="single" w:sz="4" w:space="0" w:color="000000"/>
              <w:bottom w:val="single" w:sz="4" w:space="0" w:color="000000"/>
              <w:right w:val="single" w:sz="4" w:space="0" w:color="000000"/>
            </w:tcBorders>
            <w:vAlign w:val="center"/>
          </w:tcPr>
          <w:p w14:paraId="0B4FDAEE"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847674,00</w:t>
            </w:r>
          </w:p>
        </w:tc>
        <w:tc>
          <w:tcPr>
            <w:tcW w:w="686" w:type="pct"/>
            <w:tcBorders>
              <w:top w:val="single" w:sz="4" w:space="0" w:color="000000"/>
              <w:left w:val="single" w:sz="4" w:space="0" w:color="000000"/>
              <w:bottom w:val="single" w:sz="4" w:space="0" w:color="000000"/>
              <w:right w:val="single" w:sz="4" w:space="0" w:color="000000"/>
            </w:tcBorders>
            <w:vAlign w:val="center"/>
          </w:tcPr>
          <w:p w14:paraId="118E9CE7"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30688796,00</w:t>
            </w:r>
          </w:p>
        </w:tc>
        <w:tc>
          <w:tcPr>
            <w:tcW w:w="687" w:type="pct"/>
            <w:tcBorders>
              <w:top w:val="single" w:sz="4" w:space="0" w:color="000000"/>
              <w:left w:val="single" w:sz="4" w:space="0" w:color="000000"/>
              <w:bottom w:val="single" w:sz="4" w:space="0" w:color="000000"/>
              <w:right w:val="single" w:sz="4" w:space="0" w:color="000000"/>
            </w:tcBorders>
            <w:vAlign w:val="center"/>
          </w:tcPr>
          <w:p w14:paraId="2726057D"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-51360445,00</w:t>
            </w:r>
          </w:p>
        </w:tc>
      </w:tr>
      <w:tr w:rsidR="000F5554" w:rsidRPr="00042924" w14:paraId="59FE03C2" w14:textId="77777777" w:rsidTr="0029174C">
        <w:trPr>
          <w:trHeight w:val="431"/>
          <w:jc w:val="center"/>
        </w:trPr>
        <w:tc>
          <w:tcPr>
            <w:tcW w:w="2058" w:type="pct"/>
            <w:tcBorders>
              <w:top w:val="single" w:sz="4" w:space="0" w:color="000000"/>
              <w:left w:val="single" w:sz="4" w:space="0" w:color="000000"/>
              <w:bottom w:val="single" w:sz="4" w:space="0" w:color="000000"/>
              <w:right w:val="single" w:sz="4" w:space="0" w:color="000000"/>
            </w:tcBorders>
            <w:vAlign w:val="center"/>
          </w:tcPr>
          <w:p w14:paraId="2BCBBE5E"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Середньорічна вартість основних фондів</w:t>
            </w:r>
          </w:p>
        </w:tc>
        <w:tc>
          <w:tcPr>
            <w:tcW w:w="883" w:type="pct"/>
            <w:tcBorders>
              <w:top w:val="single" w:sz="4" w:space="0" w:color="000000"/>
              <w:left w:val="single" w:sz="4" w:space="0" w:color="000000"/>
              <w:bottom w:val="single" w:sz="4" w:space="0" w:color="000000"/>
              <w:right w:val="single" w:sz="4" w:space="0" w:color="000000"/>
            </w:tcBorders>
            <w:vAlign w:val="center"/>
          </w:tcPr>
          <w:p w14:paraId="4252EC8C" w14:textId="77777777" w:rsidR="000F5554" w:rsidRPr="00042924" w:rsidRDefault="000F5554" w:rsidP="0029174C">
            <w:pPr>
              <w:jc w:val="center"/>
              <w:rPr>
                <w:rFonts w:ascii="Times New Roman" w:eastAsia="Times New Roman" w:hAnsi="Times New Roman" w:cs="Times New Roman"/>
                <w:i/>
                <w:sz w:val="24"/>
                <w:lang w:val="uk-UA"/>
              </w:rPr>
            </w:pPr>
            <w:r w:rsidRPr="00042924">
              <w:rPr>
                <w:rFonts w:ascii="Times New Roman" w:eastAsia="Times New Roman" w:hAnsi="Times New Roman" w:cs="Times New Roman"/>
                <w:i/>
                <w:iCs/>
                <w:color w:val="000000"/>
                <w:lang w:val="uk-UA"/>
              </w:rPr>
              <w:t>ОФ</w:t>
            </w:r>
          </w:p>
        </w:tc>
        <w:tc>
          <w:tcPr>
            <w:tcW w:w="686" w:type="pct"/>
            <w:tcBorders>
              <w:top w:val="single" w:sz="4" w:space="0" w:color="000000"/>
              <w:left w:val="single" w:sz="4" w:space="0" w:color="000000"/>
              <w:bottom w:val="single" w:sz="4" w:space="0" w:color="000000"/>
              <w:right w:val="single" w:sz="4" w:space="0" w:color="000000"/>
            </w:tcBorders>
            <w:vAlign w:val="center"/>
          </w:tcPr>
          <w:p w14:paraId="02498CE2"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49876784,00</w:t>
            </w:r>
          </w:p>
        </w:tc>
        <w:tc>
          <w:tcPr>
            <w:tcW w:w="686" w:type="pct"/>
            <w:tcBorders>
              <w:top w:val="single" w:sz="4" w:space="0" w:color="000000"/>
              <w:left w:val="single" w:sz="4" w:space="0" w:color="000000"/>
              <w:bottom w:val="single" w:sz="4" w:space="0" w:color="000000"/>
              <w:right w:val="single" w:sz="4" w:space="0" w:color="000000"/>
            </w:tcBorders>
            <w:vAlign w:val="center"/>
          </w:tcPr>
          <w:p w14:paraId="5AAE5B4B"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51970777,00</w:t>
            </w:r>
          </w:p>
        </w:tc>
        <w:tc>
          <w:tcPr>
            <w:tcW w:w="687" w:type="pct"/>
            <w:tcBorders>
              <w:top w:val="single" w:sz="4" w:space="0" w:color="000000"/>
              <w:left w:val="single" w:sz="4" w:space="0" w:color="000000"/>
              <w:bottom w:val="single" w:sz="4" w:space="0" w:color="000000"/>
              <w:right w:val="single" w:sz="4" w:space="0" w:color="000000"/>
            </w:tcBorders>
            <w:vAlign w:val="center"/>
          </w:tcPr>
          <w:p w14:paraId="6DF137FE"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35471091,50</w:t>
            </w:r>
          </w:p>
        </w:tc>
      </w:tr>
      <w:tr w:rsidR="000F5554" w:rsidRPr="00042924" w14:paraId="2737E568" w14:textId="77777777" w:rsidTr="0029174C">
        <w:trPr>
          <w:trHeight w:val="431"/>
          <w:jc w:val="center"/>
        </w:trPr>
        <w:tc>
          <w:tcPr>
            <w:tcW w:w="2058" w:type="pct"/>
            <w:tcBorders>
              <w:top w:val="single" w:sz="4" w:space="0" w:color="000000"/>
              <w:left w:val="single" w:sz="4" w:space="0" w:color="000000"/>
              <w:bottom w:val="single" w:sz="4" w:space="0" w:color="000000"/>
              <w:right w:val="single" w:sz="4" w:space="0" w:color="000000"/>
            </w:tcBorders>
            <w:vAlign w:val="center"/>
          </w:tcPr>
          <w:p w14:paraId="00E30651"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Середньорічний залишок оборотних коштів</w:t>
            </w:r>
          </w:p>
        </w:tc>
        <w:tc>
          <w:tcPr>
            <w:tcW w:w="883" w:type="pct"/>
            <w:tcBorders>
              <w:top w:val="single" w:sz="4" w:space="0" w:color="000000"/>
              <w:left w:val="single" w:sz="4" w:space="0" w:color="000000"/>
              <w:bottom w:val="single" w:sz="4" w:space="0" w:color="000000"/>
              <w:right w:val="single" w:sz="4" w:space="0" w:color="000000"/>
            </w:tcBorders>
            <w:vAlign w:val="center"/>
          </w:tcPr>
          <w:p w14:paraId="207606ED" w14:textId="77777777" w:rsidR="000F5554" w:rsidRPr="00042924" w:rsidRDefault="000F5554" w:rsidP="0029174C">
            <w:pPr>
              <w:jc w:val="center"/>
              <w:rPr>
                <w:rFonts w:ascii="Times New Roman" w:eastAsia="Times New Roman" w:hAnsi="Times New Roman" w:cs="Times New Roman"/>
                <w:i/>
                <w:sz w:val="16"/>
                <w:lang w:val="uk-UA"/>
              </w:rPr>
            </w:pPr>
            <w:r w:rsidRPr="00042924">
              <w:rPr>
                <w:rFonts w:ascii="Times New Roman" w:eastAsia="Times New Roman" w:hAnsi="Times New Roman" w:cs="Times New Roman"/>
                <w:i/>
                <w:iCs/>
                <w:color w:val="000000"/>
                <w:position w:val="3"/>
                <w:lang w:val="uk-UA"/>
              </w:rPr>
              <w:t>ОЗ</w:t>
            </w:r>
          </w:p>
        </w:tc>
        <w:tc>
          <w:tcPr>
            <w:tcW w:w="686" w:type="pct"/>
            <w:tcBorders>
              <w:top w:val="single" w:sz="4" w:space="0" w:color="000000"/>
              <w:left w:val="single" w:sz="4" w:space="0" w:color="000000"/>
              <w:bottom w:val="single" w:sz="4" w:space="0" w:color="000000"/>
              <w:right w:val="single" w:sz="4" w:space="0" w:color="000000"/>
            </w:tcBorders>
            <w:vAlign w:val="center"/>
          </w:tcPr>
          <w:p w14:paraId="6AF48019"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33463717,00</w:t>
            </w:r>
          </w:p>
        </w:tc>
        <w:tc>
          <w:tcPr>
            <w:tcW w:w="686" w:type="pct"/>
            <w:tcBorders>
              <w:top w:val="single" w:sz="4" w:space="0" w:color="000000"/>
              <w:left w:val="single" w:sz="4" w:space="0" w:color="000000"/>
              <w:bottom w:val="single" w:sz="4" w:space="0" w:color="000000"/>
              <w:right w:val="single" w:sz="4" w:space="0" w:color="000000"/>
            </w:tcBorders>
            <w:vAlign w:val="center"/>
          </w:tcPr>
          <w:p w14:paraId="40E327CB"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37829663,50</w:t>
            </w:r>
          </w:p>
        </w:tc>
        <w:tc>
          <w:tcPr>
            <w:tcW w:w="687" w:type="pct"/>
            <w:tcBorders>
              <w:top w:val="single" w:sz="4" w:space="0" w:color="000000"/>
              <w:left w:val="single" w:sz="4" w:space="0" w:color="000000"/>
              <w:bottom w:val="single" w:sz="4" w:space="0" w:color="000000"/>
              <w:right w:val="single" w:sz="4" w:space="0" w:color="000000"/>
            </w:tcBorders>
            <w:vAlign w:val="center"/>
          </w:tcPr>
          <w:p w14:paraId="657A7DC5"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37658474,00</w:t>
            </w:r>
          </w:p>
        </w:tc>
      </w:tr>
      <w:tr w:rsidR="000F5554" w:rsidRPr="00042924" w14:paraId="6180962D" w14:textId="77777777" w:rsidTr="0029174C">
        <w:trPr>
          <w:trHeight w:val="431"/>
          <w:jc w:val="center"/>
        </w:trPr>
        <w:tc>
          <w:tcPr>
            <w:tcW w:w="2058" w:type="pct"/>
            <w:tcBorders>
              <w:top w:val="single" w:sz="4" w:space="0" w:color="000000"/>
              <w:left w:val="single" w:sz="4" w:space="0" w:color="000000"/>
              <w:bottom w:val="single" w:sz="4" w:space="0" w:color="000000"/>
              <w:right w:val="single" w:sz="4" w:space="0" w:color="000000"/>
            </w:tcBorders>
            <w:vAlign w:val="center"/>
          </w:tcPr>
          <w:p w14:paraId="26687D68"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Річний фонд оплати праці</w:t>
            </w:r>
          </w:p>
        </w:tc>
        <w:tc>
          <w:tcPr>
            <w:tcW w:w="883" w:type="pct"/>
            <w:tcBorders>
              <w:top w:val="single" w:sz="4" w:space="0" w:color="000000"/>
              <w:left w:val="single" w:sz="4" w:space="0" w:color="000000"/>
              <w:bottom w:val="single" w:sz="4" w:space="0" w:color="000000"/>
              <w:right w:val="single" w:sz="4" w:space="0" w:color="000000"/>
            </w:tcBorders>
            <w:vAlign w:val="center"/>
          </w:tcPr>
          <w:p w14:paraId="119FC238" w14:textId="77777777" w:rsidR="000F5554" w:rsidRPr="00042924" w:rsidRDefault="000F5554" w:rsidP="0029174C">
            <w:pPr>
              <w:jc w:val="center"/>
              <w:rPr>
                <w:rFonts w:ascii="Times New Roman" w:eastAsia="Times New Roman" w:hAnsi="Times New Roman" w:cs="Times New Roman"/>
                <w:i/>
                <w:sz w:val="24"/>
                <w:lang w:val="uk-UA"/>
              </w:rPr>
            </w:pPr>
            <w:r w:rsidRPr="00042924">
              <w:rPr>
                <w:rFonts w:ascii="Times New Roman" w:eastAsia="Times New Roman" w:hAnsi="Times New Roman" w:cs="Times New Roman"/>
                <w:i/>
                <w:iCs/>
                <w:color w:val="000000"/>
                <w:lang w:val="uk-UA"/>
              </w:rPr>
              <w:t>ФОП</w:t>
            </w:r>
          </w:p>
        </w:tc>
        <w:tc>
          <w:tcPr>
            <w:tcW w:w="686" w:type="pct"/>
            <w:tcBorders>
              <w:top w:val="single" w:sz="4" w:space="0" w:color="000000"/>
              <w:left w:val="single" w:sz="4" w:space="0" w:color="000000"/>
              <w:bottom w:val="single" w:sz="4" w:space="0" w:color="000000"/>
              <w:right w:val="single" w:sz="4" w:space="0" w:color="000000"/>
            </w:tcBorders>
            <w:vAlign w:val="center"/>
          </w:tcPr>
          <w:p w14:paraId="38EAA41A"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4625350,00</w:t>
            </w:r>
          </w:p>
        </w:tc>
        <w:tc>
          <w:tcPr>
            <w:tcW w:w="686" w:type="pct"/>
            <w:tcBorders>
              <w:top w:val="single" w:sz="4" w:space="0" w:color="000000"/>
              <w:left w:val="single" w:sz="4" w:space="0" w:color="000000"/>
              <w:bottom w:val="single" w:sz="4" w:space="0" w:color="000000"/>
              <w:right w:val="single" w:sz="4" w:space="0" w:color="000000"/>
            </w:tcBorders>
            <w:vAlign w:val="center"/>
          </w:tcPr>
          <w:p w14:paraId="1CA65768"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5041382,00</w:t>
            </w:r>
          </w:p>
        </w:tc>
        <w:tc>
          <w:tcPr>
            <w:tcW w:w="687" w:type="pct"/>
            <w:tcBorders>
              <w:top w:val="single" w:sz="4" w:space="0" w:color="000000"/>
              <w:left w:val="single" w:sz="4" w:space="0" w:color="000000"/>
              <w:bottom w:val="single" w:sz="4" w:space="0" w:color="000000"/>
              <w:right w:val="single" w:sz="4" w:space="0" w:color="000000"/>
            </w:tcBorders>
            <w:vAlign w:val="center"/>
          </w:tcPr>
          <w:p w14:paraId="34740214"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4445356,00</w:t>
            </w:r>
          </w:p>
        </w:tc>
      </w:tr>
      <w:tr w:rsidR="000F5554" w:rsidRPr="00042924" w14:paraId="7D26B029" w14:textId="77777777" w:rsidTr="0029174C">
        <w:tblPrEx>
          <w:tblCellMar>
            <w:left w:w="108" w:type="dxa"/>
            <w:right w:w="108" w:type="dxa"/>
          </w:tblCellMar>
        </w:tblPrEx>
        <w:trPr>
          <w:trHeight w:val="736"/>
          <w:jc w:val="center"/>
        </w:trPr>
        <w:tc>
          <w:tcPr>
            <w:tcW w:w="2941" w:type="pct"/>
            <w:gridSpan w:val="2"/>
            <w:tcBorders>
              <w:top w:val="single" w:sz="4" w:space="0" w:color="000000"/>
              <w:left w:val="single" w:sz="4" w:space="0" w:color="000000"/>
              <w:bottom w:val="single" w:sz="4" w:space="0" w:color="000000"/>
              <w:right w:val="single" w:sz="4" w:space="0" w:color="000000"/>
            </w:tcBorders>
            <w:vAlign w:val="center"/>
          </w:tcPr>
          <w:p w14:paraId="1D0E1F2E" w14:textId="77777777" w:rsidR="000F5554" w:rsidRPr="00042924" w:rsidRDefault="000F5554" w:rsidP="0029174C">
            <w:pPr>
              <w:jc w:val="center"/>
              <w:rPr>
                <w:rFonts w:ascii="Times New Roman" w:eastAsia="Times New Roman" w:hAnsi="Times New Roman" w:cs="Times New Roman"/>
                <w:i/>
                <w:sz w:val="27"/>
                <w:lang w:val="uk-UA"/>
              </w:rPr>
            </w:pPr>
            <w:r w:rsidRPr="00042924">
              <w:rPr>
                <w:rFonts w:ascii="Times New Roman" w:eastAsia="Times New Roman" w:hAnsi="Times New Roman" w:cs="Times New Roman"/>
                <w:noProof/>
                <w:lang w:eastAsia="ru-RU"/>
              </w:rPr>
              <w:drawing>
                <wp:inline distT="0" distB="0" distL="0" distR="0" wp14:anchorId="139FD4EE" wp14:editId="75B857F8">
                  <wp:extent cx="1735907" cy="341588"/>
                  <wp:effectExtent l="0" t="0" r="0" b="1905"/>
                  <wp:docPr id="5" name="Рисунок 4">
                    <a:extLst xmlns:a="http://schemas.openxmlformats.org/drawingml/2006/main">
                      <a:ext uri="{FF2B5EF4-FFF2-40B4-BE49-F238E27FC236}">
                        <a16:creationId xmlns:a16="http://schemas.microsoft.com/office/drawing/2014/main" id="{4B401A5A-8A60-82ED-ED1A-CB047D938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4B401A5A-8A60-82ED-ED1A-CB047D938AA1}"/>
                              </a:ext>
                            </a:extLst>
                          </pic:cNvPr>
                          <pic:cNvPicPr>
                            <a:picLocks noChangeAspect="1"/>
                          </pic:cNvPicPr>
                        </pic:nvPicPr>
                        <pic:blipFill rotWithShape="1">
                          <a:blip r:embed="rId17"/>
                          <a:srcRect t="7959" b="5835"/>
                          <a:stretch/>
                        </pic:blipFill>
                        <pic:spPr>
                          <a:xfrm>
                            <a:off x="0" y="0"/>
                            <a:ext cx="1735907" cy="341588"/>
                          </a:xfrm>
                          <a:prstGeom prst="rect">
                            <a:avLst/>
                          </a:prstGeom>
                        </pic:spPr>
                      </pic:pic>
                    </a:graphicData>
                  </a:graphic>
                </wp:inline>
              </w:drawing>
            </w:r>
          </w:p>
        </w:tc>
        <w:tc>
          <w:tcPr>
            <w:tcW w:w="686" w:type="pct"/>
            <w:tcBorders>
              <w:top w:val="single" w:sz="4" w:space="0" w:color="000000"/>
              <w:left w:val="single" w:sz="4" w:space="0" w:color="000000"/>
              <w:bottom w:val="single" w:sz="4" w:space="0" w:color="000000"/>
              <w:right w:val="single" w:sz="4" w:space="0" w:color="000000"/>
            </w:tcBorders>
            <w:vAlign w:val="center"/>
          </w:tcPr>
          <w:p w14:paraId="41CEF197"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0,010</w:t>
            </w:r>
          </w:p>
        </w:tc>
        <w:tc>
          <w:tcPr>
            <w:tcW w:w="686" w:type="pct"/>
            <w:tcBorders>
              <w:top w:val="single" w:sz="4" w:space="0" w:color="000000"/>
              <w:left w:val="single" w:sz="4" w:space="0" w:color="000000"/>
              <w:bottom w:val="single" w:sz="4" w:space="0" w:color="000000"/>
              <w:right w:val="single" w:sz="4" w:space="0" w:color="000000"/>
            </w:tcBorders>
            <w:vAlign w:val="center"/>
          </w:tcPr>
          <w:p w14:paraId="3B170B71"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0,324</w:t>
            </w:r>
          </w:p>
        </w:tc>
        <w:tc>
          <w:tcPr>
            <w:tcW w:w="687" w:type="pct"/>
            <w:tcBorders>
              <w:top w:val="single" w:sz="4" w:space="0" w:color="000000"/>
              <w:left w:val="single" w:sz="4" w:space="0" w:color="000000"/>
              <w:bottom w:val="single" w:sz="4" w:space="0" w:color="000000"/>
              <w:right w:val="single" w:sz="4" w:space="0" w:color="000000"/>
            </w:tcBorders>
            <w:vAlign w:val="center"/>
          </w:tcPr>
          <w:p w14:paraId="7E1EC2DE" w14:textId="77777777" w:rsidR="000F5554" w:rsidRPr="00042924" w:rsidRDefault="000F5554" w:rsidP="0029174C">
            <w:pPr>
              <w:jc w:val="center"/>
              <w:rPr>
                <w:rFonts w:ascii="Times New Roman" w:eastAsia="Times New Roman" w:hAnsi="Times New Roman" w:cs="Times New Roman"/>
                <w:sz w:val="24"/>
                <w:lang w:val="uk-UA"/>
              </w:rPr>
            </w:pPr>
            <w:r w:rsidRPr="00042924">
              <w:rPr>
                <w:rFonts w:ascii="Times New Roman" w:eastAsia="Times New Roman" w:hAnsi="Times New Roman" w:cs="Times New Roman"/>
                <w:color w:val="000000"/>
                <w:lang w:val="uk-UA"/>
              </w:rPr>
              <w:t>-0,662</w:t>
            </w:r>
          </w:p>
        </w:tc>
      </w:tr>
    </w:tbl>
    <w:p w14:paraId="50411C4A" w14:textId="77777777" w:rsidR="000F5554" w:rsidRPr="00042924" w:rsidRDefault="000F5554" w:rsidP="000F5554">
      <w:pPr>
        <w:widowControl w:val="0"/>
        <w:autoSpaceDE w:val="0"/>
        <w:autoSpaceDN w:val="0"/>
        <w:adjustRightInd w:val="0"/>
        <w:spacing w:after="0" w:line="240" w:lineRule="auto"/>
        <w:ind w:right="23" w:firstLine="284"/>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Джерело:</w:t>
      </w:r>
      <w:r w:rsidRPr="00042924">
        <w:rPr>
          <w:lang w:val="uk-UA"/>
        </w:rPr>
        <w:t xml:space="preserve"> </w:t>
      </w:r>
      <w:r w:rsidR="00EB40FC" w:rsidRPr="00E32FFC">
        <w:rPr>
          <w:rFonts w:ascii="Times New Roman" w:hAnsi="Times New Roman" w:cs="Times New Roman"/>
          <w:sz w:val="28"/>
          <w:szCs w:val="28"/>
          <w:lang w:val="uk-UA"/>
        </w:rPr>
        <w:t>складено автором на основі</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eastAsia="Times New Roman" w:hAnsi="Times New Roman" w:cs="Times New Roman"/>
          <w:sz w:val="28"/>
          <w:szCs w:val="28"/>
          <w:lang w:val="uk-UA"/>
        </w:rPr>
        <w:t>[33]</w:t>
      </w:r>
    </w:p>
    <w:bookmarkEnd w:id="17"/>
    <w:p w14:paraId="6CE72569" w14:textId="77777777" w:rsidR="000F5554" w:rsidRPr="00042924" w:rsidRDefault="000F5554" w:rsidP="000F5554">
      <w:pPr>
        <w:widowControl w:val="0"/>
        <w:autoSpaceDE w:val="0"/>
        <w:autoSpaceDN w:val="0"/>
        <w:adjustRightInd w:val="0"/>
        <w:spacing w:after="0" w:line="240" w:lineRule="auto"/>
        <w:ind w:right="23" w:firstLine="284"/>
        <w:jc w:val="both"/>
        <w:rPr>
          <w:rFonts w:ascii="Times New Roman" w:hAnsi="Times New Roman" w:cs="Times New Roman"/>
          <w:spacing w:val="-1"/>
          <w:sz w:val="28"/>
          <w:szCs w:val="36"/>
          <w:lang w:val="uk-UA" w:eastAsia="uk-UA"/>
        </w:rPr>
      </w:pPr>
    </w:p>
    <w:p w14:paraId="7A9327E0" w14:textId="77777777" w:rsidR="000F5554" w:rsidRPr="00042924" w:rsidRDefault="000F5554" w:rsidP="000F5554">
      <w:pPr>
        <w:spacing w:after="0" w:line="240" w:lineRule="auto"/>
        <w:ind w:firstLine="709"/>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 xml:space="preserve">Аналізуючи дані, представлені у таблиці 2.7, можна </w:t>
      </w:r>
      <w:r w:rsidR="00B216D2">
        <w:rPr>
          <w:rFonts w:ascii="Times New Roman" w:hAnsi="Times New Roman" w:cs="Times New Roman"/>
          <w:spacing w:val="-1"/>
          <w:sz w:val="28"/>
          <w:szCs w:val="36"/>
          <w:lang w:val="uk-UA" w:eastAsia="uk-UA"/>
        </w:rPr>
        <w:t xml:space="preserve">дійти висновку </w:t>
      </w:r>
      <w:r w:rsidRPr="00042924">
        <w:rPr>
          <w:rFonts w:ascii="Times New Roman" w:hAnsi="Times New Roman" w:cs="Times New Roman"/>
          <w:spacing w:val="-1"/>
          <w:sz w:val="28"/>
          <w:szCs w:val="36"/>
          <w:lang w:val="uk-UA" w:eastAsia="uk-UA"/>
        </w:rPr>
        <w:t xml:space="preserve">щодо інтегрального показника ефективності управління підприємством. Зазначимо, що індикатор демонструє різке зростання в 2021 році порівняно з 2020 роком, з 0,010 до 0,324. Однак у 2022 році спостерігається значне падіння показника до від'ємного значення -0,662. Ці різкі коливання інтегрального показника </w:t>
      </w:r>
      <w:r w:rsidR="000E10EA">
        <w:rPr>
          <w:rFonts w:ascii="Times New Roman" w:hAnsi="Times New Roman" w:cs="Times New Roman"/>
          <w:spacing w:val="-1"/>
          <w:sz w:val="28"/>
          <w:szCs w:val="36"/>
          <w:lang w:val="uk-UA" w:eastAsia="uk-UA"/>
        </w:rPr>
        <w:t>підтверджують</w:t>
      </w:r>
      <w:r w:rsidRPr="00042924">
        <w:rPr>
          <w:rFonts w:ascii="Times New Roman" w:hAnsi="Times New Roman" w:cs="Times New Roman"/>
          <w:spacing w:val="-1"/>
          <w:sz w:val="28"/>
          <w:szCs w:val="36"/>
          <w:lang w:val="uk-UA" w:eastAsia="uk-UA"/>
        </w:rPr>
        <w:t xml:space="preserve"> нестабільність та суттєве погіршення ефективності управління фінансово-господарською діяльністю підприємства. Аналіз окремих компонентів цього інтегрального показника (таких як прибуток, основні фонди, фонд оплати праці) додатково підтверджує висновок про погіршення фінансово-економічного стану та ефективності діяльності підприємства.</w:t>
      </w:r>
    </w:p>
    <w:p w14:paraId="7A6DAA97" w14:textId="77777777" w:rsidR="000F5554" w:rsidRPr="00042924" w:rsidRDefault="000F5554" w:rsidP="000F5554">
      <w:pPr>
        <w:spacing w:after="0" w:line="240" w:lineRule="auto"/>
        <w:ind w:firstLine="709"/>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lastRenderedPageBreak/>
        <w:t xml:space="preserve">Для систематизації виявлених проблем та формулювання стратегічних рішень доцільно провести SWOT аналіз фінансово-господарського стану ПАТ </w:t>
      </w:r>
      <w:r w:rsidR="003014F7">
        <w:rPr>
          <w:rFonts w:ascii="Times New Roman" w:hAnsi="Times New Roman" w:cs="Times New Roman"/>
          <w:spacing w:val="-1"/>
          <w:sz w:val="28"/>
          <w:szCs w:val="36"/>
          <w:lang w:val="uk-UA" w:eastAsia="uk-UA"/>
        </w:rPr>
        <w:t>«</w:t>
      </w:r>
      <w:r w:rsidRPr="00042924">
        <w:rPr>
          <w:rFonts w:ascii="Times New Roman" w:hAnsi="Times New Roman" w:cs="Times New Roman"/>
          <w:spacing w:val="-1"/>
          <w:sz w:val="28"/>
          <w:szCs w:val="36"/>
          <w:lang w:val="uk-UA" w:eastAsia="uk-UA"/>
        </w:rPr>
        <w:t>АМКР</w:t>
      </w:r>
      <w:r w:rsidR="003014F7">
        <w:rPr>
          <w:rFonts w:ascii="Times New Roman" w:hAnsi="Times New Roman" w:cs="Times New Roman"/>
          <w:spacing w:val="-1"/>
          <w:sz w:val="28"/>
          <w:szCs w:val="36"/>
          <w:lang w:val="uk-UA" w:eastAsia="uk-UA"/>
        </w:rPr>
        <w:t>»</w:t>
      </w:r>
      <w:r w:rsidRPr="00042924">
        <w:rPr>
          <w:rFonts w:ascii="Times New Roman" w:hAnsi="Times New Roman" w:cs="Times New Roman"/>
          <w:spacing w:val="-1"/>
          <w:sz w:val="28"/>
          <w:szCs w:val="36"/>
          <w:lang w:val="uk-UA" w:eastAsia="uk-UA"/>
        </w:rPr>
        <w:t xml:space="preserve"> (табл. 2.8).</w:t>
      </w:r>
    </w:p>
    <w:p w14:paraId="5C366A8D" w14:textId="77777777" w:rsidR="000F5554" w:rsidRPr="00042924" w:rsidRDefault="000F5554" w:rsidP="000F5554">
      <w:pPr>
        <w:spacing w:after="0" w:line="240" w:lineRule="auto"/>
        <w:ind w:firstLine="709"/>
        <w:jc w:val="both"/>
        <w:rPr>
          <w:rFonts w:ascii="Times New Roman" w:hAnsi="Times New Roman" w:cs="Times New Roman"/>
          <w:spacing w:val="-1"/>
          <w:sz w:val="28"/>
          <w:szCs w:val="36"/>
          <w:lang w:val="uk-UA" w:eastAsia="uk-UA"/>
        </w:rPr>
      </w:pPr>
    </w:p>
    <w:p w14:paraId="2EA27B44" w14:textId="77777777" w:rsidR="000F5554" w:rsidRPr="00042924" w:rsidRDefault="000F5554" w:rsidP="0077336B">
      <w:pPr>
        <w:spacing w:after="0" w:line="240" w:lineRule="auto"/>
        <w:ind w:firstLine="709"/>
        <w:jc w:val="center"/>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Таблиця 2.8 - SWOT аналіз ПАТ «АМКР</w:t>
      </w:r>
      <w:r w:rsidR="003014F7">
        <w:rPr>
          <w:rFonts w:ascii="Times New Roman" w:hAnsi="Times New Roman" w:cs="Times New Roman"/>
          <w:spacing w:val="-1"/>
          <w:sz w:val="28"/>
          <w:szCs w:val="36"/>
          <w:lang w:val="uk-UA" w:eastAsia="uk-UA"/>
        </w:rPr>
        <w:t>»</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4955"/>
        <w:gridCol w:w="4956"/>
      </w:tblGrid>
      <w:tr w:rsidR="000F5554" w:rsidRPr="00042924" w14:paraId="3616A80C" w14:textId="77777777" w:rsidTr="004C5765">
        <w:trPr>
          <w:cantSplit/>
          <w:trHeight w:val="227"/>
          <w:jc w:val="center"/>
        </w:trPr>
        <w:tc>
          <w:tcPr>
            <w:tcW w:w="2500" w:type="pct"/>
            <w:vAlign w:val="center"/>
          </w:tcPr>
          <w:p w14:paraId="2A5FA397" w14:textId="77777777" w:rsidR="000F5554" w:rsidRPr="00042924" w:rsidRDefault="000F5554" w:rsidP="0029174C">
            <w:pPr>
              <w:ind w:left="113"/>
              <w:jc w:val="center"/>
              <w:rPr>
                <w:rFonts w:ascii="Times New Roman" w:eastAsia="Times New Roman" w:hAnsi="Times New Roman" w:cs="Times New Roman"/>
                <w:b/>
                <w:bCs/>
                <w:iCs/>
                <w:sz w:val="24"/>
                <w:szCs w:val="24"/>
                <w:lang w:val="uk-UA"/>
              </w:rPr>
            </w:pPr>
            <w:bookmarkStart w:id="18" w:name="_Hlk151588953"/>
            <w:r w:rsidRPr="00042924">
              <w:rPr>
                <w:rFonts w:ascii="Times New Roman" w:eastAsia="Times New Roman" w:hAnsi="Times New Roman" w:cs="Times New Roman"/>
                <w:b/>
                <w:bCs/>
                <w:iCs/>
                <w:sz w:val="24"/>
                <w:szCs w:val="24"/>
                <w:lang w:val="uk-UA"/>
              </w:rPr>
              <w:t>Сильні</w:t>
            </w:r>
            <w:r w:rsidRPr="00042924">
              <w:rPr>
                <w:rFonts w:ascii="Times New Roman" w:eastAsia="Times New Roman" w:hAnsi="Times New Roman" w:cs="Times New Roman"/>
                <w:b/>
                <w:bCs/>
                <w:iCs/>
                <w:spacing w:val="-3"/>
                <w:sz w:val="24"/>
                <w:szCs w:val="24"/>
                <w:lang w:val="uk-UA"/>
              </w:rPr>
              <w:t xml:space="preserve"> </w:t>
            </w:r>
            <w:r w:rsidRPr="00042924">
              <w:rPr>
                <w:rFonts w:ascii="Times New Roman" w:eastAsia="Times New Roman" w:hAnsi="Times New Roman" w:cs="Times New Roman"/>
                <w:b/>
                <w:bCs/>
                <w:iCs/>
                <w:sz w:val="24"/>
                <w:szCs w:val="24"/>
                <w:lang w:val="uk-UA"/>
              </w:rPr>
              <w:t>сторони:</w:t>
            </w:r>
          </w:p>
        </w:tc>
        <w:tc>
          <w:tcPr>
            <w:tcW w:w="2500" w:type="pct"/>
            <w:vAlign w:val="center"/>
          </w:tcPr>
          <w:p w14:paraId="3213A110" w14:textId="77777777" w:rsidR="000F5554" w:rsidRPr="00042924" w:rsidRDefault="000F5554" w:rsidP="0029174C">
            <w:pPr>
              <w:ind w:left="113"/>
              <w:jc w:val="center"/>
              <w:rPr>
                <w:rFonts w:ascii="Times New Roman" w:eastAsia="Times New Roman" w:hAnsi="Times New Roman" w:cs="Times New Roman"/>
                <w:b/>
                <w:bCs/>
                <w:iCs/>
                <w:sz w:val="24"/>
                <w:szCs w:val="24"/>
                <w:lang w:val="uk-UA"/>
              </w:rPr>
            </w:pPr>
            <w:r w:rsidRPr="00042924">
              <w:rPr>
                <w:rFonts w:ascii="Times New Roman" w:eastAsia="Times New Roman" w:hAnsi="Times New Roman" w:cs="Times New Roman"/>
                <w:b/>
                <w:bCs/>
                <w:iCs/>
                <w:sz w:val="24"/>
                <w:szCs w:val="24"/>
                <w:lang w:val="uk-UA"/>
              </w:rPr>
              <w:t>Слабкі</w:t>
            </w:r>
            <w:r w:rsidRPr="00042924">
              <w:rPr>
                <w:rFonts w:ascii="Times New Roman" w:eastAsia="Times New Roman" w:hAnsi="Times New Roman" w:cs="Times New Roman"/>
                <w:b/>
                <w:bCs/>
                <w:iCs/>
                <w:spacing w:val="-4"/>
                <w:sz w:val="24"/>
                <w:szCs w:val="24"/>
                <w:lang w:val="uk-UA"/>
              </w:rPr>
              <w:t xml:space="preserve"> </w:t>
            </w:r>
            <w:r w:rsidRPr="00042924">
              <w:rPr>
                <w:rFonts w:ascii="Times New Roman" w:eastAsia="Times New Roman" w:hAnsi="Times New Roman" w:cs="Times New Roman"/>
                <w:b/>
                <w:bCs/>
                <w:iCs/>
                <w:sz w:val="24"/>
                <w:szCs w:val="24"/>
                <w:lang w:val="uk-UA"/>
              </w:rPr>
              <w:t>сторони:</w:t>
            </w:r>
          </w:p>
        </w:tc>
      </w:tr>
      <w:tr w:rsidR="000F5554" w:rsidRPr="00042924" w14:paraId="7AB1A525" w14:textId="77777777" w:rsidTr="004C5765">
        <w:trPr>
          <w:trHeight w:val="642"/>
          <w:jc w:val="center"/>
        </w:trPr>
        <w:tc>
          <w:tcPr>
            <w:tcW w:w="2500" w:type="pct"/>
          </w:tcPr>
          <w:p w14:paraId="1E39A7E8"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Повний виробничий цикл від видобутку сировини до випуску готової продукції</w:t>
            </w:r>
          </w:p>
          <w:p w14:paraId="24EB3711"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Значні виробничі потужності та можливості</w:t>
            </w:r>
          </w:p>
          <w:p w14:paraId="6EAC3B19"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Експортно орієнтоване виробництво (85% продукції йде на експорт)</w:t>
            </w:r>
          </w:p>
          <w:p w14:paraId="60642990"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Досвід роботи та налагоджені зв'язки на ключових зовнішніх ринках збуту</w:t>
            </w:r>
          </w:p>
          <w:p w14:paraId="7D9B6056"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Кваліфікований персонал та управлінські кадри</w:t>
            </w:r>
          </w:p>
          <w:p w14:paraId="4CCBBA14"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Наявність сучасного технологічного обладнання в окремих цехах</w:t>
            </w:r>
          </w:p>
          <w:p w14:paraId="3EAE6E67" w14:textId="77777777" w:rsidR="000F5554" w:rsidRPr="00042924" w:rsidRDefault="000F5554" w:rsidP="00294118">
            <w:pPr>
              <w:numPr>
                <w:ilvl w:val="0"/>
                <w:numId w:val="2"/>
              </w:numPr>
              <w:tabs>
                <w:tab w:val="left" w:pos="375"/>
              </w:tabs>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Потужна сировинна база та власні запаси залізної руди</w:t>
            </w:r>
          </w:p>
          <w:p w14:paraId="44CE36CA" w14:textId="77777777" w:rsidR="000F5554" w:rsidRPr="00042924" w:rsidRDefault="000F5554" w:rsidP="00294118">
            <w:pPr>
              <w:numPr>
                <w:ilvl w:val="0"/>
                <w:numId w:val="2"/>
              </w:numPr>
              <w:ind w:left="442" w:hanging="357"/>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Підтримка та досвід роботи в межах потужної міжнародної корпорації</w:t>
            </w:r>
          </w:p>
        </w:tc>
        <w:tc>
          <w:tcPr>
            <w:tcW w:w="2500" w:type="pct"/>
          </w:tcPr>
          <w:p w14:paraId="3618C743" w14:textId="77777777" w:rsidR="000F5554" w:rsidRPr="00042924" w:rsidRDefault="000F5554" w:rsidP="00294118">
            <w:pPr>
              <w:numPr>
                <w:ilvl w:val="0"/>
                <w:numId w:val="3"/>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Застарілі основні фонди та виробничі потужності, що потребують модернізації</w:t>
            </w:r>
          </w:p>
          <w:p w14:paraId="6FA1340C" w14:textId="77777777" w:rsidR="000F5554" w:rsidRPr="00042924" w:rsidRDefault="000F5554" w:rsidP="00294118">
            <w:pPr>
              <w:numPr>
                <w:ilvl w:val="0"/>
                <w:numId w:val="3"/>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Висока ресурсо- та енергомісткість виробництва</w:t>
            </w:r>
          </w:p>
          <w:p w14:paraId="1656A0FB" w14:textId="77777777" w:rsidR="000F5554" w:rsidRPr="00042924" w:rsidRDefault="000F5554" w:rsidP="00294118">
            <w:pPr>
              <w:numPr>
                <w:ilvl w:val="0"/>
                <w:numId w:val="3"/>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Неефективна організаційна структура та система управління</w:t>
            </w:r>
          </w:p>
          <w:p w14:paraId="146A70F6" w14:textId="77777777" w:rsidR="000F5554" w:rsidRPr="00042924" w:rsidRDefault="000F5554" w:rsidP="00294118">
            <w:pPr>
              <w:numPr>
                <w:ilvl w:val="0"/>
                <w:numId w:val="3"/>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Слабка фінансова стійкість та висока залежність від кредитів</w:t>
            </w:r>
          </w:p>
          <w:p w14:paraId="527C548C" w14:textId="77777777" w:rsidR="000F5554" w:rsidRPr="00042924" w:rsidRDefault="000F5554" w:rsidP="00294118">
            <w:pPr>
              <w:numPr>
                <w:ilvl w:val="0"/>
                <w:numId w:val="3"/>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Низька рентабельність виробництва та реалізації продукції</w:t>
            </w:r>
          </w:p>
          <w:p w14:paraId="06C46E22" w14:textId="77777777" w:rsidR="000F5554" w:rsidRPr="00042924" w:rsidRDefault="000F5554" w:rsidP="00294118">
            <w:pPr>
              <w:numPr>
                <w:ilvl w:val="0"/>
                <w:numId w:val="3"/>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Критичні фінансові та виробничі показники у 2022 році</w:t>
            </w:r>
          </w:p>
          <w:p w14:paraId="38C1B7B6" w14:textId="77777777" w:rsidR="000F5554" w:rsidRPr="00042924" w:rsidRDefault="000F5554" w:rsidP="00294118">
            <w:pPr>
              <w:numPr>
                <w:ilvl w:val="0"/>
                <w:numId w:val="3"/>
              </w:numPr>
              <w:ind w:left="445"/>
              <w:rPr>
                <w:rFonts w:ascii="Times New Roman" w:eastAsia="Times New Roman" w:hAnsi="Times New Roman" w:cs="Times New Roman"/>
                <w:b/>
                <w:bCs/>
                <w:iCs/>
                <w:sz w:val="24"/>
                <w:szCs w:val="24"/>
                <w:lang w:val="uk-UA"/>
              </w:rPr>
            </w:pPr>
            <w:r w:rsidRPr="00042924">
              <w:rPr>
                <w:rFonts w:ascii="Times New Roman" w:eastAsia="Times New Roman" w:hAnsi="Times New Roman" w:cs="Times New Roman"/>
                <w:iCs/>
                <w:sz w:val="24"/>
                <w:szCs w:val="24"/>
                <w:lang w:val="uk-UA"/>
              </w:rPr>
              <w:t>Значна частка застарілих технологій і устаткування</w:t>
            </w:r>
          </w:p>
        </w:tc>
      </w:tr>
      <w:tr w:rsidR="000F5554" w:rsidRPr="00042924" w14:paraId="713405B3" w14:textId="77777777" w:rsidTr="004C5765">
        <w:trPr>
          <w:trHeight w:val="340"/>
          <w:jc w:val="center"/>
        </w:trPr>
        <w:tc>
          <w:tcPr>
            <w:tcW w:w="2500" w:type="pct"/>
            <w:vAlign w:val="center"/>
          </w:tcPr>
          <w:p w14:paraId="0C196917" w14:textId="77777777" w:rsidR="000F5554" w:rsidRPr="00042924" w:rsidRDefault="000F5554" w:rsidP="0029174C">
            <w:pPr>
              <w:ind w:left="113"/>
              <w:jc w:val="center"/>
              <w:rPr>
                <w:rFonts w:ascii="Times New Roman" w:eastAsia="Times New Roman" w:hAnsi="Times New Roman" w:cs="Times New Roman"/>
                <w:b/>
                <w:bCs/>
                <w:iCs/>
                <w:sz w:val="24"/>
                <w:szCs w:val="24"/>
                <w:lang w:val="uk-UA"/>
              </w:rPr>
            </w:pPr>
            <w:r w:rsidRPr="00042924">
              <w:rPr>
                <w:rFonts w:ascii="Times New Roman" w:eastAsia="Times New Roman" w:hAnsi="Times New Roman" w:cs="Times New Roman"/>
                <w:b/>
                <w:bCs/>
                <w:iCs/>
                <w:sz w:val="24"/>
                <w:szCs w:val="24"/>
                <w:lang w:val="uk-UA"/>
              </w:rPr>
              <w:t>Можливості:</w:t>
            </w:r>
          </w:p>
        </w:tc>
        <w:tc>
          <w:tcPr>
            <w:tcW w:w="2500" w:type="pct"/>
            <w:vAlign w:val="center"/>
          </w:tcPr>
          <w:p w14:paraId="45E15984" w14:textId="77777777" w:rsidR="000F5554" w:rsidRPr="00042924" w:rsidRDefault="000F5554" w:rsidP="0029174C">
            <w:pPr>
              <w:ind w:left="113"/>
              <w:jc w:val="center"/>
              <w:rPr>
                <w:rFonts w:ascii="Times New Roman" w:eastAsia="Times New Roman" w:hAnsi="Times New Roman" w:cs="Times New Roman"/>
                <w:b/>
                <w:bCs/>
                <w:iCs/>
                <w:sz w:val="24"/>
                <w:szCs w:val="24"/>
                <w:lang w:val="uk-UA"/>
              </w:rPr>
            </w:pPr>
            <w:r w:rsidRPr="00042924">
              <w:rPr>
                <w:rFonts w:ascii="Times New Roman" w:eastAsia="Times New Roman" w:hAnsi="Times New Roman" w:cs="Times New Roman"/>
                <w:b/>
                <w:bCs/>
                <w:iCs/>
                <w:sz w:val="24"/>
                <w:szCs w:val="24"/>
                <w:lang w:val="uk-UA"/>
              </w:rPr>
              <w:t>Загрози:</w:t>
            </w:r>
          </w:p>
        </w:tc>
      </w:tr>
      <w:tr w:rsidR="000F5554" w:rsidRPr="00042924" w14:paraId="2D8432B6" w14:textId="77777777" w:rsidTr="004C5765">
        <w:trPr>
          <w:trHeight w:val="227"/>
          <w:jc w:val="center"/>
        </w:trPr>
        <w:tc>
          <w:tcPr>
            <w:tcW w:w="2500" w:type="pct"/>
          </w:tcPr>
          <w:p w14:paraId="73CBA1AE"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Розширення експорту в країни ЄС завдяки угоді про асоціацію з ЄС</w:t>
            </w:r>
          </w:p>
          <w:p w14:paraId="66068193"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Залучення інвестицій від ЄБРР, Світового банку та інших МФО для модернізації</w:t>
            </w:r>
          </w:p>
          <w:p w14:paraId="22A5DDDD"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Впровадження інноваційних технологій та цифровізація виробництва</w:t>
            </w:r>
          </w:p>
          <w:p w14:paraId="503D2B9E"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Диверсифікація ринків збуту шляхом виходу на ринки Азії та Африки</w:t>
            </w:r>
          </w:p>
          <w:p w14:paraId="55BF3F6A"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Реалізація програми імпортозаміщення в Україні</w:t>
            </w:r>
          </w:p>
          <w:p w14:paraId="24F09861"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Збільшення внутрішнього попиту внаслідок відбудови економіки та інфраструктури</w:t>
            </w:r>
          </w:p>
          <w:p w14:paraId="3D129708" w14:textId="77777777" w:rsidR="000F5554" w:rsidRPr="00042924" w:rsidRDefault="000F5554" w:rsidP="00294118">
            <w:pPr>
              <w:numPr>
                <w:ilvl w:val="0"/>
                <w:numId w:val="4"/>
              </w:numPr>
              <w:tabs>
                <w:tab w:val="left" w:pos="456"/>
              </w:tabs>
              <w:ind w:left="445"/>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 xml:space="preserve">Поглиблення співпраці з ТНК </w:t>
            </w:r>
            <w:r w:rsidR="00C24141" w:rsidRPr="00042924">
              <w:rPr>
                <w:rFonts w:ascii="Times New Roman" w:eastAsia="Times New Roman" w:hAnsi="Times New Roman" w:cs="Times New Roman"/>
                <w:iCs/>
                <w:sz w:val="24"/>
                <w:szCs w:val="24"/>
                <w:lang w:val="uk-UA"/>
              </w:rPr>
              <w:t>Arcelor Mittal</w:t>
            </w:r>
            <w:r w:rsidRPr="00042924">
              <w:rPr>
                <w:rFonts w:ascii="Times New Roman" w:eastAsia="Times New Roman" w:hAnsi="Times New Roman" w:cs="Times New Roman"/>
                <w:iCs/>
                <w:sz w:val="24"/>
                <w:szCs w:val="24"/>
                <w:lang w:val="uk-UA"/>
              </w:rPr>
              <w:t xml:space="preserve"> для перейняття кращих світових практик</w:t>
            </w:r>
          </w:p>
          <w:p w14:paraId="0D38E6ED" w14:textId="77777777" w:rsidR="000F5554" w:rsidRPr="00042924" w:rsidRDefault="000F5554" w:rsidP="00294118">
            <w:pPr>
              <w:numPr>
                <w:ilvl w:val="0"/>
                <w:numId w:val="4"/>
              </w:numPr>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Розвиток виробництва продукції з високою доданою вартістю</w:t>
            </w:r>
          </w:p>
        </w:tc>
        <w:tc>
          <w:tcPr>
            <w:tcW w:w="2500" w:type="pct"/>
          </w:tcPr>
          <w:p w14:paraId="5AFFBD7B"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Посилення конкуренції з боку металургійних компаній Китаю, Туреччини, Індії</w:t>
            </w:r>
          </w:p>
          <w:p w14:paraId="2014F80B"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Економічна та політична нестабільність в Україні і світі</w:t>
            </w:r>
          </w:p>
          <w:p w14:paraId="5F7C8819"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Зниження цін та попиту на світовому ринку металопродукції</w:t>
            </w:r>
          </w:p>
          <w:p w14:paraId="477E1993"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Торговельні війни та запровадження захисних мит країнами ЄС, США</w:t>
            </w:r>
          </w:p>
          <w:p w14:paraId="4BA7E4DC"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Ризик подальшого погіршення фінансового становища та банкрутства</w:t>
            </w:r>
          </w:p>
          <w:p w14:paraId="03039834"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Посилення податкового тиску та несприятливих змін державного регулювання галузі</w:t>
            </w:r>
          </w:p>
          <w:p w14:paraId="3BF2B2EC" w14:textId="77777777" w:rsidR="000F5554" w:rsidRPr="00042924" w:rsidRDefault="000F5554" w:rsidP="00294118">
            <w:pPr>
              <w:numPr>
                <w:ilvl w:val="0"/>
                <w:numId w:val="5"/>
              </w:numPr>
              <w:tabs>
                <w:tab w:val="left" w:pos="374"/>
              </w:tabs>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Неможливість залучення довгострокових інвестицій через високі ризики в країні</w:t>
            </w:r>
          </w:p>
          <w:p w14:paraId="68C6CBC5" w14:textId="77777777" w:rsidR="000F5554" w:rsidRPr="00042924" w:rsidRDefault="000F5554" w:rsidP="00294118">
            <w:pPr>
              <w:numPr>
                <w:ilvl w:val="0"/>
                <w:numId w:val="5"/>
              </w:numPr>
              <w:ind w:left="445"/>
              <w:jc w:val="both"/>
              <w:rPr>
                <w:rFonts w:ascii="Times New Roman" w:eastAsia="Times New Roman" w:hAnsi="Times New Roman" w:cs="Times New Roman"/>
                <w:iCs/>
                <w:sz w:val="24"/>
                <w:szCs w:val="24"/>
                <w:lang w:val="uk-UA"/>
              </w:rPr>
            </w:pPr>
            <w:r w:rsidRPr="00042924">
              <w:rPr>
                <w:rFonts w:ascii="Times New Roman" w:eastAsia="Times New Roman" w:hAnsi="Times New Roman" w:cs="Times New Roman"/>
                <w:iCs/>
                <w:sz w:val="24"/>
                <w:szCs w:val="24"/>
                <w:lang w:val="uk-UA"/>
              </w:rPr>
              <w:t>Продовження бойових дій, руйнування інфраструктури та ланцюгів постачання</w:t>
            </w:r>
          </w:p>
        </w:tc>
      </w:tr>
    </w:tbl>
    <w:bookmarkEnd w:id="18"/>
    <w:p w14:paraId="439A4A68" w14:textId="77777777" w:rsidR="000F5554" w:rsidRPr="00042924" w:rsidRDefault="000F5554" w:rsidP="000F5554">
      <w:pPr>
        <w:spacing w:after="0" w:line="240" w:lineRule="auto"/>
        <w:ind w:firstLine="284"/>
        <w:jc w:val="both"/>
        <w:rPr>
          <w:rFonts w:ascii="Times New Roman" w:hAnsi="Times New Roman" w:cs="Times New Roman"/>
          <w:spacing w:val="-1"/>
          <w:sz w:val="28"/>
          <w:szCs w:val="36"/>
          <w:lang w:val="uk-UA" w:eastAsia="uk-UA"/>
        </w:rPr>
      </w:pPr>
      <w:r w:rsidRPr="00042924">
        <w:rPr>
          <w:rFonts w:ascii="Times New Roman" w:hAnsi="Times New Roman" w:cs="Times New Roman"/>
          <w:spacing w:val="-1"/>
          <w:sz w:val="28"/>
          <w:szCs w:val="36"/>
          <w:lang w:val="uk-UA" w:eastAsia="uk-UA"/>
        </w:rPr>
        <w:t>Джерело: систематизовано автором самостійно</w:t>
      </w:r>
    </w:p>
    <w:p w14:paraId="11254CE7" w14:textId="77777777" w:rsidR="000F5554" w:rsidRPr="00042924" w:rsidRDefault="000F5554" w:rsidP="000F5554">
      <w:pPr>
        <w:spacing w:after="0" w:line="240" w:lineRule="auto"/>
        <w:ind w:firstLine="284"/>
        <w:jc w:val="both"/>
        <w:rPr>
          <w:rFonts w:ascii="Times New Roman" w:hAnsi="Times New Roman" w:cs="Times New Roman"/>
          <w:spacing w:val="-1"/>
          <w:sz w:val="28"/>
          <w:szCs w:val="36"/>
          <w:lang w:val="uk-UA" w:eastAsia="uk-UA"/>
        </w:rPr>
      </w:pPr>
    </w:p>
    <w:p w14:paraId="5F03FA94" w14:textId="77777777" w:rsidR="00291A7B" w:rsidRPr="00042924" w:rsidRDefault="00291A7B" w:rsidP="00291A7B">
      <w:pPr>
        <w:tabs>
          <w:tab w:val="left" w:pos="3137"/>
          <w:tab w:val="left" w:pos="5281"/>
        </w:tabs>
        <w:spacing w:after="0" w:line="240" w:lineRule="auto"/>
        <w:ind w:firstLine="709"/>
        <w:jc w:val="both"/>
        <w:rPr>
          <w:rFonts w:ascii="Times New Roman" w:hAnsi="Times New Roman" w:cs="Times New Roman"/>
          <w:kern w:val="0"/>
          <w:sz w:val="28"/>
          <w:szCs w:val="28"/>
          <w:lang w:val="uk-UA"/>
        </w:rPr>
      </w:pPr>
      <w:r w:rsidRPr="00042924">
        <w:rPr>
          <w:rFonts w:ascii="Times New Roman" w:hAnsi="Times New Roman" w:cs="Times New Roman"/>
          <w:kern w:val="0"/>
          <w:sz w:val="28"/>
          <w:szCs w:val="28"/>
          <w:lang w:val="uk-UA"/>
        </w:rPr>
        <w:t xml:space="preserve">На підставі проведеного SWOT-аналізу можна зробити такий висновок: досліджуване підприємство володіє значним виробничим потенціалом завдяки наявності повного технологічного циклу, кваліфікованого персоналу та підтримці потужної міжнародної корпорації. Проте реалізація цього потенціалу </w:t>
      </w:r>
      <w:r w:rsidRPr="00042924">
        <w:rPr>
          <w:rFonts w:ascii="Times New Roman" w:hAnsi="Times New Roman" w:cs="Times New Roman"/>
          <w:kern w:val="0"/>
          <w:sz w:val="28"/>
          <w:szCs w:val="28"/>
          <w:lang w:val="uk-UA"/>
        </w:rPr>
        <w:lastRenderedPageBreak/>
        <w:t>ускладнюється через застарілі основні фонди, що зумовлює високу ресурсомісткість, а також через недостатньо ефективне управління виробництвом. Фінансовий стан підприємства є вкрай нестійким, існує значна ймовірність його банкрутства в найближчій перспективі. Спостерігається збитковість діяльності, низький рівень рентабельності, скорочення обсягів виробництва та експорту продукції.</w:t>
      </w:r>
    </w:p>
    <w:p w14:paraId="36B0F69A" w14:textId="77777777" w:rsidR="00291A7B" w:rsidRPr="00042924" w:rsidRDefault="00291A7B" w:rsidP="00291A7B">
      <w:pPr>
        <w:tabs>
          <w:tab w:val="left" w:pos="3137"/>
          <w:tab w:val="left" w:pos="5281"/>
        </w:tabs>
        <w:spacing w:after="0" w:line="240" w:lineRule="auto"/>
        <w:ind w:firstLine="709"/>
        <w:jc w:val="both"/>
        <w:rPr>
          <w:rFonts w:ascii="Times New Roman" w:hAnsi="Times New Roman" w:cs="Times New Roman"/>
          <w:kern w:val="0"/>
          <w:sz w:val="28"/>
          <w:szCs w:val="28"/>
          <w:lang w:val="uk-UA"/>
        </w:rPr>
      </w:pPr>
      <w:r w:rsidRPr="00042924">
        <w:rPr>
          <w:rFonts w:ascii="Times New Roman" w:hAnsi="Times New Roman" w:cs="Times New Roman"/>
          <w:kern w:val="0"/>
          <w:sz w:val="28"/>
          <w:szCs w:val="28"/>
          <w:lang w:val="uk-UA"/>
        </w:rPr>
        <w:t>Разом з тим, існують певні можливості для розвитку підприємства, пов'язані з потенційним зростанням попиту на його продукцію як на внутрішньому, так і на зовнішніх ринках. Однак реалізація цих можливостей ускладнюється через брак інвестицій, необхідних для модернізації виробництва в умовах фінансової кризи та високих економічних ризиків в країні.</w:t>
      </w:r>
    </w:p>
    <w:p w14:paraId="3DF14EEF" w14:textId="77777777" w:rsidR="00291A7B" w:rsidRPr="00042924" w:rsidRDefault="00291A7B" w:rsidP="00291A7B">
      <w:pPr>
        <w:tabs>
          <w:tab w:val="left" w:pos="3137"/>
          <w:tab w:val="left" w:pos="5281"/>
        </w:tabs>
        <w:spacing w:after="0" w:line="240" w:lineRule="auto"/>
        <w:ind w:firstLine="709"/>
        <w:jc w:val="both"/>
        <w:rPr>
          <w:rFonts w:ascii="Times New Roman" w:hAnsi="Times New Roman" w:cs="Times New Roman"/>
          <w:kern w:val="0"/>
          <w:sz w:val="28"/>
          <w:szCs w:val="28"/>
          <w:lang w:val="uk-UA"/>
        </w:rPr>
      </w:pPr>
      <w:r w:rsidRPr="00042924">
        <w:rPr>
          <w:rFonts w:ascii="Times New Roman" w:hAnsi="Times New Roman" w:cs="Times New Roman"/>
          <w:kern w:val="0"/>
          <w:sz w:val="28"/>
          <w:szCs w:val="28"/>
          <w:lang w:val="uk-UA"/>
        </w:rPr>
        <w:t>Існують загрози подальшого погіршення фінансового стану підприємства та зростання ймовірності його банкрутства, пов'язані з наростаючою збитковістю діяльності, зростанням цін на енергоносії та сировину, скороченням попиту в умовах можливої глобальної економічної рецесії.</w:t>
      </w:r>
    </w:p>
    <w:p w14:paraId="6D6DEA42" w14:textId="77777777" w:rsidR="000F5554" w:rsidRPr="00042924" w:rsidRDefault="00291A7B" w:rsidP="00DD70B1">
      <w:pPr>
        <w:tabs>
          <w:tab w:val="left" w:pos="3137"/>
          <w:tab w:val="left" w:pos="5281"/>
        </w:tabs>
        <w:spacing w:after="0" w:line="240" w:lineRule="auto"/>
        <w:ind w:firstLine="709"/>
        <w:jc w:val="both"/>
        <w:rPr>
          <w:rFonts w:ascii="Times New Roman" w:hAnsi="Times New Roman" w:cs="Times New Roman"/>
          <w:kern w:val="0"/>
          <w:sz w:val="28"/>
          <w:szCs w:val="28"/>
          <w:lang w:val="uk-UA"/>
        </w:rPr>
      </w:pPr>
      <w:r w:rsidRPr="00042924">
        <w:rPr>
          <w:rFonts w:ascii="Times New Roman" w:hAnsi="Times New Roman" w:cs="Times New Roman"/>
          <w:kern w:val="0"/>
          <w:sz w:val="28"/>
          <w:szCs w:val="28"/>
          <w:lang w:val="uk-UA"/>
        </w:rPr>
        <w:t>Отже, без термінової державної підтримки у вигляді субсидій чи податкових пільг, а також без залучення значних приватних інвестицій для модернізації виробництва, підприємство приречене на подальше скорочення обсягів діяльності та згортання виробництва внаслідок банкрутства. Необхідно здійснити радикальну реструктуризацію бізнесу та оптимізацію витрат для відновлення прибутковості хоча б на рівні, який забезпечить виживання компанії в довгостроковій перспективі.</w:t>
      </w:r>
      <w:bookmarkEnd w:id="10"/>
    </w:p>
    <w:p w14:paraId="2CC0D219" w14:textId="77777777" w:rsidR="004C5765" w:rsidRDefault="004C5765" w:rsidP="00DD70B1">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p>
    <w:p w14:paraId="7C48E71D" w14:textId="77777777" w:rsidR="00DD70B1" w:rsidRPr="00042924" w:rsidRDefault="00DD70B1" w:rsidP="00DD70B1">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p>
    <w:p w14:paraId="13D7422B" w14:textId="77777777" w:rsidR="007A316B" w:rsidRPr="00042924" w:rsidRDefault="00685546" w:rsidP="00DD70B1">
      <w:pPr>
        <w:spacing w:line="240" w:lineRule="auto"/>
        <w:ind w:firstLine="709"/>
        <w:jc w:val="both"/>
        <w:rPr>
          <w:rFonts w:ascii="Times New Roman" w:eastAsia="Times New Roman" w:hAnsi="Times New Roman" w:cs="Times New Roman"/>
          <w:b/>
          <w:bCs/>
          <w:sz w:val="28"/>
          <w:lang w:val="uk-UA"/>
        </w:rPr>
      </w:pPr>
      <w:bookmarkStart w:id="19" w:name="_Hlk152674731"/>
      <w:r w:rsidRPr="00042924">
        <w:rPr>
          <w:rFonts w:ascii="Times New Roman" w:eastAsia="Times New Roman" w:hAnsi="Times New Roman" w:cs="Times New Roman"/>
          <w:b/>
          <w:bCs/>
          <w:sz w:val="28"/>
          <w:lang w:val="uk-UA"/>
        </w:rPr>
        <w:t xml:space="preserve">2.2. </w:t>
      </w:r>
      <w:r w:rsidR="00BE42E7" w:rsidRPr="00042924">
        <w:rPr>
          <w:rFonts w:ascii="Times New Roman" w:eastAsia="Times New Roman" w:hAnsi="Times New Roman" w:cs="Times New Roman"/>
          <w:b/>
          <w:bCs/>
          <w:sz w:val="28"/>
          <w:lang w:val="uk-UA"/>
        </w:rPr>
        <w:t>Інтегральна діагностика ймовірності банкрутства ПАТ «АрселорМіттал Кривий Ріг»</w:t>
      </w:r>
    </w:p>
    <w:bookmarkEnd w:id="9"/>
    <w:p w14:paraId="44121E33" w14:textId="77777777" w:rsidR="0080470E" w:rsidRDefault="0080470E" w:rsidP="00DD70B1">
      <w:pPr>
        <w:spacing w:after="0" w:line="240" w:lineRule="auto"/>
        <w:ind w:firstLine="709"/>
        <w:jc w:val="both"/>
        <w:rPr>
          <w:rFonts w:ascii="Times New Roman" w:eastAsia="Times New Roman" w:hAnsi="Times New Roman" w:cs="Times New Roman"/>
          <w:b/>
          <w:bCs/>
          <w:sz w:val="28"/>
          <w:lang w:val="uk-UA"/>
        </w:rPr>
      </w:pPr>
    </w:p>
    <w:p w14:paraId="061D554F" w14:textId="77777777" w:rsidR="00DD70B1" w:rsidRPr="00042924" w:rsidRDefault="00DD70B1" w:rsidP="00DD70B1">
      <w:pPr>
        <w:spacing w:after="0" w:line="240" w:lineRule="auto"/>
        <w:ind w:firstLine="709"/>
        <w:jc w:val="both"/>
        <w:rPr>
          <w:rFonts w:ascii="Times New Roman" w:eastAsia="Times New Roman" w:hAnsi="Times New Roman" w:cs="Times New Roman"/>
          <w:b/>
          <w:bCs/>
          <w:sz w:val="28"/>
          <w:lang w:val="uk-UA"/>
        </w:rPr>
      </w:pPr>
    </w:p>
    <w:p w14:paraId="2E5E75D1" w14:textId="77777777" w:rsidR="00AE2B7D" w:rsidRPr="00042924" w:rsidRDefault="00AE2B7D" w:rsidP="00DD70B1">
      <w:pPr>
        <w:spacing w:after="0" w:line="240" w:lineRule="auto"/>
        <w:ind w:firstLine="709"/>
        <w:jc w:val="both"/>
        <w:rPr>
          <w:rFonts w:ascii="Times New Roman" w:eastAsia="Times New Roman" w:hAnsi="Times New Roman" w:cs="Times New Roman"/>
          <w:kern w:val="0"/>
          <w:sz w:val="28"/>
          <w:szCs w:val="28"/>
          <w:lang w:val="uk-UA"/>
          <w14:ligatures w14:val="none"/>
        </w:rPr>
      </w:pPr>
      <w:bookmarkStart w:id="20" w:name="_Hlk151984334"/>
      <w:r w:rsidRPr="00042924">
        <w:rPr>
          <w:rFonts w:ascii="Times New Roman" w:eastAsia="Times New Roman" w:hAnsi="Times New Roman" w:cs="Times New Roman"/>
          <w:kern w:val="0"/>
          <w:sz w:val="28"/>
          <w:szCs w:val="28"/>
          <w:lang w:val="uk-UA"/>
          <w14:ligatures w14:val="none"/>
        </w:rPr>
        <w:t>У сучасних умовах швидких змін зовнішнього середовища та посилення конкуренції регулярний моніторинг фінансового стану та оцінка ризику банкрутства набувають особливого значення для ефективного управління підприємством. На жаль, чимало керівників недооцінюють важливість цієї роботи, внаслідок чого їхні компанії раптово опиняються на межі банкрутства. Для своєчасного попередження та подолання фінансових труднощів ключовими є постійний моніторинг показників діяльності, розрахунок ймовірності банкрутства за допомогою різних моделей та розробка дієвих антикризових заходів.</w:t>
      </w:r>
    </w:p>
    <w:p w14:paraId="78DA9CA7" w14:textId="77777777" w:rsidR="00AE2B7D" w:rsidRPr="00042924" w:rsidRDefault="00AE2B7D" w:rsidP="00AE2B7D">
      <w:pPr>
        <w:spacing w:after="0" w:line="240" w:lineRule="auto"/>
        <w:ind w:firstLine="709"/>
        <w:jc w:val="both"/>
        <w:rPr>
          <w:rFonts w:ascii="Times New Roman" w:eastAsia="Times New Roman" w:hAnsi="Times New Roman" w:cs="Times New Roman"/>
          <w:kern w:val="0"/>
          <w:sz w:val="28"/>
          <w:szCs w:val="28"/>
          <w:lang w:val="uk-UA"/>
          <w14:ligatures w14:val="none"/>
        </w:rPr>
      </w:pPr>
      <w:bookmarkStart w:id="21" w:name="_Hlk151984378"/>
      <w:bookmarkEnd w:id="20"/>
      <w:r w:rsidRPr="00042924">
        <w:rPr>
          <w:rFonts w:ascii="Times New Roman" w:eastAsia="Times New Roman" w:hAnsi="Times New Roman" w:cs="Times New Roman"/>
          <w:kern w:val="0"/>
          <w:sz w:val="28"/>
          <w:szCs w:val="28"/>
          <w:lang w:val="uk-UA"/>
          <w14:ligatures w14:val="none"/>
        </w:rPr>
        <w:t xml:space="preserve">З огляду на це, першим кроком у дослідженні буде комплексна діагностика ймовірності банкрутства ПАТ </w:t>
      </w:r>
      <w:r w:rsidR="001D6CC1">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kern w:val="0"/>
          <w:sz w:val="28"/>
          <w:szCs w:val="28"/>
          <w:lang w:val="uk-UA"/>
          <w14:ligatures w14:val="none"/>
        </w:rPr>
        <w:t xml:space="preserve"> за допомогою 6 моделей протягом 2019-2022 років.</w:t>
      </w:r>
      <w:bookmarkEnd w:id="21"/>
    </w:p>
    <w:p w14:paraId="75B8A8AD" w14:textId="77777777" w:rsidR="006D21AC" w:rsidRDefault="00AE2B7D" w:rsidP="00AE2B7D">
      <w:pPr>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t>Першою для аналізу обрана модифікована п'ятифакторна модель Альтмана, яка є однією з найпоширеніших для оцінки ймовірності банкрутства підприємств з некотируваними акціями. Вона враховує показники ліквідності, рентабельності, фінансової автономії та ділової активності. Вихідні дані, послідовність розрахунку та отримані результати наведено в таблиці 2.</w:t>
      </w:r>
      <w:r w:rsidR="00DE477D" w:rsidRPr="00042924">
        <w:rPr>
          <w:rFonts w:ascii="Times New Roman" w:eastAsia="Times New Roman" w:hAnsi="Times New Roman" w:cs="Times New Roman"/>
          <w:kern w:val="0"/>
          <w:sz w:val="28"/>
          <w:szCs w:val="28"/>
          <w:lang w:val="uk-UA"/>
          <w14:ligatures w14:val="none"/>
        </w:rPr>
        <w:t>9</w:t>
      </w:r>
      <w:r w:rsidRPr="00042924">
        <w:rPr>
          <w:rFonts w:ascii="Times New Roman" w:eastAsia="Times New Roman" w:hAnsi="Times New Roman" w:cs="Times New Roman"/>
          <w:kern w:val="0"/>
          <w:sz w:val="28"/>
          <w:szCs w:val="28"/>
          <w:lang w:val="uk-UA"/>
          <w14:ligatures w14:val="none"/>
        </w:rPr>
        <w:t>.</w:t>
      </w:r>
    </w:p>
    <w:p w14:paraId="482BF859" w14:textId="77777777" w:rsidR="00F676EB" w:rsidRPr="00042924" w:rsidRDefault="00F676EB" w:rsidP="001F06D5">
      <w:pPr>
        <w:spacing w:after="0" w:line="240" w:lineRule="auto"/>
        <w:ind w:firstLine="709"/>
        <w:jc w:val="both"/>
        <w:rPr>
          <w:rFonts w:ascii="Times New Roman" w:eastAsia="Times New Roman" w:hAnsi="Times New Roman" w:cs="Times New Roman"/>
          <w:kern w:val="0"/>
          <w:sz w:val="28"/>
          <w:szCs w:val="28"/>
          <w:lang w:val="uk-UA"/>
          <w14:ligatures w14:val="none"/>
        </w:rPr>
      </w:pPr>
      <w:r w:rsidRPr="00042924">
        <w:rPr>
          <w:rFonts w:ascii="Times New Roman" w:eastAsia="Times New Roman" w:hAnsi="Times New Roman" w:cs="Times New Roman"/>
          <w:kern w:val="0"/>
          <w:sz w:val="28"/>
          <w:szCs w:val="28"/>
          <w:lang w:val="uk-UA"/>
          <w14:ligatures w14:val="none"/>
        </w:rPr>
        <w:lastRenderedPageBreak/>
        <w:t>Таблиця 2.</w:t>
      </w:r>
      <w:r w:rsidR="00812A6A" w:rsidRPr="00042924">
        <w:rPr>
          <w:rFonts w:ascii="Times New Roman" w:eastAsia="Times New Roman" w:hAnsi="Times New Roman" w:cs="Times New Roman"/>
          <w:kern w:val="0"/>
          <w:sz w:val="28"/>
          <w:szCs w:val="28"/>
          <w:lang w:val="uk-UA"/>
          <w14:ligatures w14:val="none"/>
        </w:rPr>
        <w:t>9</w:t>
      </w:r>
      <w:r w:rsidRPr="00042924">
        <w:rPr>
          <w:rFonts w:ascii="Times New Roman" w:eastAsia="Times New Roman" w:hAnsi="Times New Roman" w:cs="Times New Roman"/>
          <w:kern w:val="0"/>
          <w:sz w:val="28"/>
          <w:szCs w:val="28"/>
          <w:lang w:val="uk-UA"/>
          <w14:ligatures w14:val="none"/>
        </w:rPr>
        <w:t xml:space="preserve"> – Оцінка ймовірності </w:t>
      </w:r>
      <w:r w:rsidR="006C410E" w:rsidRPr="00042924">
        <w:rPr>
          <w:rFonts w:ascii="Times New Roman" w:eastAsia="Times New Roman" w:hAnsi="Times New Roman" w:cs="Times New Roman"/>
          <w:kern w:val="0"/>
          <w:sz w:val="28"/>
          <w:szCs w:val="28"/>
          <w:lang w:val="uk-UA"/>
          <w14:ligatures w14:val="none"/>
        </w:rPr>
        <w:t>банкрутства ПАТ «</w:t>
      </w:r>
      <w:r w:rsidR="00205891">
        <w:rPr>
          <w:rFonts w:ascii="Times New Roman" w:eastAsia="Times New Roman" w:hAnsi="Times New Roman" w:cs="Times New Roman"/>
          <w:kern w:val="0"/>
          <w:sz w:val="28"/>
          <w:szCs w:val="28"/>
          <w:lang w:val="uk-UA"/>
          <w14:ligatures w14:val="none"/>
        </w:rPr>
        <w:t>АМКР</w:t>
      </w:r>
      <w:r w:rsidR="006C410E" w:rsidRPr="00042924">
        <w:rPr>
          <w:rFonts w:ascii="Times New Roman" w:eastAsia="Times New Roman" w:hAnsi="Times New Roman" w:cs="Times New Roman"/>
          <w:kern w:val="0"/>
          <w:sz w:val="28"/>
          <w:szCs w:val="28"/>
          <w:lang w:val="uk-UA"/>
          <w14:ligatures w14:val="none"/>
        </w:rPr>
        <w:t xml:space="preserve">» за моделлю </w:t>
      </w:r>
      <w:r w:rsidR="000C7A98" w:rsidRPr="00042924">
        <w:rPr>
          <w:rFonts w:ascii="Times New Roman" w:eastAsia="Times New Roman" w:hAnsi="Times New Roman" w:cs="Times New Roman"/>
          <w:kern w:val="0"/>
          <w:sz w:val="28"/>
          <w:szCs w:val="28"/>
          <w:lang w:val="uk-UA"/>
          <w14:ligatures w14:val="none"/>
        </w:rPr>
        <w:t>Е.Альтмана</w:t>
      </w:r>
    </w:p>
    <w:tbl>
      <w:tblPr>
        <w:tblW w:w="5000" w:type="pct"/>
        <w:tblCellMar>
          <w:top w:w="57" w:type="dxa"/>
          <w:left w:w="57" w:type="dxa"/>
          <w:bottom w:w="57" w:type="dxa"/>
          <w:right w:w="57" w:type="dxa"/>
        </w:tblCellMar>
        <w:tblLook w:val="04A0" w:firstRow="1" w:lastRow="0" w:firstColumn="1" w:lastColumn="0" w:noHBand="0" w:noVBand="1"/>
      </w:tblPr>
      <w:tblGrid>
        <w:gridCol w:w="4148"/>
        <w:gridCol w:w="1437"/>
        <w:gridCol w:w="1438"/>
        <w:gridCol w:w="1438"/>
        <w:gridCol w:w="1440"/>
      </w:tblGrid>
      <w:tr w:rsidR="00A5449D" w:rsidRPr="00042924" w14:paraId="2B965FAB" w14:textId="77777777" w:rsidTr="000121FF">
        <w:trPr>
          <w:trHeight w:val="312"/>
        </w:trPr>
        <w:tc>
          <w:tcPr>
            <w:tcW w:w="2095" w:type="pct"/>
            <w:vMerge w:val="restart"/>
            <w:tcBorders>
              <w:top w:val="single" w:sz="8" w:space="0" w:color="000000"/>
              <w:left w:val="single" w:sz="8" w:space="0" w:color="000000"/>
              <w:bottom w:val="nil"/>
              <w:right w:val="single" w:sz="8" w:space="0" w:color="000000"/>
            </w:tcBorders>
            <w:shd w:val="clear" w:color="auto" w:fill="auto"/>
            <w:vAlign w:val="center"/>
            <w:hideMark/>
          </w:tcPr>
          <w:p w14:paraId="59E33FC7"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w:t>
            </w:r>
          </w:p>
        </w:tc>
        <w:tc>
          <w:tcPr>
            <w:tcW w:w="2905" w:type="pct"/>
            <w:gridSpan w:val="4"/>
            <w:tcBorders>
              <w:top w:val="single" w:sz="8" w:space="0" w:color="000000"/>
              <w:left w:val="nil"/>
              <w:bottom w:val="single" w:sz="8" w:space="0" w:color="000000"/>
              <w:right w:val="single" w:sz="8" w:space="0" w:color="000000"/>
            </w:tcBorders>
            <w:shd w:val="clear" w:color="auto" w:fill="auto"/>
            <w:vAlign w:val="center"/>
            <w:hideMark/>
          </w:tcPr>
          <w:p w14:paraId="7E12A02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Період, рік</w:t>
            </w:r>
          </w:p>
        </w:tc>
      </w:tr>
      <w:tr w:rsidR="00A5449D" w:rsidRPr="00042924" w14:paraId="45F3C163" w14:textId="77777777" w:rsidTr="000121FF">
        <w:trPr>
          <w:trHeight w:val="312"/>
        </w:trPr>
        <w:tc>
          <w:tcPr>
            <w:tcW w:w="2095" w:type="pct"/>
            <w:vMerge/>
            <w:tcBorders>
              <w:top w:val="single" w:sz="8" w:space="0" w:color="000000"/>
              <w:left w:val="single" w:sz="8" w:space="0" w:color="000000"/>
              <w:bottom w:val="nil"/>
              <w:right w:val="single" w:sz="8" w:space="0" w:color="000000"/>
            </w:tcBorders>
            <w:vAlign w:val="center"/>
            <w:hideMark/>
          </w:tcPr>
          <w:p w14:paraId="42E0EDD3"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p>
        </w:tc>
        <w:tc>
          <w:tcPr>
            <w:tcW w:w="726" w:type="pct"/>
            <w:tcBorders>
              <w:top w:val="nil"/>
              <w:left w:val="nil"/>
              <w:bottom w:val="nil"/>
              <w:right w:val="single" w:sz="8" w:space="0" w:color="000000"/>
            </w:tcBorders>
            <w:shd w:val="clear" w:color="auto" w:fill="auto"/>
            <w:vAlign w:val="center"/>
            <w:hideMark/>
          </w:tcPr>
          <w:p w14:paraId="4A10952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2019</w:t>
            </w:r>
          </w:p>
        </w:tc>
        <w:tc>
          <w:tcPr>
            <w:tcW w:w="726" w:type="pct"/>
            <w:tcBorders>
              <w:top w:val="nil"/>
              <w:left w:val="nil"/>
              <w:bottom w:val="nil"/>
              <w:right w:val="single" w:sz="8" w:space="0" w:color="000000"/>
            </w:tcBorders>
            <w:shd w:val="clear" w:color="auto" w:fill="auto"/>
            <w:vAlign w:val="center"/>
            <w:hideMark/>
          </w:tcPr>
          <w:p w14:paraId="79373A1B"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2020</w:t>
            </w:r>
          </w:p>
        </w:tc>
        <w:tc>
          <w:tcPr>
            <w:tcW w:w="726" w:type="pct"/>
            <w:tcBorders>
              <w:top w:val="nil"/>
              <w:left w:val="nil"/>
              <w:bottom w:val="nil"/>
              <w:right w:val="single" w:sz="8" w:space="0" w:color="000000"/>
            </w:tcBorders>
            <w:shd w:val="clear" w:color="auto" w:fill="auto"/>
            <w:vAlign w:val="center"/>
            <w:hideMark/>
          </w:tcPr>
          <w:p w14:paraId="56BD1372"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2021</w:t>
            </w:r>
          </w:p>
        </w:tc>
        <w:tc>
          <w:tcPr>
            <w:tcW w:w="727" w:type="pct"/>
            <w:tcBorders>
              <w:top w:val="nil"/>
              <w:left w:val="nil"/>
              <w:bottom w:val="nil"/>
              <w:right w:val="single" w:sz="8" w:space="0" w:color="000000"/>
            </w:tcBorders>
            <w:shd w:val="clear" w:color="auto" w:fill="auto"/>
            <w:vAlign w:val="center"/>
            <w:hideMark/>
          </w:tcPr>
          <w:p w14:paraId="2E9FDD2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2022</w:t>
            </w:r>
          </w:p>
        </w:tc>
      </w:tr>
      <w:tr w:rsidR="0068071D" w:rsidRPr="00042924" w14:paraId="71AF0585" w14:textId="77777777" w:rsidTr="000121FF">
        <w:trPr>
          <w:trHeight w:val="312"/>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4ED0DA" w14:textId="77777777" w:rsidR="0068071D" w:rsidRPr="00042924" w:rsidRDefault="0068071D" w:rsidP="00426D30">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Вихідні дані:</w:t>
            </w:r>
          </w:p>
        </w:tc>
      </w:tr>
      <w:tr w:rsidR="00A5449D" w:rsidRPr="00042924" w14:paraId="218CBD78" w14:textId="77777777" w:rsidTr="000121FF">
        <w:trPr>
          <w:trHeight w:val="312"/>
        </w:trPr>
        <w:tc>
          <w:tcPr>
            <w:tcW w:w="2095" w:type="pct"/>
            <w:tcBorders>
              <w:top w:val="nil"/>
              <w:left w:val="single" w:sz="8" w:space="0" w:color="000000"/>
              <w:bottom w:val="single" w:sz="8" w:space="0" w:color="000000"/>
              <w:right w:val="nil"/>
            </w:tcBorders>
            <w:shd w:val="clear" w:color="auto" w:fill="auto"/>
            <w:vAlign w:val="center"/>
            <w:hideMark/>
          </w:tcPr>
          <w:p w14:paraId="6273C6B6"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Оборотний капітал, тис. грн.</w:t>
            </w:r>
          </w:p>
        </w:tc>
        <w:tc>
          <w:tcPr>
            <w:tcW w:w="726" w:type="pct"/>
            <w:tcBorders>
              <w:top w:val="nil"/>
              <w:left w:val="single" w:sz="8" w:space="0" w:color="auto"/>
              <w:bottom w:val="single" w:sz="8" w:space="0" w:color="auto"/>
              <w:right w:val="single" w:sz="8" w:space="0" w:color="auto"/>
            </w:tcBorders>
            <w:shd w:val="clear" w:color="auto" w:fill="auto"/>
            <w:noWrap/>
            <w:vAlign w:val="center"/>
            <w:hideMark/>
          </w:tcPr>
          <w:p w14:paraId="0E9B16A7"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10109855</w:t>
            </w:r>
          </w:p>
        </w:tc>
        <w:tc>
          <w:tcPr>
            <w:tcW w:w="726" w:type="pct"/>
            <w:tcBorders>
              <w:top w:val="nil"/>
              <w:left w:val="nil"/>
              <w:bottom w:val="single" w:sz="8" w:space="0" w:color="auto"/>
              <w:right w:val="single" w:sz="8" w:space="0" w:color="000000"/>
            </w:tcBorders>
            <w:shd w:val="clear" w:color="auto" w:fill="auto"/>
            <w:vAlign w:val="center"/>
            <w:hideMark/>
          </w:tcPr>
          <w:p w14:paraId="6EC0B2AC"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12 180 114</w:t>
            </w:r>
          </w:p>
        </w:tc>
        <w:tc>
          <w:tcPr>
            <w:tcW w:w="726" w:type="pct"/>
            <w:tcBorders>
              <w:top w:val="nil"/>
              <w:left w:val="nil"/>
              <w:bottom w:val="single" w:sz="8" w:space="0" w:color="auto"/>
              <w:right w:val="single" w:sz="8" w:space="0" w:color="000000"/>
            </w:tcBorders>
            <w:shd w:val="clear" w:color="auto" w:fill="auto"/>
            <w:vAlign w:val="center"/>
            <w:hideMark/>
          </w:tcPr>
          <w:p w14:paraId="71935E8D"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23 723 794</w:t>
            </w:r>
          </w:p>
        </w:tc>
        <w:tc>
          <w:tcPr>
            <w:tcW w:w="727" w:type="pct"/>
            <w:tcBorders>
              <w:top w:val="nil"/>
              <w:left w:val="nil"/>
              <w:bottom w:val="single" w:sz="8" w:space="0" w:color="auto"/>
              <w:right w:val="single" w:sz="8" w:space="0" w:color="000000"/>
            </w:tcBorders>
            <w:shd w:val="clear" w:color="auto" w:fill="auto"/>
            <w:vAlign w:val="center"/>
            <w:hideMark/>
          </w:tcPr>
          <w:p w14:paraId="3D9F40FB"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11 279 951</w:t>
            </w:r>
          </w:p>
        </w:tc>
      </w:tr>
      <w:tr w:rsidR="00A5449D" w:rsidRPr="00042924" w14:paraId="7E5C551D"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2F4D67BB"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Баланс, тис. грн.</w:t>
            </w:r>
          </w:p>
        </w:tc>
        <w:tc>
          <w:tcPr>
            <w:tcW w:w="726" w:type="pct"/>
            <w:tcBorders>
              <w:top w:val="nil"/>
              <w:left w:val="nil"/>
              <w:bottom w:val="single" w:sz="8" w:space="0" w:color="000000"/>
              <w:right w:val="single" w:sz="8" w:space="0" w:color="000000"/>
            </w:tcBorders>
            <w:shd w:val="clear" w:color="auto" w:fill="auto"/>
            <w:vAlign w:val="center"/>
            <w:hideMark/>
          </w:tcPr>
          <w:p w14:paraId="4791412F"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97 544 421</w:t>
            </w:r>
          </w:p>
        </w:tc>
        <w:tc>
          <w:tcPr>
            <w:tcW w:w="726" w:type="pct"/>
            <w:tcBorders>
              <w:top w:val="nil"/>
              <w:left w:val="nil"/>
              <w:bottom w:val="nil"/>
              <w:right w:val="single" w:sz="8" w:space="0" w:color="000000"/>
            </w:tcBorders>
            <w:shd w:val="clear" w:color="auto" w:fill="auto"/>
            <w:vAlign w:val="center"/>
            <w:hideMark/>
          </w:tcPr>
          <w:p w14:paraId="2A7E7028"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88 349 556</w:t>
            </w:r>
          </w:p>
        </w:tc>
        <w:tc>
          <w:tcPr>
            <w:tcW w:w="726" w:type="pct"/>
            <w:tcBorders>
              <w:top w:val="nil"/>
              <w:left w:val="nil"/>
              <w:bottom w:val="nil"/>
              <w:right w:val="single" w:sz="8" w:space="0" w:color="000000"/>
            </w:tcBorders>
            <w:shd w:val="clear" w:color="auto" w:fill="auto"/>
            <w:vAlign w:val="center"/>
            <w:hideMark/>
          </w:tcPr>
          <w:p w14:paraId="4FA17E54"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105 800 975</w:t>
            </w:r>
          </w:p>
        </w:tc>
        <w:tc>
          <w:tcPr>
            <w:tcW w:w="727" w:type="pct"/>
            <w:tcBorders>
              <w:top w:val="nil"/>
              <w:left w:val="nil"/>
              <w:bottom w:val="nil"/>
              <w:right w:val="single" w:sz="8" w:space="0" w:color="000000"/>
            </w:tcBorders>
            <w:shd w:val="clear" w:color="auto" w:fill="auto"/>
            <w:vAlign w:val="center"/>
            <w:hideMark/>
          </w:tcPr>
          <w:p w14:paraId="01784784"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52 682 761</w:t>
            </w:r>
          </w:p>
        </w:tc>
      </w:tr>
      <w:tr w:rsidR="00A5449D" w:rsidRPr="00042924" w14:paraId="73D9F615"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373A2249"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Чистий фінансовий результат, тис. грн.</w:t>
            </w:r>
          </w:p>
        </w:tc>
        <w:tc>
          <w:tcPr>
            <w:tcW w:w="726" w:type="pct"/>
            <w:tcBorders>
              <w:top w:val="nil"/>
              <w:left w:val="nil"/>
              <w:bottom w:val="nil"/>
              <w:right w:val="nil"/>
            </w:tcBorders>
            <w:shd w:val="clear" w:color="auto" w:fill="auto"/>
            <w:vAlign w:val="center"/>
            <w:hideMark/>
          </w:tcPr>
          <w:p w14:paraId="4C422D59"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-2 265 232</w:t>
            </w:r>
          </w:p>
        </w:tc>
        <w:tc>
          <w:tcPr>
            <w:tcW w:w="726" w:type="pct"/>
            <w:tcBorders>
              <w:top w:val="single" w:sz="8" w:space="0" w:color="auto"/>
              <w:left w:val="single" w:sz="8" w:space="0" w:color="auto"/>
              <w:bottom w:val="nil"/>
              <w:right w:val="single" w:sz="8" w:space="0" w:color="000000"/>
            </w:tcBorders>
            <w:shd w:val="clear" w:color="auto" w:fill="auto"/>
            <w:vAlign w:val="center"/>
            <w:hideMark/>
          </w:tcPr>
          <w:p w14:paraId="21D29F94"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740 902</w:t>
            </w:r>
          </w:p>
        </w:tc>
        <w:tc>
          <w:tcPr>
            <w:tcW w:w="726" w:type="pct"/>
            <w:tcBorders>
              <w:top w:val="single" w:sz="8" w:space="0" w:color="auto"/>
              <w:left w:val="nil"/>
              <w:bottom w:val="nil"/>
              <w:right w:val="single" w:sz="8" w:space="0" w:color="000000"/>
            </w:tcBorders>
            <w:shd w:val="clear" w:color="auto" w:fill="auto"/>
            <w:vAlign w:val="center"/>
            <w:hideMark/>
          </w:tcPr>
          <w:p w14:paraId="2840A7FD"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25 216 068</w:t>
            </w:r>
          </w:p>
        </w:tc>
        <w:tc>
          <w:tcPr>
            <w:tcW w:w="727" w:type="pct"/>
            <w:tcBorders>
              <w:top w:val="single" w:sz="8" w:space="0" w:color="auto"/>
              <w:left w:val="nil"/>
              <w:bottom w:val="nil"/>
              <w:right w:val="single" w:sz="8" w:space="0" w:color="auto"/>
            </w:tcBorders>
            <w:shd w:val="clear" w:color="auto" w:fill="auto"/>
            <w:vAlign w:val="center"/>
            <w:hideMark/>
          </w:tcPr>
          <w:p w14:paraId="537969B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-49 009 104</w:t>
            </w:r>
          </w:p>
        </w:tc>
      </w:tr>
      <w:tr w:rsidR="00A5449D" w:rsidRPr="00042924" w14:paraId="343AF00C" w14:textId="77777777" w:rsidTr="000121FF">
        <w:trPr>
          <w:trHeight w:val="312"/>
        </w:trPr>
        <w:tc>
          <w:tcPr>
            <w:tcW w:w="2095" w:type="pct"/>
            <w:tcBorders>
              <w:top w:val="nil"/>
              <w:left w:val="single" w:sz="8" w:space="0" w:color="000000"/>
              <w:bottom w:val="single" w:sz="8" w:space="0" w:color="000000"/>
              <w:right w:val="nil"/>
            </w:tcBorders>
            <w:shd w:val="clear" w:color="auto" w:fill="auto"/>
            <w:vAlign w:val="center"/>
            <w:hideMark/>
          </w:tcPr>
          <w:p w14:paraId="0BC28AF4"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Фінансовий результат до оподаткування, тис. грн.</w:t>
            </w:r>
          </w:p>
        </w:tc>
        <w:tc>
          <w:tcPr>
            <w:tcW w:w="726" w:type="pct"/>
            <w:tcBorders>
              <w:top w:val="single" w:sz="8" w:space="0" w:color="auto"/>
              <w:left w:val="single" w:sz="8" w:space="0" w:color="auto"/>
              <w:bottom w:val="single" w:sz="8" w:space="0" w:color="auto"/>
              <w:right w:val="nil"/>
            </w:tcBorders>
            <w:shd w:val="clear" w:color="auto" w:fill="auto"/>
            <w:noWrap/>
            <w:vAlign w:val="center"/>
            <w:hideMark/>
          </w:tcPr>
          <w:p w14:paraId="415967E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-2703282</w:t>
            </w:r>
          </w:p>
        </w:tc>
        <w:tc>
          <w:tcPr>
            <w:tcW w:w="7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F45B78"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847 674</w:t>
            </w:r>
          </w:p>
        </w:tc>
        <w:tc>
          <w:tcPr>
            <w:tcW w:w="726" w:type="pct"/>
            <w:tcBorders>
              <w:top w:val="single" w:sz="8" w:space="0" w:color="auto"/>
              <w:left w:val="nil"/>
              <w:bottom w:val="single" w:sz="8" w:space="0" w:color="auto"/>
              <w:right w:val="nil"/>
            </w:tcBorders>
            <w:shd w:val="clear" w:color="auto" w:fill="auto"/>
            <w:noWrap/>
            <w:vAlign w:val="center"/>
            <w:hideMark/>
          </w:tcPr>
          <w:p w14:paraId="4265CDCE"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30 688 796</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952F0D"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-51 360 445</w:t>
            </w:r>
          </w:p>
        </w:tc>
      </w:tr>
      <w:tr w:rsidR="00A5449D" w:rsidRPr="00042924" w14:paraId="46DCFF4A" w14:textId="77777777" w:rsidTr="000121FF">
        <w:trPr>
          <w:trHeight w:val="312"/>
        </w:trPr>
        <w:tc>
          <w:tcPr>
            <w:tcW w:w="2095" w:type="pct"/>
            <w:tcBorders>
              <w:top w:val="nil"/>
              <w:left w:val="single" w:sz="8" w:space="0" w:color="000000"/>
              <w:bottom w:val="nil"/>
              <w:right w:val="single" w:sz="8" w:space="0" w:color="000000"/>
            </w:tcBorders>
            <w:shd w:val="clear" w:color="auto" w:fill="auto"/>
            <w:vAlign w:val="center"/>
            <w:hideMark/>
          </w:tcPr>
          <w:p w14:paraId="5417CC88"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 Власний капітал, тис.грн.</w:t>
            </w:r>
          </w:p>
        </w:tc>
        <w:tc>
          <w:tcPr>
            <w:tcW w:w="726" w:type="pct"/>
            <w:tcBorders>
              <w:top w:val="nil"/>
              <w:left w:val="nil"/>
              <w:bottom w:val="nil"/>
              <w:right w:val="single" w:sz="8" w:space="0" w:color="000000"/>
            </w:tcBorders>
            <w:shd w:val="clear" w:color="auto" w:fill="auto"/>
            <w:vAlign w:val="center"/>
            <w:hideMark/>
          </w:tcPr>
          <w:p w14:paraId="300E64E2"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60 631 140</w:t>
            </w:r>
          </w:p>
        </w:tc>
        <w:tc>
          <w:tcPr>
            <w:tcW w:w="726" w:type="pct"/>
            <w:tcBorders>
              <w:top w:val="nil"/>
              <w:left w:val="nil"/>
              <w:bottom w:val="nil"/>
              <w:right w:val="single" w:sz="8" w:space="0" w:color="000000"/>
            </w:tcBorders>
            <w:shd w:val="clear" w:color="auto" w:fill="auto"/>
            <w:vAlign w:val="center"/>
            <w:hideMark/>
          </w:tcPr>
          <w:p w14:paraId="3341060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60 879 286</w:t>
            </w:r>
          </w:p>
        </w:tc>
        <w:tc>
          <w:tcPr>
            <w:tcW w:w="726" w:type="pct"/>
            <w:tcBorders>
              <w:top w:val="nil"/>
              <w:left w:val="nil"/>
              <w:bottom w:val="nil"/>
              <w:right w:val="single" w:sz="8" w:space="0" w:color="000000"/>
            </w:tcBorders>
            <w:shd w:val="clear" w:color="auto" w:fill="auto"/>
            <w:vAlign w:val="center"/>
            <w:hideMark/>
          </w:tcPr>
          <w:p w14:paraId="6090D870"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76 552 000</w:t>
            </w:r>
          </w:p>
        </w:tc>
        <w:tc>
          <w:tcPr>
            <w:tcW w:w="727" w:type="pct"/>
            <w:tcBorders>
              <w:top w:val="nil"/>
              <w:left w:val="nil"/>
              <w:bottom w:val="nil"/>
              <w:right w:val="single" w:sz="8" w:space="0" w:color="000000"/>
            </w:tcBorders>
            <w:shd w:val="clear" w:color="auto" w:fill="auto"/>
            <w:vAlign w:val="center"/>
            <w:hideMark/>
          </w:tcPr>
          <w:p w14:paraId="2FCC2CBC"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28 212 939</w:t>
            </w:r>
          </w:p>
        </w:tc>
      </w:tr>
      <w:tr w:rsidR="00A5449D" w:rsidRPr="00042924" w14:paraId="643F27CB" w14:textId="77777777" w:rsidTr="000121FF">
        <w:trPr>
          <w:trHeight w:val="312"/>
        </w:trPr>
        <w:tc>
          <w:tcPr>
            <w:tcW w:w="2095"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73A8F4E"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 Позиковий капітал , тис. грн.</w:t>
            </w:r>
          </w:p>
        </w:tc>
        <w:tc>
          <w:tcPr>
            <w:tcW w:w="726" w:type="pct"/>
            <w:tcBorders>
              <w:top w:val="single" w:sz="8" w:space="0" w:color="auto"/>
              <w:left w:val="nil"/>
              <w:bottom w:val="single" w:sz="8" w:space="0" w:color="auto"/>
              <w:right w:val="single" w:sz="8" w:space="0" w:color="000000"/>
            </w:tcBorders>
            <w:shd w:val="clear" w:color="auto" w:fill="auto"/>
            <w:vAlign w:val="center"/>
            <w:hideMark/>
          </w:tcPr>
          <w:p w14:paraId="0C98598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36 913 281</w:t>
            </w:r>
          </w:p>
        </w:tc>
        <w:tc>
          <w:tcPr>
            <w:tcW w:w="726" w:type="pct"/>
            <w:tcBorders>
              <w:top w:val="single" w:sz="8" w:space="0" w:color="auto"/>
              <w:left w:val="nil"/>
              <w:bottom w:val="single" w:sz="8" w:space="0" w:color="auto"/>
              <w:right w:val="single" w:sz="8" w:space="0" w:color="000000"/>
            </w:tcBorders>
            <w:shd w:val="clear" w:color="auto" w:fill="auto"/>
            <w:vAlign w:val="center"/>
            <w:hideMark/>
          </w:tcPr>
          <w:p w14:paraId="4BAEB694"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27 470 270</w:t>
            </w:r>
          </w:p>
        </w:tc>
        <w:tc>
          <w:tcPr>
            <w:tcW w:w="726" w:type="pct"/>
            <w:tcBorders>
              <w:top w:val="single" w:sz="8" w:space="0" w:color="auto"/>
              <w:left w:val="nil"/>
              <w:bottom w:val="single" w:sz="8" w:space="0" w:color="auto"/>
              <w:right w:val="single" w:sz="8" w:space="0" w:color="000000"/>
            </w:tcBorders>
            <w:shd w:val="clear" w:color="auto" w:fill="auto"/>
            <w:vAlign w:val="center"/>
            <w:hideMark/>
          </w:tcPr>
          <w:p w14:paraId="089F2A41"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29 248 975</w:t>
            </w:r>
          </w:p>
        </w:tc>
        <w:tc>
          <w:tcPr>
            <w:tcW w:w="727" w:type="pct"/>
            <w:tcBorders>
              <w:top w:val="single" w:sz="8" w:space="0" w:color="auto"/>
              <w:left w:val="nil"/>
              <w:bottom w:val="single" w:sz="8" w:space="0" w:color="auto"/>
              <w:right w:val="single" w:sz="8" w:space="0" w:color="000000"/>
            </w:tcBorders>
            <w:shd w:val="clear" w:color="auto" w:fill="auto"/>
            <w:vAlign w:val="center"/>
            <w:hideMark/>
          </w:tcPr>
          <w:p w14:paraId="5D24B4F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24 469 822</w:t>
            </w:r>
          </w:p>
        </w:tc>
      </w:tr>
      <w:tr w:rsidR="00A5449D" w:rsidRPr="00042924" w14:paraId="603EDA5E"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65E67C32" w14:textId="77777777" w:rsidR="0068071D" w:rsidRPr="00042924" w:rsidRDefault="0068071D" w:rsidP="00C32133">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 Чистий дохід від реалізації, тис. грн.</w:t>
            </w:r>
          </w:p>
        </w:tc>
        <w:tc>
          <w:tcPr>
            <w:tcW w:w="726" w:type="pct"/>
            <w:tcBorders>
              <w:top w:val="nil"/>
              <w:left w:val="nil"/>
              <w:bottom w:val="single" w:sz="8" w:space="0" w:color="000000"/>
              <w:right w:val="single" w:sz="8" w:space="0" w:color="000000"/>
            </w:tcBorders>
            <w:shd w:val="clear" w:color="auto" w:fill="auto"/>
            <w:vAlign w:val="center"/>
            <w:hideMark/>
          </w:tcPr>
          <w:p w14:paraId="5637881E"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62 409 226</w:t>
            </w:r>
          </w:p>
        </w:tc>
        <w:tc>
          <w:tcPr>
            <w:tcW w:w="726" w:type="pct"/>
            <w:tcBorders>
              <w:top w:val="nil"/>
              <w:left w:val="nil"/>
              <w:bottom w:val="single" w:sz="8" w:space="0" w:color="000000"/>
              <w:right w:val="single" w:sz="8" w:space="0" w:color="000000"/>
            </w:tcBorders>
            <w:shd w:val="clear" w:color="auto" w:fill="auto"/>
            <w:vAlign w:val="center"/>
            <w:hideMark/>
          </w:tcPr>
          <w:p w14:paraId="2B6DCDB4"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63 496 684</w:t>
            </w:r>
          </w:p>
        </w:tc>
        <w:tc>
          <w:tcPr>
            <w:tcW w:w="726" w:type="pct"/>
            <w:tcBorders>
              <w:top w:val="nil"/>
              <w:left w:val="nil"/>
              <w:bottom w:val="single" w:sz="8" w:space="0" w:color="000000"/>
              <w:right w:val="single" w:sz="8" w:space="0" w:color="000000"/>
            </w:tcBorders>
            <w:shd w:val="clear" w:color="auto" w:fill="auto"/>
            <w:vAlign w:val="center"/>
            <w:hideMark/>
          </w:tcPr>
          <w:p w14:paraId="2E792DF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109 303 155</w:t>
            </w:r>
          </w:p>
        </w:tc>
        <w:tc>
          <w:tcPr>
            <w:tcW w:w="727" w:type="pct"/>
            <w:tcBorders>
              <w:top w:val="nil"/>
              <w:left w:val="nil"/>
              <w:bottom w:val="single" w:sz="8" w:space="0" w:color="000000"/>
              <w:right w:val="single" w:sz="8" w:space="0" w:color="000000"/>
            </w:tcBorders>
            <w:shd w:val="clear" w:color="auto" w:fill="auto"/>
            <w:vAlign w:val="center"/>
            <w:hideMark/>
          </w:tcPr>
          <w:p w14:paraId="79E4F95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43 818 410</w:t>
            </w:r>
          </w:p>
        </w:tc>
      </w:tr>
      <w:tr w:rsidR="0068071D" w:rsidRPr="00042924" w14:paraId="161646AA" w14:textId="77777777" w:rsidTr="000121FF">
        <w:trPr>
          <w:trHeight w:val="312"/>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4C3EE8" w14:textId="77777777" w:rsidR="0068071D" w:rsidRPr="00042924" w:rsidRDefault="0068071D" w:rsidP="00426D30">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 моделі:</w:t>
            </w:r>
          </w:p>
        </w:tc>
      </w:tr>
      <w:tr w:rsidR="00A5449D" w:rsidRPr="00042924" w14:paraId="746766F5"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6FA1AF50"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1 / п. 2)</w:t>
            </w:r>
          </w:p>
        </w:tc>
        <w:tc>
          <w:tcPr>
            <w:tcW w:w="726" w:type="pct"/>
            <w:tcBorders>
              <w:top w:val="nil"/>
              <w:left w:val="nil"/>
              <w:bottom w:val="single" w:sz="8" w:space="0" w:color="000000"/>
              <w:right w:val="single" w:sz="8" w:space="0" w:color="000000"/>
            </w:tcBorders>
            <w:shd w:val="clear" w:color="auto" w:fill="auto"/>
            <w:vAlign w:val="center"/>
            <w:hideMark/>
          </w:tcPr>
          <w:p w14:paraId="28CF7BD0"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0,104</w:t>
            </w:r>
          </w:p>
        </w:tc>
        <w:tc>
          <w:tcPr>
            <w:tcW w:w="726" w:type="pct"/>
            <w:tcBorders>
              <w:top w:val="nil"/>
              <w:left w:val="nil"/>
              <w:bottom w:val="single" w:sz="8" w:space="0" w:color="000000"/>
              <w:right w:val="single" w:sz="8" w:space="0" w:color="000000"/>
            </w:tcBorders>
            <w:shd w:val="clear" w:color="auto" w:fill="auto"/>
            <w:vAlign w:val="center"/>
            <w:hideMark/>
          </w:tcPr>
          <w:p w14:paraId="3ACD95D5"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0,138</w:t>
            </w:r>
          </w:p>
        </w:tc>
        <w:tc>
          <w:tcPr>
            <w:tcW w:w="726" w:type="pct"/>
            <w:tcBorders>
              <w:top w:val="nil"/>
              <w:left w:val="nil"/>
              <w:bottom w:val="single" w:sz="8" w:space="0" w:color="000000"/>
              <w:right w:val="single" w:sz="8" w:space="0" w:color="000000"/>
            </w:tcBorders>
            <w:shd w:val="clear" w:color="auto" w:fill="auto"/>
            <w:vAlign w:val="center"/>
            <w:hideMark/>
          </w:tcPr>
          <w:p w14:paraId="7BF9D9D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0,224</w:t>
            </w:r>
          </w:p>
        </w:tc>
        <w:tc>
          <w:tcPr>
            <w:tcW w:w="727" w:type="pct"/>
            <w:tcBorders>
              <w:top w:val="nil"/>
              <w:left w:val="nil"/>
              <w:bottom w:val="single" w:sz="8" w:space="0" w:color="000000"/>
              <w:right w:val="single" w:sz="8" w:space="0" w:color="000000"/>
            </w:tcBorders>
            <w:shd w:val="clear" w:color="auto" w:fill="auto"/>
            <w:vAlign w:val="center"/>
            <w:hideMark/>
          </w:tcPr>
          <w:p w14:paraId="3B27795B"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0,214</w:t>
            </w:r>
          </w:p>
        </w:tc>
      </w:tr>
      <w:tr w:rsidR="00A5449D" w:rsidRPr="00042924" w14:paraId="59207128"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3DE5A91C"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К2 (п. 3 / п. 2)</w:t>
            </w:r>
          </w:p>
        </w:tc>
        <w:tc>
          <w:tcPr>
            <w:tcW w:w="726" w:type="pct"/>
            <w:tcBorders>
              <w:top w:val="nil"/>
              <w:left w:val="nil"/>
              <w:bottom w:val="single" w:sz="8" w:space="0" w:color="000000"/>
              <w:right w:val="single" w:sz="8" w:space="0" w:color="000000"/>
            </w:tcBorders>
            <w:shd w:val="clear" w:color="auto" w:fill="auto"/>
            <w:vAlign w:val="center"/>
            <w:hideMark/>
          </w:tcPr>
          <w:p w14:paraId="2E95646D"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-0,023</w:t>
            </w:r>
          </w:p>
        </w:tc>
        <w:tc>
          <w:tcPr>
            <w:tcW w:w="726" w:type="pct"/>
            <w:tcBorders>
              <w:top w:val="nil"/>
              <w:left w:val="nil"/>
              <w:bottom w:val="single" w:sz="8" w:space="0" w:color="000000"/>
              <w:right w:val="single" w:sz="8" w:space="0" w:color="000000"/>
            </w:tcBorders>
            <w:shd w:val="clear" w:color="auto" w:fill="auto"/>
            <w:vAlign w:val="center"/>
            <w:hideMark/>
          </w:tcPr>
          <w:p w14:paraId="343A677D"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0,008</w:t>
            </w:r>
          </w:p>
        </w:tc>
        <w:tc>
          <w:tcPr>
            <w:tcW w:w="726" w:type="pct"/>
            <w:tcBorders>
              <w:top w:val="nil"/>
              <w:left w:val="nil"/>
              <w:bottom w:val="single" w:sz="8" w:space="0" w:color="000000"/>
              <w:right w:val="single" w:sz="8" w:space="0" w:color="000000"/>
            </w:tcBorders>
            <w:shd w:val="clear" w:color="auto" w:fill="auto"/>
            <w:vAlign w:val="center"/>
            <w:hideMark/>
          </w:tcPr>
          <w:p w14:paraId="3FA10199"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0,238</w:t>
            </w:r>
          </w:p>
        </w:tc>
        <w:tc>
          <w:tcPr>
            <w:tcW w:w="727" w:type="pct"/>
            <w:tcBorders>
              <w:top w:val="nil"/>
              <w:left w:val="nil"/>
              <w:bottom w:val="single" w:sz="4" w:space="0" w:color="auto"/>
              <w:right w:val="single" w:sz="8" w:space="0" w:color="000000"/>
            </w:tcBorders>
            <w:shd w:val="clear" w:color="auto" w:fill="auto"/>
            <w:vAlign w:val="center"/>
            <w:hideMark/>
          </w:tcPr>
          <w:p w14:paraId="1EC72699"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-0,930</w:t>
            </w:r>
          </w:p>
        </w:tc>
      </w:tr>
      <w:tr w:rsidR="00A5449D" w:rsidRPr="00042924" w14:paraId="574A152F"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4CA1E080"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К3 (п. 4 / п. 2)</w:t>
            </w:r>
          </w:p>
        </w:tc>
        <w:tc>
          <w:tcPr>
            <w:tcW w:w="726" w:type="pct"/>
            <w:tcBorders>
              <w:top w:val="nil"/>
              <w:left w:val="nil"/>
              <w:bottom w:val="single" w:sz="8" w:space="0" w:color="000000"/>
              <w:right w:val="single" w:sz="8" w:space="0" w:color="000000"/>
            </w:tcBorders>
            <w:shd w:val="clear" w:color="auto" w:fill="auto"/>
            <w:vAlign w:val="center"/>
            <w:hideMark/>
          </w:tcPr>
          <w:p w14:paraId="792E679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-0,028</w:t>
            </w:r>
          </w:p>
        </w:tc>
        <w:tc>
          <w:tcPr>
            <w:tcW w:w="726" w:type="pct"/>
            <w:tcBorders>
              <w:top w:val="nil"/>
              <w:left w:val="nil"/>
              <w:bottom w:val="single" w:sz="8" w:space="0" w:color="000000"/>
              <w:right w:val="single" w:sz="8" w:space="0" w:color="000000"/>
            </w:tcBorders>
            <w:shd w:val="clear" w:color="auto" w:fill="auto"/>
            <w:vAlign w:val="center"/>
            <w:hideMark/>
          </w:tcPr>
          <w:p w14:paraId="0448E49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0,010</w:t>
            </w:r>
          </w:p>
        </w:tc>
        <w:tc>
          <w:tcPr>
            <w:tcW w:w="726" w:type="pct"/>
            <w:tcBorders>
              <w:top w:val="nil"/>
              <w:left w:val="nil"/>
              <w:bottom w:val="single" w:sz="8" w:space="0" w:color="000000"/>
              <w:right w:val="single" w:sz="8" w:space="0" w:color="000000"/>
            </w:tcBorders>
            <w:shd w:val="clear" w:color="auto" w:fill="auto"/>
            <w:vAlign w:val="center"/>
            <w:hideMark/>
          </w:tcPr>
          <w:p w14:paraId="7B75914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0,290</w:t>
            </w:r>
          </w:p>
        </w:tc>
        <w:tc>
          <w:tcPr>
            <w:tcW w:w="727" w:type="pct"/>
            <w:tcBorders>
              <w:top w:val="single" w:sz="4" w:space="0" w:color="auto"/>
              <w:left w:val="nil"/>
              <w:bottom w:val="single" w:sz="8" w:space="0" w:color="000000"/>
              <w:right w:val="single" w:sz="8" w:space="0" w:color="000000"/>
            </w:tcBorders>
            <w:shd w:val="clear" w:color="auto" w:fill="auto"/>
            <w:vAlign w:val="center"/>
            <w:hideMark/>
          </w:tcPr>
          <w:p w14:paraId="68531B45"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-0,975</w:t>
            </w:r>
          </w:p>
        </w:tc>
      </w:tr>
      <w:tr w:rsidR="00A5449D" w:rsidRPr="00042924" w14:paraId="3086B1C5"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501B9439"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К4 (п. 5 / п. 6)</w:t>
            </w:r>
          </w:p>
        </w:tc>
        <w:tc>
          <w:tcPr>
            <w:tcW w:w="726" w:type="pct"/>
            <w:tcBorders>
              <w:top w:val="nil"/>
              <w:left w:val="nil"/>
              <w:bottom w:val="single" w:sz="8" w:space="0" w:color="000000"/>
              <w:right w:val="single" w:sz="8" w:space="0" w:color="000000"/>
            </w:tcBorders>
            <w:shd w:val="clear" w:color="auto" w:fill="auto"/>
            <w:vAlign w:val="center"/>
            <w:hideMark/>
          </w:tcPr>
          <w:p w14:paraId="4D123AF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1,643</w:t>
            </w:r>
          </w:p>
        </w:tc>
        <w:tc>
          <w:tcPr>
            <w:tcW w:w="726" w:type="pct"/>
            <w:tcBorders>
              <w:top w:val="nil"/>
              <w:left w:val="nil"/>
              <w:bottom w:val="single" w:sz="8" w:space="0" w:color="000000"/>
              <w:right w:val="single" w:sz="8" w:space="0" w:color="000000"/>
            </w:tcBorders>
            <w:shd w:val="clear" w:color="auto" w:fill="auto"/>
            <w:vAlign w:val="center"/>
            <w:hideMark/>
          </w:tcPr>
          <w:p w14:paraId="4F6D74B7"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2,216</w:t>
            </w:r>
          </w:p>
        </w:tc>
        <w:tc>
          <w:tcPr>
            <w:tcW w:w="726" w:type="pct"/>
            <w:tcBorders>
              <w:top w:val="nil"/>
              <w:left w:val="nil"/>
              <w:bottom w:val="single" w:sz="8" w:space="0" w:color="000000"/>
              <w:right w:val="single" w:sz="8" w:space="0" w:color="000000"/>
            </w:tcBorders>
            <w:shd w:val="clear" w:color="auto" w:fill="auto"/>
            <w:vAlign w:val="center"/>
            <w:hideMark/>
          </w:tcPr>
          <w:p w14:paraId="35237FE6"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2,617</w:t>
            </w:r>
          </w:p>
        </w:tc>
        <w:tc>
          <w:tcPr>
            <w:tcW w:w="727" w:type="pct"/>
            <w:tcBorders>
              <w:top w:val="nil"/>
              <w:left w:val="nil"/>
              <w:bottom w:val="single" w:sz="8" w:space="0" w:color="000000"/>
              <w:right w:val="single" w:sz="8" w:space="0" w:color="000000"/>
            </w:tcBorders>
            <w:shd w:val="clear" w:color="auto" w:fill="auto"/>
            <w:vAlign w:val="center"/>
            <w:hideMark/>
          </w:tcPr>
          <w:p w14:paraId="2DEE7837"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1,153</w:t>
            </w:r>
          </w:p>
        </w:tc>
      </w:tr>
      <w:tr w:rsidR="00A5449D" w:rsidRPr="00042924" w14:paraId="080A57C6" w14:textId="77777777" w:rsidTr="000121FF">
        <w:trPr>
          <w:trHeight w:val="312"/>
        </w:trPr>
        <w:tc>
          <w:tcPr>
            <w:tcW w:w="2095" w:type="pct"/>
            <w:tcBorders>
              <w:top w:val="nil"/>
              <w:left w:val="single" w:sz="8" w:space="0" w:color="000000"/>
              <w:bottom w:val="single" w:sz="8" w:space="0" w:color="000000"/>
              <w:right w:val="single" w:sz="8" w:space="0" w:color="000000"/>
            </w:tcBorders>
            <w:shd w:val="clear" w:color="auto" w:fill="auto"/>
            <w:vAlign w:val="center"/>
            <w:hideMark/>
          </w:tcPr>
          <w:p w14:paraId="3A5E9999"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К5 (п. 7 / п. 2)</w:t>
            </w:r>
          </w:p>
        </w:tc>
        <w:tc>
          <w:tcPr>
            <w:tcW w:w="726" w:type="pct"/>
            <w:tcBorders>
              <w:top w:val="nil"/>
              <w:left w:val="nil"/>
              <w:bottom w:val="single" w:sz="8" w:space="0" w:color="000000"/>
              <w:right w:val="single" w:sz="8" w:space="0" w:color="000000"/>
            </w:tcBorders>
            <w:shd w:val="clear" w:color="auto" w:fill="auto"/>
            <w:vAlign w:val="center"/>
            <w:hideMark/>
          </w:tcPr>
          <w:p w14:paraId="5A3763E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0,640</w:t>
            </w:r>
          </w:p>
        </w:tc>
        <w:tc>
          <w:tcPr>
            <w:tcW w:w="726" w:type="pct"/>
            <w:tcBorders>
              <w:top w:val="nil"/>
              <w:left w:val="nil"/>
              <w:bottom w:val="single" w:sz="8" w:space="0" w:color="000000"/>
              <w:right w:val="single" w:sz="8" w:space="0" w:color="000000"/>
            </w:tcBorders>
            <w:shd w:val="clear" w:color="auto" w:fill="auto"/>
            <w:vAlign w:val="center"/>
            <w:hideMark/>
          </w:tcPr>
          <w:p w14:paraId="1A00DFFA"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0,719</w:t>
            </w:r>
          </w:p>
        </w:tc>
        <w:tc>
          <w:tcPr>
            <w:tcW w:w="726" w:type="pct"/>
            <w:tcBorders>
              <w:top w:val="nil"/>
              <w:left w:val="nil"/>
              <w:bottom w:val="single" w:sz="8" w:space="0" w:color="000000"/>
              <w:right w:val="single" w:sz="8" w:space="0" w:color="000000"/>
            </w:tcBorders>
            <w:shd w:val="clear" w:color="auto" w:fill="auto"/>
            <w:vAlign w:val="center"/>
            <w:hideMark/>
          </w:tcPr>
          <w:p w14:paraId="2E9D36BD"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1,033</w:t>
            </w:r>
          </w:p>
        </w:tc>
        <w:tc>
          <w:tcPr>
            <w:tcW w:w="727" w:type="pct"/>
            <w:tcBorders>
              <w:top w:val="nil"/>
              <w:left w:val="nil"/>
              <w:bottom w:val="single" w:sz="8" w:space="0" w:color="000000"/>
              <w:right w:val="single" w:sz="8" w:space="0" w:color="000000"/>
            </w:tcBorders>
            <w:shd w:val="clear" w:color="auto" w:fill="auto"/>
            <w:vAlign w:val="center"/>
            <w:hideMark/>
          </w:tcPr>
          <w:p w14:paraId="6049BDFC"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0,832</w:t>
            </w:r>
          </w:p>
        </w:tc>
      </w:tr>
      <w:tr w:rsidR="0068071D" w:rsidRPr="00042924" w14:paraId="1E89DE3E" w14:textId="77777777" w:rsidTr="000121FF">
        <w:trPr>
          <w:trHeight w:val="312"/>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D5F7A3" w14:textId="77777777" w:rsidR="0068071D" w:rsidRPr="00042924" w:rsidRDefault="0068071D" w:rsidP="00426D30">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Підсумковий показник моделі:</w:t>
            </w:r>
          </w:p>
        </w:tc>
      </w:tr>
      <w:tr w:rsidR="00A5449D" w:rsidRPr="00042924" w14:paraId="3182B1A7" w14:textId="77777777" w:rsidTr="000121FF">
        <w:trPr>
          <w:trHeight w:val="312"/>
        </w:trPr>
        <w:tc>
          <w:tcPr>
            <w:tcW w:w="2095" w:type="pct"/>
            <w:tcBorders>
              <w:top w:val="single" w:sz="4" w:space="0" w:color="auto"/>
              <w:left w:val="single" w:sz="8" w:space="0" w:color="000000"/>
              <w:bottom w:val="nil"/>
              <w:right w:val="single" w:sz="8" w:space="0" w:color="000000"/>
            </w:tcBorders>
            <w:shd w:val="clear" w:color="auto" w:fill="auto"/>
            <w:vAlign w:val="center"/>
            <w:hideMark/>
          </w:tcPr>
          <w:p w14:paraId="2A1FA294"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Z=1,2К1 + 1,4К2 + 3,3К3 + 0,6К4 + К5</w:t>
            </w:r>
          </w:p>
        </w:tc>
        <w:tc>
          <w:tcPr>
            <w:tcW w:w="726" w:type="pct"/>
            <w:tcBorders>
              <w:top w:val="single" w:sz="8" w:space="0" w:color="000000"/>
              <w:left w:val="nil"/>
              <w:bottom w:val="nil"/>
              <w:right w:val="single" w:sz="8" w:space="0" w:color="000000"/>
            </w:tcBorders>
            <w:shd w:val="clear" w:color="auto" w:fill="auto"/>
            <w:vAlign w:val="center"/>
            <w:hideMark/>
          </w:tcPr>
          <w:p w14:paraId="1AACC822"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1,626</w:t>
            </w:r>
          </w:p>
        </w:tc>
        <w:tc>
          <w:tcPr>
            <w:tcW w:w="726" w:type="pct"/>
            <w:tcBorders>
              <w:top w:val="single" w:sz="8" w:space="0" w:color="000000"/>
              <w:left w:val="nil"/>
              <w:bottom w:val="nil"/>
              <w:right w:val="single" w:sz="8" w:space="0" w:color="000000"/>
            </w:tcBorders>
            <w:shd w:val="clear" w:color="auto" w:fill="auto"/>
            <w:vAlign w:val="center"/>
            <w:hideMark/>
          </w:tcPr>
          <w:p w14:paraId="718674F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2,257</w:t>
            </w:r>
          </w:p>
        </w:tc>
        <w:tc>
          <w:tcPr>
            <w:tcW w:w="726" w:type="pct"/>
            <w:tcBorders>
              <w:top w:val="single" w:sz="8" w:space="0" w:color="000000"/>
              <w:left w:val="nil"/>
              <w:bottom w:val="nil"/>
              <w:right w:val="nil"/>
            </w:tcBorders>
            <w:shd w:val="clear" w:color="auto" w:fill="auto"/>
            <w:vAlign w:val="center"/>
            <w:hideMark/>
          </w:tcPr>
          <w:p w14:paraId="4E417BBF"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4,163</w:t>
            </w:r>
          </w:p>
        </w:tc>
        <w:tc>
          <w:tcPr>
            <w:tcW w:w="7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13536C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-2,739</w:t>
            </w:r>
          </w:p>
        </w:tc>
      </w:tr>
      <w:tr w:rsidR="00A5449D" w:rsidRPr="00042924" w14:paraId="6DA283F2" w14:textId="77777777" w:rsidTr="000121FF">
        <w:trPr>
          <w:trHeight w:val="312"/>
        </w:trPr>
        <w:tc>
          <w:tcPr>
            <w:tcW w:w="209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E6333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Ймовірність банкрутства: Z</w:t>
            </w:r>
          </w:p>
        </w:tc>
        <w:tc>
          <w:tcPr>
            <w:tcW w:w="726" w:type="pct"/>
            <w:tcBorders>
              <w:top w:val="single" w:sz="8" w:space="0" w:color="auto"/>
              <w:left w:val="nil"/>
              <w:bottom w:val="single" w:sz="8" w:space="0" w:color="auto"/>
              <w:right w:val="single" w:sz="8" w:space="0" w:color="000000"/>
            </w:tcBorders>
            <w:shd w:val="clear" w:color="auto" w:fill="auto"/>
            <w:vAlign w:val="center"/>
            <w:hideMark/>
          </w:tcPr>
          <w:p w14:paraId="03471C13"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Висока</w:t>
            </w:r>
          </w:p>
        </w:tc>
        <w:tc>
          <w:tcPr>
            <w:tcW w:w="726" w:type="pct"/>
            <w:tcBorders>
              <w:top w:val="single" w:sz="8" w:space="0" w:color="auto"/>
              <w:left w:val="nil"/>
              <w:bottom w:val="single" w:sz="8" w:space="0" w:color="auto"/>
              <w:right w:val="single" w:sz="8" w:space="0" w:color="000000"/>
            </w:tcBorders>
            <w:shd w:val="clear" w:color="auto" w:fill="auto"/>
            <w:vAlign w:val="center"/>
            <w:hideMark/>
          </w:tcPr>
          <w:p w14:paraId="5A0CB1C8"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Висока</w:t>
            </w:r>
          </w:p>
        </w:tc>
        <w:tc>
          <w:tcPr>
            <w:tcW w:w="726" w:type="pct"/>
            <w:tcBorders>
              <w:top w:val="single" w:sz="8" w:space="0" w:color="auto"/>
              <w:left w:val="nil"/>
              <w:bottom w:val="single" w:sz="8" w:space="0" w:color="auto"/>
              <w:right w:val="single" w:sz="8" w:space="0" w:color="000000"/>
            </w:tcBorders>
            <w:shd w:val="clear" w:color="auto" w:fill="auto"/>
            <w:vAlign w:val="center"/>
            <w:hideMark/>
          </w:tcPr>
          <w:p w14:paraId="340D3E4B"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Дуже низька</w:t>
            </w:r>
          </w:p>
        </w:tc>
        <w:tc>
          <w:tcPr>
            <w:tcW w:w="727" w:type="pct"/>
            <w:tcBorders>
              <w:top w:val="nil"/>
              <w:left w:val="nil"/>
              <w:bottom w:val="single" w:sz="8" w:space="0" w:color="auto"/>
              <w:right w:val="single" w:sz="8" w:space="0" w:color="auto"/>
            </w:tcBorders>
            <w:shd w:val="clear" w:color="auto" w:fill="auto"/>
            <w:vAlign w:val="center"/>
            <w:hideMark/>
          </w:tcPr>
          <w:p w14:paraId="7B1B9EA8" w14:textId="77777777" w:rsidR="0068071D" w:rsidRPr="00042924" w:rsidRDefault="0068071D" w:rsidP="00C3213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Дуже висока</w:t>
            </w:r>
          </w:p>
        </w:tc>
      </w:tr>
    </w:tbl>
    <w:p w14:paraId="0EACD0EE" w14:textId="77777777" w:rsidR="00E865E9" w:rsidRPr="00042924" w:rsidRDefault="00A85701" w:rsidP="00A85701">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2A43CD" w:rsidRPr="00E32FFC">
        <w:rPr>
          <w:rFonts w:ascii="Times New Roman" w:hAnsi="Times New Roman" w:cs="Times New Roman"/>
          <w:sz w:val="28"/>
          <w:szCs w:val="28"/>
          <w:lang w:val="uk-UA"/>
        </w:rPr>
        <w:t>складено автором на основі</w:t>
      </w:r>
      <w:r w:rsidR="006A5E12" w:rsidRPr="00042924">
        <w:rPr>
          <w:rFonts w:ascii="Times New Roman" w:eastAsia="Times New Roman" w:hAnsi="Times New Roman" w:cs="Times New Roman"/>
          <w:sz w:val="28"/>
          <w:szCs w:val="28"/>
          <w:lang w:val="uk-UA"/>
        </w:rPr>
        <w:t xml:space="preserve"> [33]</w:t>
      </w:r>
    </w:p>
    <w:p w14:paraId="16D7F13D" w14:textId="77777777" w:rsidR="00AE2B7D" w:rsidRPr="00042924" w:rsidRDefault="00AE2B7D" w:rsidP="00A85701">
      <w:pPr>
        <w:spacing w:after="0" w:line="240" w:lineRule="auto"/>
        <w:ind w:firstLine="284"/>
        <w:jc w:val="both"/>
        <w:rPr>
          <w:rFonts w:ascii="Times New Roman" w:eastAsia="Times New Roman" w:hAnsi="Times New Roman" w:cs="Times New Roman"/>
          <w:sz w:val="28"/>
          <w:szCs w:val="28"/>
          <w:lang w:val="uk-UA"/>
        </w:rPr>
      </w:pPr>
    </w:p>
    <w:p w14:paraId="754E5C2B" w14:textId="77777777" w:rsidR="000542B1" w:rsidRPr="00042924" w:rsidRDefault="000542B1" w:rsidP="004C179A">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Аналіз динаміки інтегрального показника Z за п'ятифакторною моделлю Альтмана (табл.2.9) дозволяє зробити висновок, що у 2019 та 2022 роках ймовірність банкрутства ПАТ </w:t>
      </w:r>
      <w:r w:rsidR="00205891">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була надзвичайно високою (понад 80%), у 2020 році - високою (40-50%), а у 2021 році - дуже низькою. Отже, за прогнозною моделлю Альтмана фінансовий стан аналізованого підприємства є нестабільним і таким, що потребує постійного моніторингу та своєчасного застосування </w:t>
      </w:r>
      <w:r w:rsidR="00D84387" w:rsidRPr="00042924">
        <w:rPr>
          <w:rFonts w:ascii="Times New Roman" w:eastAsia="Times New Roman" w:hAnsi="Times New Roman" w:cs="Times New Roman"/>
          <w:sz w:val="28"/>
          <w:szCs w:val="28"/>
          <w:lang w:val="uk-UA"/>
        </w:rPr>
        <w:t>відповідних</w:t>
      </w:r>
      <w:r w:rsidRPr="00042924">
        <w:rPr>
          <w:rFonts w:ascii="Times New Roman" w:eastAsia="Times New Roman" w:hAnsi="Times New Roman" w:cs="Times New Roman"/>
          <w:sz w:val="28"/>
          <w:szCs w:val="28"/>
          <w:lang w:val="uk-UA"/>
        </w:rPr>
        <w:t xml:space="preserve"> заходів з метою запобігання банкрутству.</w:t>
      </w:r>
    </w:p>
    <w:p w14:paraId="5A32C180" w14:textId="77777777" w:rsidR="00AE2B7D" w:rsidRPr="00042924" w:rsidRDefault="00F41890" w:rsidP="004C179A">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Для подальшого аналізу фінансового стану досліджуваного підприємства було обрано британську модель прогнозування банкрутства, розроблену Г. Спрінгейтом. Ця модель ґрунтується на аналізі показників ліквідності та рентабельності компанії та дозволяє визначити ймовірність її потенційного банкрутства.</w:t>
      </w:r>
      <w:r w:rsidR="004C179A" w:rsidRPr="00042924">
        <w:rPr>
          <w:rFonts w:ascii="Times New Roman" w:eastAsia="Times New Roman" w:hAnsi="Times New Roman" w:cs="Times New Roman"/>
          <w:sz w:val="28"/>
          <w:szCs w:val="28"/>
          <w:lang w:val="uk-UA"/>
        </w:rPr>
        <w:t xml:space="preserve"> </w:t>
      </w:r>
      <w:r w:rsidR="00231E69" w:rsidRPr="00042924">
        <w:rPr>
          <w:rFonts w:ascii="Times New Roman" w:eastAsia="Times New Roman" w:hAnsi="Times New Roman" w:cs="Times New Roman"/>
          <w:sz w:val="28"/>
          <w:szCs w:val="28"/>
          <w:lang w:val="uk-UA"/>
        </w:rPr>
        <w:t xml:space="preserve">Дані для аналізу, порядок виконання розрахунків і отримані результати </w:t>
      </w:r>
      <w:r w:rsidR="007945D0" w:rsidRPr="00042924">
        <w:rPr>
          <w:rFonts w:ascii="Times New Roman" w:eastAsia="Times New Roman" w:hAnsi="Times New Roman" w:cs="Times New Roman"/>
          <w:sz w:val="28"/>
          <w:szCs w:val="28"/>
          <w:lang w:val="uk-UA"/>
        </w:rPr>
        <w:t>здійснені згідно з цією моделлю і подані в таблиці 2.10.</w:t>
      </w:r>
    </w:p>
    <w:p w14:paraId="68362A48" w14:textId="77777777" w:rsidR="000542B1" w:rsidRPr="00042924" w:rsidRDefault="000542B1" w:rsidP="004C179A">
      <w:pPr>
        <w:spacing w:after="0" w:line="240" w:lineRule="auto"/>
        <w:ind w:firstLine="709"/>
        <w:jc w:val="center"/>
        <w:rPr>
          <w:rFonts w:ascii="Times New Roman" w:eastAsia="Times New Roman" w:hAnsi="Times New Roman" w:cs="Times New Roman"/>
          <w:sz w:val="28"/>
          <w:szCs w:val="28"/>
          <w:lang w:val="uk-UA"/>
        </w:rPr>
      </w:pPr>
    </w:p>
    <w:p w14:paraId="010103BF" w14:textId="77777777" w:rsidR="004C179A" w:rsidRPr="00042924" w:rsidRDefault="004C179A" w:rsidP="000121FF">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lastRenderedPageBreak/>
        <w:t>Таблиця 2.1</w:t>
      </w:r>
      <w:r w:rsidR="00DE477D" w:rsidRPr="00042924">
        <w:rPr>
          <w:rFonts w:ascii="Times New Roman" w:eastAsia="Times New Roman" w:hAnsi="Times New Roman" w:cs="Times New Roman"/>
          <w:sz w:val="28"/>
          <w:szCs w:val="28"/>
          <w:lang w:val="uk-UA"/>
        </w:rPr>
        <w:t>0</w:t>
      </w:r>
      <w:r w:rsidRPr="00042924">
        <w:rPr>
          <w:rFonts w:ascii="Times New Roman" w:eastAsia="Times New Roman" w:hAnsi="Times New Roman" w:cs="Times New Roman"/>
          <w:sz w:val="28"/>
          <w:szCs w:val="28"/>
          <w:lang w:val="uk-UA"/>
        </w:rPr>
        <w:t xml:space="preserve"> – Оцінка ймовірності банкрутства ПАТ </w:t>
      </w:r>
      <w:r w:rsidR="00205891">
        <w:rPr>
          <w:rFonts w:ascii="Times New Roman" w:eastAsia="Times New Roman" w:hAnsi="Times New Roman" w:cs="Times New Roman"/>
          <w:kern w:val="0"/>
          <w:sz w:val="28"/>
          <w:szCs w:val="28"/>
          <w:lang w:val="uk-UA"/>
          <w14:ligatures w14:val="none"/>
        </w:rPr>
        <w:t>«АМКР»</w:t>
      </w:r>
      <w:r w:rsidR="0029174C">
        <w:rPr>
          <w:rFonts w:ascii="Times New Roman" w:eastAsia="Times New Roman" w:hAnsi="Times New Roman" w:cs="Times New Roman"/>
          <w:sz w:val="28"/>
          <w:szCs w:val="28"/>
          <w:lang w:val="uk-UA"/>
        </w:rPr>
        <w:t xml:space="preserve"> за моделлю Г.</w:t>
      </w:r>
      <w:r w:rsidRPr="00042924">
        <w:rPr>
          <w:rFonts w:ascii="Times New Roman" w:eastAsia="Times New Roman" w:hAnsi="Times New Roman" w:cs="Times New Roman"/>
          <w:sz w:val="28"/>
          <w:szCs w:val="28"/>
          <w:lang w:val="uk-UA"/>
        </w:rPr>
        <w:t>Спрінгейта</w:t>
      </w:r>
    </w:p>
    <w:tbl>
      <w:tblPr>
        <w:tblW w:w="5000" w:type="pct"/>
        <w:tblCellMar>
          <w:top w:w="28" w:type="dxa"/>
          <w:left w:w="28" w:type="dxa"/>
          <w:bottom w:w="28" w:type="dxa"/>
          <w:right w:w="28" w:type="dxa"/>
        </w:tblCellMar>
        <w:tblLook w:val="04A0" w:firstRow="1" w:lastRow="0" w:firstColumn="1" w:lastColumn="0" w:noHBand="0" w:noVBand="1"/>
      </w:tblPr>
      <w:tblGrid>
        <w:gridCol w:w="3351"/>
        <w:gridCol w:w="1653"/>
        <w:gridCol w:w="1653"/>
        <w:gridCol w:w="1594"/>
        <w:gridCol w:w="1650"/>
      </w:tblGrid>
      <w:tr w:rsidR="00A90720" w:rsidRPr="00042924" w14:paraId="31665D95" w14:textId="77777777" w:rsidTr="000121FF">
        <w:trPr>
          <w:trHeight w:val="340"/>
        </w:trPr>
        <w:tc>
          <w:tcPr>
            <w:tcW w:w="1692"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1EF965F8"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w:t>
            </w:r>
          </w:p>
        </w:tc>
        <w:tc>
          <w:tcPr>
            <w:tcW w:w="3308" w:type="pct"/>
            <w:gridSpan w:val="4"/>
            <w:tcBorders>
              <w:top w:val="single" w:sz="4" w:space="0" w:color="auto"/>
              <w:left w:val="nil"/>
              <w:bottom w:val="single" w:sz="8" w:space="0" w:color="000000"/>
              <w:right w:val="single" w:sz="8" w:space="0" w:color="000000"/>
            </w:tcBorders>
            <w:shd w:val="clear" w:color="auto" w:fill="auto"/>
            <w:vAlign w:val="center"/>
            <w:hideMark/>
          </w:tcPr>
          <w:p w14:paraId="60C99BAE"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Період, рік</w:t>
            </w:r>
          </w:p>
        </w:tc>
      </w:tr>
      <w:tr w:rsidR="00A90720" w:rsidRPr="00042924" w14:paraId="45E066DF" w14:textId="77777777" w:rsidTr="000121FF">
        <w:trPr>
          <w:trHeight w:val="340"/>
        </w:trPr>
        <w:tc>
          <w:tcPr>
            <w:tcW w:w="1692" w:type="pct"/>
            <w:vMerge/>
            <w:tcBorders>
              <w:top w:val="nil"/>
              <w:left w:val="single" w:sz="8" w:space="0" w:color="000000"/>
              <w:bottom w:val="single" w:sz="8" w:space="0" w:color="000000"/>
              <w:right w:val="single" w:sz="8" w:space="0" w:color="000000"/>
            </w:tcBorders>
            <w:vAlign w:val="center"/>
            <w:hideMark/>
          </w:tcPr>
          <w:p w14:paraId="3F20E68F" w14:textId="77777777" w:rsidR="00A90720" w:rsidRPr="00042924" w:rsidRDefault="00A90720" w:rsidP="0029174C">
            <w:pPr>
              <w:spacing w:after="0" w:line="240" w:lineRule="auto"/>
              <w:rPr>
                <w:rFonts w:ascii="Times New Roman" w:eastAsia="Times New Roman" w:hAnsi="Times New Roman" w:cs="Times New Roman"/>
                <w:color w:val="000000"/>
                <w:kern w:val="0"/>
                <w:sz w:val="20"/>
                <w:szCs w:val="20"/>
                <w:lang w:val="uk-UA" w:eastAsia="uk-UA"/>
                <w14:ligatures w14:val="none"/>
              </w:rPr>
            </w:pPr>
          </w:p>
        </w:tc>
        <w:tc>
          <w:tcPr>
            <w:tcW w:w="835" w:type="pct"/>
            <w:tcBorders>
              <w:top w:val="nil"/>
              <w:left w:val="nil"/>
              <w:bottom w:val="single" w:sz="8" w:space="0" w:color="000000"/>
              <w:right w:val="single" w:sz="8" w:space="0" w:color="000000"/>
            </w:tcBorders>
            <w:shd w:val="clear" w:color="auto" w:fill="auto"/>
            <w:vAlign w:val="center"/>
            <w:hideMark/>
          </w:tcPr>
          <w:p w14:paraId="6C39D616"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2019</w:t>
            </w:r>
          </w:p>
        </w:tc>
        <w:tc>
          <w:tcPr>
            <w:tcW w:w="835" w:type="pct"/>
            <w:tcBorders>
              <w:top w:val="nil"/>
              <w:left w:val="nil"/>
              <w:bottom w:val="single" w:sz="8" w:space="0" w:color="000000"/>
              <w:right w:val="single" w:sz="8" w:space="0" w:color="000000"/>
            </w:tcBorders>
            <w:shd w:val="clear" w:color="auto" w:fill="auto"/>
            <w:vAlign w:val="center"/>
            <w:hideMark/>
          </w:tcPr>
          <w:p w14:paraId="01D6F78B"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2020</w:t>
            </w:r>
          </w:p>
        </w:tc>
        <w:tc>
          <w:tcPr>
            <w:tcW w:w="805" w:type="pct"/>
            <w:tcBorders>
              <w:top w:val="nil"/>
              <w:left w:val="nil"/>
              <w:bottom w:val="single" w:sz="8" w:space="0" w:color="000000"/>
              <w:right w:val="single" w:sz="8" w:space="0" w:color="000000"/>
            </w:tcBorders>
            <w:shd w:val="clear" w:color="auto" w:fill="auto"/>
            <w:vAlign w:val="center"/>
            <w:hideMark/>
          </w:tcPr>
          <w:p w14:paraId="2EE33230"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2021</w:t>
            </w:r>
          </w:p>
        </w:tc>
        <w:tc>
          <w:tcPr>
            <w:tcW w:w="833" w:type="pct"/>
            <w:tcBorders>
              <w:top w:val="nil"/>
              <w:left w:val="nil"/>
              <w:bottom w:val="single" w:sz="8" w:space="0" w:color="000000"/>
              <w:right w:val="single" w:sz="8" w:space="0" w:color="000000"/>
            </w:tcBorders>
            <w:shd w:val="clear" w:color="auto" w:fill="auto"/>
            <w:vAlign w:val="center"/>
            <w:hideMark/>
          </w:tcPr>
          <w:p w14:paraId="5D093919"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2022</w:t>
            </w:r>
          </w:p>
        </w:tc>
      </w:tr>
      <w:tr w:rsidR="00A90720" w:rsidRPr="00042924" w14:paraId="7D24B4C2" w14:textId="77777777" w:rsidTr="000121FF">
        <w:trPr>
          <w:trHeight w:val="3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D75D57" w14:textId="77777777" w:rsidR="00A90720" w:rsidRPr="00042924" w:rsidRDefault="00A90720" w:rsidP="00426D30">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Вихідні дані:</w:t>
            </w:r>
          </w:p>
        </w:tc>
      </w:tr>
      <w:tr w:rsidR="00A90720" w:rsidRPr="00042924" w14:paraId="045EA7E5"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043774BC" w14:textId="77777777" w:rsidR="00A90720" w:rsidRPr="00042924" w:rsidRDefault="00A90720" w:rsidP="0084695E">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Оборотні активи, тис. грн.</w:t>
            </w:r>
          </w:p>
        </w:tc>
        <w:tc>
          <w:tcPr>
            <w:tcW w:w="835" w:type="pct"/>
            <w:tcBorders>
              <w:top w:val="nil"/>
              <w:left w:val="nil"/>
              <w:bottom w:val="single" w:sz="8" w:space="0" w:color="000000"/>
              <w:right w:val="single" w:sz="8" w:space="0" w:color="000000"/>
            </w:tcBorders>
            <w:shd w:val="clear" w:color="auto" w:fill="auto"/>
            <w:vAlign w:val="center"/>
            <w:hideMark/>
          </w:tcPr>
          <w:p w14:paraId="5E860652"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36881636</w:t>
            </w:r>
          </w:p>
        </w:tc>
        <w:tc>
          <w:tcPr>
            <w:tcW w:w="835" w:type="pct"/>
            <w:tcBorders>
              <w:top w:val="nil"/>
              <w:left w:val="nil"/>
              <w:bottom w:val="single" w:sz="8" w:space="0" w:color="000000"/>
              <w:right w:val="single" w:sz="8" w:space="0" w:color="000000"/>
            </w:tcBorders>
            <w:shd w:val="clear" w:color="auto" w:fill="auto"/>
            <w:vAlign w:val="center"/>
            <w:hideMark/>
          </w:tcPr>
          <w:p w14:paraId="56AD5034"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30045798</w:t>
            </w:r>
          </w:p>
        </w:tc>
        <w:tc>
          <w:tcPr>
            <w:tcW w:w="805" w:type="pct"/>
            <w:tcBorders>
              <w:top w:val="nil"/>
              <w:left w:val="nil"/>
              <w:bottom w:val="single" w:sz="8" w:space="0" w:color="000000"/>
              <w:right w:val="single" w:sz="8" w:space="0" w:color="000000"/>
            </w:tcBorders>
            <w:shd w:val="clear" w:color="auto" w:fill="auto"/>
            <w:vAlign w:val="center"/>
            <w:hideMark/>
          </w:tcPr>
          <w:p w14:paraId="51EAC19E"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45613529</w:t>
            </w:r>
          </w:p>
        </w:tc>
        <w:tc>
          <w:tcPr>
            <w:tcW w:w="833" w:type="pct"/>
            <w:tcBorders>
              <w:top w:val="nil"/>
              <w:left w:val="nil"/>
              <w:bottom w:val="single" w:sz="8" w:space="0" w:color="000000"/>
              <w:right w:val="single" w:sz="8" w:space="0" w:color="000000"/>
            </w:tcBorders>
            <w:shd w:val="clear" w:color="auto" w:fill="auto"/>
            <w:vAlign w:val="center"/>
            <w:hideMark/>
          </w:tcPr>
          <w:p w14:paraId="3612A55D"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29703419</w:t>
            </w:r>
          </w:p>
        </w:tc>
      </w:tr>
      <w:tr w:rsidR="00A90720" w:rsidRPr="00042924" w14:paraId="53919B41"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3E5BBE21" w14:textId="77777777" w:rsidR="00A90720" w:rsidRPr="00042924" w:rsidRDefault="00A90720" w:rsidP="0084695E">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Баланс, тис. грн.</w:t>
            </w:r>
          </w:p>
        </w:tc>
        <w:tc>
          <w:tcPr>
            <w:tcW w:w="835" w:type="pct"/>
            <w:tcBorders>
              <w:top w:val="nil"/>
              <w:left w:val="nil"/>
              <w:bottom w:val="single" w:sz="8" w:space="0" w:color="000000"/>
              <w:right w:val="single" w:sz="8" w:space="0" w:color="000000"/>
            </w:tcBorders>
            <w:shd w:val="clear" w:color="auto" w:fill="auto"/>
            <w:vAlign w:val="center"/>
            <w:hideMark/>
          </w:tcPr>
          <w:p w14:paraId="6099CBD5"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97544421</w:t>
            </w:r>
          </w:p>
        </w:tc>
        <w:tc>
          <w:tcPr>
            <w:tcW w:w="835" w:type="pct"/>
            <w:tcBorders>
              <w:top w:val="nil"/>
              <w:left w:val="nil"/>
              <w:bottom w:val="single" w:sz="8" w:space="0" w:color="000000"/>
              <w:right w:val="single" w:sz="8" w:space="0" w:color="000000"/>
            </w:tcBorders>
            <w:shd w:val="clear" w:color="auto" w:fill="auto"/>
            <w:vAlign w:val="center"/>
            <w:hideMark/>
          </w:tcPr>
          <w:p w14:paraId="072D8E0A"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88349556</w:t>
            </w:r>
          </w:p>
        </w:tc>
        <w:tc>
          <w:tcPr>
            <w:tcW w:w="805" w:type="pct"/>
            <w:tcBorders>
              <w:top w:val="nil"/>
              <w:left w:val="nil"/>
              <w:bottom w:val="single" w:sz="8" w:space="0" w:color="000000"/>
              <w:right w:val="single" w:sz="8" w:space="0" w:color="000000"/>
            </w:tcBorders>
            <w:shd w:val="clear" w:color="auto" w:fill="auto"/>
            <w:vAlign w:val="center"/>
            <w:hideMark/>
          </w:tcPr>
          <w:p w14:paraId="79AEB912"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105800975</w:t>
            </w:r>
          </w:p>
        </w:tc>
        <w:tc>
          <w:tcPr>
            <w:tcW w:w="833" w:type="pct"/>
            <w:tcBorders>
              <w:top w:val="nil"/>
              <w:left w:val="nil"/>
              <w:bottom w:val="single" w:sz="8" w:space="0" w:color="000000"/>
              <w:right w:val="single" w:sz="8" w:space="0" w:color="000000"/>
            </w:tcBorders>
            <w:shd w:val="clear" w:color="auto" w:fill="auto"/>
            <w:vAlign w:val="center"/>
            <w:hideMark/>
          </w:tcPr>
          <w:p w14:paraId="3EFEE485"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52682761</w:t>
            </w:r>
          </w:p>
        </w:tc>
      </w:tr>
      <w:tr w:rsidR="00A90720" w:rsidRPr="00042924" w14:paraId="5FBAC672" w14:textId="77777777" w:rsidTr="006B27E7">
        <w:trPr>
          <w:trHeight w:val="567"/>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13FDFDC2" w14:textId="77777777" w:rsidR="00A90720" w:rsidRPr="00042924" w:rsidRDefault="00A90720" w:rsidP="0084695E">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Фінансовий результат до оподаткування, тис. грн.</w:t>
            </w:r>
          </w:p>
        </w:tc>
        <w:tc>
          <w:tcPr>
            <w:tcW w:w="835" w:type="pct"/>
            <w:tcBorders>
              <w:top w:val="nil"/>
              <w:left w:val="nil"/>
              <w:bottom w:val="single" w:sz="8" w:space="0" w:color="000000"/>
              <w:right w:val="single" w:sz="8" w:space="0" w:color="000000"/>
            </w:tcBorders>
            <w:shd w:val="clear" w:color="auto" w:fill="auto"/>
            <w:vAlign w:val="center"/>
            <w:hideMark/>
          </w:tcPr>
          <w:p w14:paraId="11FCB998"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-2703282</w:t>
            </w:r>
          </w:p>
        </w:tc>
        <w:tc>
          <w:tcPr>
            <w:tcW w:w="835" w:type="pct"/>
            <w:tcBorders>
              <w:top w:val="nil"/>
              <w:left w:val="nil"/>
              <w:bottom w:val="single" w:sz="8" w:space="0" w:color="000000"/>
              <w:right w:val="single" w:sz="8" w:space="0" w:color="000000"/>
            </w:tcBorders>
            <w:shd w:val="clear" w:color="auto" w:fill="auto"/>
            <w:vAlign w:val="center"/>
            <w:hideMark/>
          </w:tcPr>
          <w:p w14:paraId="2768C5F3"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847674</w:t>
            </w:r>
          </w:p>
        </w:tc>
        <w:tc>
          <w:tcPr>
            <w:tcW w:w="805" w:type="pct"/>
            <w:tcBorders>
              <w:top w:val="nil"/>
              <w:left w:val="nil"/>
              <w:bottom w:val="single" w:sz="8" w:space="0" w:color="000000"/>
              <w:right w:val="single" w:sz="8" w:space="0" w:color="000000"/>
            </w:tcBorders>
            <w:shd w:val="clear" w:color="auto" w:fill="auto"/>
            <w:vAlign w:val="center"/>
            <w:hideMark/>
          </w:tcPr>
          <w:p w14:paraId="797ECAEC"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30688796</w:t>
            </w:r>
          </w:p>
        </w:tc>
        <w:tc>
          <w:tcPr>
            <w:tcW w:w="833" w:type="pct"/>
            <w:tcBorders>
              <w:top w:val="nil"/>
              <w:left w:val="nil"/>
              <w:bottom w:val="single" w:sz="8" w:space="0" w:color="000000"/>
              <w:right w:val="single" w:sz="8" w:space="0" w:color="000000"/>
            </w:tcBorders>
            <w:shd w:val="clear" w:color="auto" w:fill="auto"/>
            <w:vAlign w:val="center"/>
            <w:hideMark/>
          </w:tcPr>
          <w:p w14:paraId="103BC329"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-51360445</w:t>
            </w:r>
          </w:p>
        </w:tc>
      </w:tr>
      <w:tr w:rsidR="00A90720" w:rsidRPr="00042924" w14:paraId="18DD8819" w14:textId="77777777" w:rsidTr="000121FF">
        <w:trPr>
          <w:trHeight w:val="340"/>
        </w:trPr>
        <w:tc>
          <w:tcPr>
            <w:tcW w:w="1692" w:type="pct"/>
            <w:tcBorders>
              <w:top w:val="nil"/>
              <w:left w:val="single" w:sz="8" w:space="0" w:color="000000"/>
              <w:bottom w:val="nil"/>
              <w:right w:val="single" w:sz="8" w:space="0" w:color="000000"/>
            </w:tcBorders>
            <w:shd w:val="clear" w:color="auto" w:fill="auto"/>
            <w:vAlign w:val="center"/>
            <w:hideMark/>
          </w:tcPr>
          <w:p w14:paraId="1B5BF95B" w14:textId="77777777" w:rsidR="00A90720" w:rsidRPr="00042924" w:rsidRDefault="00A90720" w:rsidP="0084695E">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Поточні зобов’язання, тис. грн.</w:t>
            </w:r>
          </w:p>
        </w:tc>
        <w:tc>
          <w:tcPr>
            <w:tcW w:w="835" w:type="pct"/>
            <w:tcBorders>
              <w:top w:val="nil"/>
              <w:left w:val="nil"/>
              <w:bottom w:val="single" w:sz="8" w:space="0" w:color="000000"/>
              <w:right w:val="single" w:sz="8" w:space="0" w:color="000000"/>
            </w:tcBorders>
            <w:shd w:val="clear" w:color="auto" w:fill="auto"/>
            <w:vAlign w:val="center"/>
            <w:hideMark/>
          </w:tcPr>
          <w:p w14:paraId="3279C7CA"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26771781</w:t>
            </w:r>
          </w:p>
        </w:tc>
        <w:tc>
          <w:tcPr>
            <w:tcW w:w="835" w:type="pct"/>
            <w:tcBorders>
              <w:top w:val="nil"/>
              <w:left w:val="nil"/>
              <w:bottom w:val="single" w:sz="8" w:space="0" w:color="auto"/>
              <w:right w:val="single" w:sz="8" w:space="0" w:color="auto"/>
            </w:tcBorders>
            <w:shd w:val="clear" w:color="auto" w:fill="auto"/>
            <w:vAlign w:val="center"/>
            <w:hideMark/>
          </w:tcPr>
          <w:p w14:paraId="04F25EE9"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17865684</w:t>
            </w:r>
          </w:p>
        </w:tc>
        <w:tc>
          <w:tcPr>
            <w:tcW w:w="805" w:type="pct"/>
            <w:tcBorders>
              <w:top w:val="nil"/>
              <w:left w:val="nil"/>
              <w:bottom w:val="single" w:sz="8" w:space="0" w:color="auto"/>
              <w:right w:val="single" w:sz="8" w:space="0" w:color="auto"/>
            </w:tcBorders>
            <w:shd w:val="clear" w:color="auto" w:fill="auto"/>
            <w:vAlign w:val="center"/>
            <w:hideMark/>
          </w:tcPr>
          <w:p w14:paraId="612FD1E8"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21889735</w:t>
            </w:r>
          </w:p>
        </w:tc>
        <w:tc>
          <w:tcPr>
            <w:tcW w:w="833" w:type="pct"/>
            <w:tcBorders>
              <w:top w:val="nil"/>
              <w:left w:val="nil"/>
              <w:bottom w:val="single" w:sz="8" w:space="0" w:color="auto"/>
              <w:right w:val="single" w:sz="8" w:space="0" w:color="auto"/>
            </w:tcBorders>
            <w:shd w:val="clear" w:color="auto" w:fill="auto"/>
            <w:vAlign w:val="center"/>
            <w:hideMark/>
          </w:tcPr>
          <w:p w14:paraId="02949324"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18423468</w:t>
            </w:r>
          </w:p>
        </w:tc>
      </w:tr>
      <w:tr w:rsidR="00A90720" w:rsidRPr="00042924" w14:paraId="2E441EE5" w14:textId="77777777" w:rsidTr="000121FF">
        <w:trPr>
          <w:trHeight w:val="340"/>
        </w:trPr>
        <w:tc>
          <w:tcPr>
            <w:tcW w:w="16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BAED85" w14:textId="77777777" w:rsidR="00A90720" w:rsidRPr="00042924" w:rsidRDefault="00A90720" w:rsidP="0084695E">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 Чистий дохід від реалізації, тис. грн.</w:t>
            </w:r>
          </w:p>
        </w:tc>
        <w:tc>
          <w:tcPr>
            <w:tcW w:w="835" w:type="pct"/>
            <w:tcBorders>
              <w:top w:val="nil"/>
              <w:left w:val="nil"/>
              <w:bottom w:val="single" w:sz="8" w:space="0" w:color="000000"/>
              <w:right w:val="nil"/>
            </w:tcBorders>
            <w:shd w:val="clear" w:color="auto" w:fill="auto"/>
            <w:vAlign w:val="center"/>
            <w:hideMark/>
          </w:tcPr>
          <w:p w14:paraId="6F36C7E7"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62409226</w:t>
            </w:r>
          </w:p>
        </w:tc>
        <w:tc>
          <w:tcPr>
            <w:tcW w:w="835" w:type="pct"/>
            <w:tcBorders>
              <w:top w:val="nil"/>
              <w:left w:val="single" w:sz="8" w:space="0" w:color="auto"/>
              <w:bottom w:val="single" w:sz="8" w:space="0" w:color="auto"/>
              <w:right w:val="single" w:sz="8" w:space="0" w:color="auto"/>
            </w:tcBorders>
            <w:shd w:val="clear" w:color="auto" w:fill="auto"/>
            <w:vAlign w:val="center"/>
            <w:hideMark/>
          </w:tcPr>
          <w:p w14:paraId="239FD8CA"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63496684</w:t>
            </w:r>
          </w:p>
        </w:tc>
        <w:tc>
          <w:tcPr>
            <w:tcW w:w="805" w:type="pct"/>
            <w:tcBorders>
              <w:top w:val="nil"/>
              <w:left w:val="nil"/>
              <w:bottom w:val="single" w:sz="8" w:space="0" w:color="auto"/>
              <w:right w:val="single" w:sz="8" w:space="0" w:color="auto"/>
            </w:tcBorders>
            <w:shd w:val="clear" w:color="auto" w:fill="auto"/>
            <w:vAlign w:val="center"/>
            <w:hideMark/>
          </w:tcPr>
          <w:p w14:paraId="464C7834"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109303155</w:t>
            </w:r>
          </w:p>
        </w:tc>
        <w:tc>
          <w:tcPr>
            <w:tcW w:w="833" w:type="pct"/>
            <w:tcBorders>
              <w:top w:val="nil"/>
              <w:left w:val="nil"/>
              <w:bottom w:val="single" w:sz="8" w:space="0" w:color="auto"/>
              <w:right w:val="single" w:sz="8" w:space="0" w:color="auto"/>
            </w:tcBorders>
            <w:shd w:val="clear" w:color="auto" w:fill="auto"/>
            <w:vAlign w:val="center"/>
            <w:hideMark/>
          </w:tcPr>
          <w:p w14:paraId="7EAC2CEB"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43818410</w:t>
            </w:r>
          </w:p>
        </w:tc>
      </w:tr>
      <w:tr w:rsidR="00A90720" w:rsidRPr="00042924" w14:paraId="793A4856" w14:textId="77777777" w:rsidTr="000121FF">
        <w:trPr>
          <w:trHeight w:val="340"/>
        </w:trPr>
        <w:tc>
          <w:tcPr>
            <w:tcW w:w="5000" w:type="pct"/>
            <w:gridSpan w:val="5"/>
            <w:tcBorders>
              <w:top w:val="nil"/>
              <w:left w:val="single" w:sz="8" w:space="0" w:color="000000"/>
              <w:bottom w:val="single" w:sz="8" w:space="0" w:color="000000"/>
              <w:right w:val="single" w:sz="8" w:space="0" w:color="000000"/>
            </w:tcBorders>
            <w:shd w:val="clear" w:color="auto" w:fill="auto"/>
            <w:vAlign w:val="center"/>
            <w:hideMark/>
          </w:tcPr>
          <w:p w14:paraId="066203D9" w14:textId="77777777" w:rsidR="00A90720" w:rsidRPr="00042924" w:rsidRDefault="00A90720" w:rsidP="00426D30">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 моделі:</w:t>
            </w:r>
          </w:p>
        </w:tc>
      </w:tr>
      <w:tr w:rsidR="00A90720" w:rsidRPr="00042924" w14:paraId="5B16FFF7"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4BF60766"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1 / п. 2)</w:t>
            </w:r>
          </w:p>
        </w:tc>
        <w:tc>
          <w:tcPr>
            <w:tcW w:w="835" w:type="pct"/>
            <w:tcBorders>
              <w:top w:val="nil"/>
              <w:left w:val="nil"/>
              <w:bottom w:val="single" w:sz="8" w:space="0" w:color="000000"/>
              <w:right w:val="single" w:sz="8" w:space="0" w:color="000000"/>
            </w:tcBorders>
            <w:shd w:val="clear" w:color="auto" w:fill="auto"/>
            <w:vAlign w:val="center"/>
            <w:hideMark/>
          </w:tcPr>
          <w:p w14:paraId="3886AD25"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0,38</w:t>
            </w:r>
          </w:p>
        </w:tc>
        <w:tc>
          <w:tcPr>
            <w:tcW w:w="835" w:type="pct"/>
            <w:tcBorders>
              <w:top w:val="nil"/>
              <w:left w:val="nil"/>
              <w:bottom w:val="single" w:sz="8" w:space="0" w:color="000000"/>
              <w:right w:val="single" w:sz="8" w:space="0" w:color="000000"/>
            </w:tcBorders>
            <w:shd w:val="clear" w:color="auto" w:fill="auto"/>
            <w:vAlign w:val="center"/>
            <w:hideMark/>
          </w:tcPr>
          <w:p w14:paraId="21AD3D29"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0,34</w:t>
            </w:r>
          </w:p>
        </w:tc>
        <w:tc>
          <w:tcPr>
            <w:tcW w:w="805" w:type="pct"/>
            <w:tcBorders>
              <w:top w:val="nil"/>
              <w:left w:val="nil"/>
              <w:bottom w:val="single" w:sz="8" w:space="0" w:color="000000"/>
              <w:right w:val="single" w:sz="8" w:space="0" w:color="000000"/>
            </w:tcBorders>
            <w:shd w:val="clear" w:color="auto" w:fill="auto"/>
            <w:vAlign w:val="center"/>
            <w:hideMark/>
          </w:tcPr>
          <w:p w14:paraId="0E1003C5"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0,43</w:t>
            </w:r>
          </w:p>
        </w:tc>
        <w:tc>
          <w:tcPr>
            <w:tcW w:w="833" w:type="pct"/>
            <w:tcBorders>
              <w:top w:val="nil"/>
              <w:left w:val="nil"/>
              <w:bottom w:val="single" w:sz="8" w:space="0" w:color="000000"/>
              <w:right w:val="single" w:sz="8" w:space="0" w:color="000000"/>
            </w:tcBorders>
            <w:shd w:val="clear" w:color="auto" w:fill="auto"/>
            <w:vAlign w:val="center"/>
            <w:hideMark/>
          </w:tcPr>
          <w:p w14:paraId="176D670C"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0,56</w:t>
            </w:r>
          </w:p>
        </w:tc>
      </w:tr>
      <w:tr w:rsidR="00A90720" w:rsidRPr="00042924" w14:paraId="4DE782B3"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1C6680F2"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К2 (п. 3 / п. 2)</w:t>
            </w:r>
          </w:p>
        </w:tc>
        <w:tc>
          <w:tcPr>
            <w:tcW w:w="835" w:type="pct"/>
            <w:tcBorders>
              <w:top w:val="nil"/>
              <w:left w:val="nil"/>
              <w:bottom w:val="single" w:sz="8" w:space="0" w:color="000000"/>
              <w:right w:val="single" w:sz="8" w:space="0" w:color="000000"/>
            </w:tcBorders>
            <w:shd w:val="clear" w:color="auto" w:fill="auto"/>
            <w:vAlign w:val="center"/>
            <w:hideMark/>
          </w:tcPr>
          <w:p w14:paraId="236D9211"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-0,03</w:t>
            </w:r>
          </w:p>
        </w:tc>
        <w:tc>
          <w:tcPr>
            <w:tcW w:w="835" w:type="pct"/>
            <w:tcBorders>
              <w:top w:val="nil"/>
              <w:left w:val="nil"/>
              <w:bottom w:val="single" w:sz="8" w:space="0" w:color="000000"/>
              <w:right w:val="single" w:sz="8" w:space="0" w:color="000000"/>
            </w:tcBorders>
            <w:shd w:val="clear" w:color="auto" w:fill="auto"/>
            <w:vAlign w:val="center"/>
            <w:hideMark/>
          </w:tcPr>
          <w:p w14:paraId="3D895AF6"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0,01</w:t>
            </w:r>
          </w:p>
        </w:tc>
        <w:tc>
          <w:tcPr>
            <w:tcW w:w="805" w:type="pct"/>
            <w:tcBorders>
              <w:top w:val="nil"/>
              <w:left w:val="nil"/>
              <w:bottom w:val="single" w:sz="8" w:space="0" w:color="000000"/>
              <w:right w:val="single" w:sz="8" w:space="0" w:color="000000"/>
            </w:tcBorders>
            <w:shd w:val="clear" w:color="auto" w:fill="auto"/>
            <w:vAlign w:val="center"/>
            <w:hideMark/>
          </w:tcPr>
          <w:p w14:paraId="59735F77"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0,29</w:t>
            </w:r>
          </w:p>
        </w:tc>
        <w:tc>
          <w:tcPr>
            <w:tcW w:w="833" w:type="pct"/>
            <w:tcBorders>
              <w:top w:val="nil"/>
              <w:left w:val="nil"/>
              <w:bottom w:val="single" w:sz="8" w:space="0" w:color="000000"/>
              <w:right w:val="single" w:sz="8" w:space="0" w:color="000000"/>
            </w:tcBorders>
            <w:shd w:val="clear" w:color="auto" w:fill="auto"/>
            <w:vAlign w:val="center"/>
            <w:hideMark/>
          </w:tcPr>
          <w:p w14:paraId="3A2238BD"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-0,97</w:t>
            </w:r>
          </w:p>
        </w:tc>
      </w:tr>
      <w:tr w:rsidR="00A90720" w:rsidRPr="00042924" w14:paraId="2FA4F50A"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458DF747"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К3 (п. 3 / п. 4)</w:t>
            </w:r>
          </w:p>
        </w:tc>
        <w:tc>
          <w:tcPr>
            <w:tcW w:w="835" w:type="pct"/>
            <w:tcBorders>
              <w:top w:val="nil"/>
              <w:left w:val="nil"/>
              <w:bottom w:val="single" w:sz="8" w:space="0" w:color="000000"/>
              <w:right w:val="single" w:sz="8" w:space="0" w:color="000000"/>
            </w:tcBorders>
            <w:shd w:val="clear" w:color="auto" w:fill="auto"/>
            <w:vAlign w:val="center"/>
            <w:hideMark/>
          </w:tcPr>
          <w:p w14:paraId="725427FF"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-0,10</w:t>
            </w:r>
          </w:p>
        </w:tc>
        <w:tc>
          <w:tcPr>
            <w:tcW w:w="835" w:type="pct"/>
            <w:tcBorders>
              <w:top w:val="nil"/>
              <w:left w:val="nil"/>
              <w:bottom w:val="single" w:sz="8" w:space="0" w:color="000000"/>
              <w:right w:val="single" w:sz="8" w:space="0" w:color="000000"/>
            </w:tcBorders>
            <w:shd w:val="clear" w:color="auto" w:fill="auto"/>
            <w:vAlign w:val="center"/>
            <w:hideMark/>
          </w:tcPr>
          <w:p w14:paraId="218F4D3C"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0,05</w:t>
            </w:r>
          </w:p>
        </w:tc>
        <w:tc>
          <w:tcPr>
            <w:tcW w:w="805" w:type="pct"/>
            <w:tcBorders>
              <w:top w:val="nil"/>
              <w:left w:val="nil"/>
              <w:bottom w:val="single" w:sz="8" w:space="0" w:color="000000"/>
              <w:right w:val="single" w:sz="8" w:space="0" w:color="000000"/>
            </w:tcBorders>
            <w:shd w:val="clear" w:color="auto" w:fill="auto"/>
            <w:vAlign w:val="center"/>
            <w:hideMark/>
          </w:tcPr>
          <w:p w14:paraId="1192CA58"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1,40</w:t>
            </w:r>
          </w:p>
        </w:tc>
        <w:tc>
          <w:tcPr>
            <w:tcW w:w="833" w:type="pct"/>
            <w:tcBorders>
              <w:top w:val="nil"/>
              <w:left w:val="nil"/>
              <w:bottom w:val="single" w:sz="8" w:space="0" w:color="000000"/>
              <w:right w:val="single" w:sz="8" w:space="0" w:color="000000"/>
            </w:tcBorders>
            <w:shd w:val="clear" w:color="auto" w:fill="auto"/>
            <w:vAlign w:val="center"/>
            <w:hideMark/>
          </w:tcPr>
          <w:p w14:paraId="476959C0"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-2,79</w:t>
            </w:r>
          </w:p>
        </w:tc>
      </w:tr>
      <w:tr w:rsidR="00A90720" w:rsidRPr="00042924" w14:paraId="22991BEC"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665955C0"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К4 (п. 5 / п. 2)</w:t>
            </w:r>
          </w:p>
        </w:tc>
        <w:tc>
          <w:tcPr>
            <w:tcW w:w="835" w:type="pct"/>
            <w:tcBorders>
              <w:top w:val="nil"/>
              <w:left w:val="nil"/>
              <w:bottom w:val="single" w:sz="8" w:space="0" w:color="000000"/>
              <w:right w:val="single" w:sz="8" w:space="0" w:color="000000"/>
            </w:tcBorders>
            <w:shd w:val="clear" w:color="auto" w:fill="auto"/>
            <w:vAlign w:val="center"/>
            <w:hideMark/>
          </w:tcPr>
          <w:p w14:paraId="0C3B8DC8"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0,64</w:t>
            </w:r>
          </w:p>
        </w:tc>
        <w:tc>
          <w:tcPr>
            <w:tcW w:w="835" w:type="pct"/>
            <w:tcBorders>
              <w:top w:val="nil"/>
              <w:left w:val="nil"/>
              <w:bottom w:val="single" w:sz="8" w:space="0" w:color="000000"/>
              <w:right w:val="single" w:sz="8" w:space="0" w:color="000000"/>
            </w:tcBorders>
            <w:shd w:val="clear" w:color="auto" w:fill="auto"/>
            <w:vAlign w:val="center"/>
            <w:hideMark/>
          </w:tcPr>
          <w:p w14:paraId="63BADBC4"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0,72</w:t>
            </w:r>
          </w:p>
        </w:tc>
        <w:tc>
          <w:tcPr>
            <w:tcW w:w="805" w:type="pct"/>
            <w:tcBorders>
              <w:top w:val="nil"/>
              <w:left w:val="nil"/>
              <w:bottom w:val="single" w:sz="8" w:space="0" w:color="000000"/>
              <w:right w:val="single" w:sz="8" w:space="0" w:color="000000"/>
            </w:tcBorders>
            <w:shd w:val="clear" w:color="auto" w:fill="auto"/>
            <w:vAlign w:val="center"/>
            <w:hideMark/>
          </w:tcPr>
          <w:p w14:paraId="128DCB31"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1,03</w:t>
            </w:r>
          </w:p>
        </w:tc>
        <w:tc>
          <w:tcPr>
            <w:tcW w:w="833" w:type="pct"/>
            <w:tcBorders>
              <w:top w:val="nil"/>
              <w:left w:val="nil"/>
              <w:bottom w:val="single" w:sz="8" w:space="0" w:color="000000"/>
              <w:right w:val="single" w:sz="8" w:space="0" w:color="000000"/>
            </w:tcBorders>
            <w:shd w:val="clear" w:color="auto" w:fill="auto"/>
            <w:vAlign w:val="center"/>
            <w:hideMark/>
          </w:tcPr>
          <w:p w14:paraId="64B8DA3C"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0,83</w:t>
            </w:r>
          </w:p>
        </w:tc>
      </w:tr>
      <w:tr w:rsidR="00A90720" w:rsidRPr="00042924" w14:paraId="76D4622C" w14:textId="77777777" w:rsidTr="000121FF">
        <w:trPr>
          <w:trHeight w:val="3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D0E454" w14:textId="77777777" w:rsidR="00A90720" w:rsidRPr="00042924" w:rsidRDefault="00A90720" w:rsidP="00E60341">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Підсумковий показник моделі:</w:t>
            </w:r>
          </w:p>
        </w:tc>
      </w:tr>
      <w:tr w:rsidR="00A90720" w:rsidRPr="00042924" w14:paraId="1FA1629C" w14:textId="77777777" w:rsidTr="000121FF">
        <w:trPr>
          <w:trHeight w:val="340"/>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4CC73542"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Z = 1,03K1 + 3,07K2 + 0,66K3 + 0,4K4</w:t>
            </w:r>
          </w:p>
        </w:tc>
        <w:tc>
          <w:tcPr>
            <w:tcW w:w="835" w:type="pct"/>
            <w:tcBorders>
              <w:top w:val="nil"/>
              <w:left w:val="nil"/>
              <w:bottom w:val="single" w:sz="8" w:space="0" w:color="000000"/>
              <w:right w:val="single" w:sz="8" w:space="0" w:color="000000"/>
            </w:tcBorders>
            <w:shd w:val="clear" w:color="auto" w:fill="auto"/>
            <w:vAlign w:val="center"/>
            <w:hideMark/>
          </w:tcPr>
          <w:p w14:paraId="115307CF"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0,494</w:t>
            </w:r>
          </w:p>
        </w:tc>
        <w:tc>
          <w:tcPr>
            <w:tcW w:w="835" w:type="pct"/>
            <w:tcBorders>
              <w:top w:val="nil"/>
              <w:left w:val="nil"/>
              <w:bottom w:val="single" w:sz="8" w:space="0" w:color="000000"/>
              <w:right w:val="single" w:sz="8" w:space="0" w:color="000000"/>
            </w:tcBorders>
            <w:shd w:val="clear" w:color="auto" w:fill="auto"/>
            <w:vAlign w:val="center"/>
            <w:hideMark/>
          </w:tcPr>
          <w:p w14:paraId="395F5A14"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0,699</w:t>
            </w:r>
          </w:p>
        </w:tc>
        <w:tc>
          <w:tcPr>
            <w:tcW w:w="805" w:type="pct"/>
            <w:tcBorders>
              <w:top w:val="nil"/>
              <w:left w:val="nil"/>
              <w:bottom w:val="single" w:sz="8" w:space="0" w:color="000000"/>
              <w:right w:val="single" w:sz="8" w:space="0" w:color="000000"/>
            </w:tcBorders>
            <w:shd w:val="clear" w:color="auto" w:fill="auto"/>
            <w:vAlign w:val="center"/>
            <w:hideMark/>
          </w:tcPr>
          <w:p w14:paraId="1A0F8EDB"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2,673</w:t>
            </w:r>
          </w:p>
        </w:tc>
        <w:tc>
          <w:tcPr>
            <w:tcW w:w="833" w:type="pct"/>
            <w:tcBorders>
              <w:top w:val="nil"/>
              <w:left w:val="nil"/>
              <w:bottom w:val="single" w:sz="8" w:space="0" w:color="000000"/>
              <w:right w:val="single" w:sz="8" w:space="0" w:color="000000"/>
            </w:tcBorders>
            <w:shd w:val="clear" w:color="auto" w:fill="auto"/>
            <w:vAlign w:val="center"/>
            <w:hideMark/>
          </w:tcPr>
          <w:p w14:paraId="61E81603"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-3,919</w:t>
            </w:r>
          </w:p>
        </w:tc>
      </w:tr>
      <w:tr w:rsidR="00A90720" w:rsidRPr="00042924" w14:paraId="52BACA2B" w14:textId="77777777" w:rsidTr="002A43CD">
        <w:trPr>
          <w:trHeight w:val="567"/>
        </w:trPr>
        <w:tc>
          <w:tcPr>
            <w:tcW w:w="1692" w:type="pct"/>
            <w:tcBorders>
              <w:top w:val="nil"/>
              <w:left w:val="single" w:sz="8" w:space="0" w:color="000000"/>
              <w:bottom w:val="single" w:sz="8" w:space="0" w:color="000000"/>
              <w:right w:val="single" w:sz="8" w:space="0" w:color="000000"/>
            </w:tcBorders>
            <w:shd w:val="clear" w:color="auto" w:fill="auto"/>
            <w:vAlign w:val="center"/>
            <w:hideMark/>
          </w:tcPr>
          <w:p w14:paraId="0D50B545"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Інтерпретація показника Z</w:t>
            </w:r>
          </w:p>
        </w:tc>
        <w:tc>
          <w:tcPr>
            <w:tcW w:w="835" w:type="pct"/>
            <w:tcBorders>
              <w:top w:val="nil"/>
              <w:left w:val="nil"/>
              <w:bottom w:val="single" w:sz="8" w:space="0" w:color="000000"/>
              <w:right w:val="nil"/>
            </w:tcBorders>
            <w:shd w:val="clear" w:color="auto" w:fill="auto"/>
            <w:vAlign w:val="center"/>
            <w:hideMark/>
          </w:tcPr>
          <w:p w14:paraId="6C46CD30"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Потенційний банкрут</w:t>
            </w:r>
          </w:p>
        </w:tc>
        <w:tc>
          <w:tcPr>
            <w:tcW w:w="835" w:type="pct"/>
            <w:tcBorders>
              <w:top w:val="nil"/>
              <w:left w:val="single" w:sz="8" w:space="0" w:color="000000"/>
              <w:bottom w:val="single" w:sz="8" w:space="0" w:color="000000"/>
              <w:right w:val="nil"/>
            </w:tcBorders>
            <w:shd w:val="clear" w:color="auto" w:fill="auto"/>
            <w:vAlign w:val="center"/>
            <w:hideMark/>
          </w:tcPr>
          <w:p w14:paraId="733AA252"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Потенційний банкрут</w:t>
            </w:r>
          </w:p>
        </w:tc>
        <w:tc>
          <w:tcPr>
            <w:tcW w:w="805" w:type="pct"/>
            <w:tcBorders>
              <w:top w:val="nil"/>
              <w:left w:val="single" w:sz="8" w:space="0" w:color="auto"/>
              <w:bottom w:val="single" w:sz="8" w:space="0" w:color="auto"/>
              <w:right w:val="single" w:sz="8" w:space="0" w:color="auto"/>
            </w:tcBorders>
            <w:shd w:val="clear" w:color="auto" w:fill="auto"/>
            <w:vAlign w:val="center"/>
            <w:hideMark/>
          </w:tcPr>
          <w:p w14:paraId="2B72159B"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Ризик мінімальний</w:t>
            </w:r>
          </w:p>
        </w:tc>
        <w:tc>
          <w:tcPr>
            <w:tcW w:w="833" w:type="pct"/>
            <w:tcBorders>
              <w:top w:val="nil"/>
              <w:left w:val="nil"/>
              <w:bottom w:val="single" w:sz="8" w:space="0" w:color="000000"/>
              <w:right w:val="single" w:sz="4" w:space="0" w:color="auto"/>
            </w:tcBorders>
            <w:shd w:val="clear" w:color="auto" w:fill="auto"/>
            <w:vAlign w:val="center"/>
            <w:hideMark/>
          </w:tcPr>
          <w:p w14:paraId="52B3B1DA" w14:textId="77777777" w:rsidR="00A90720" w:rsidRPr="00042924" w:rsidRDefault="00A90720"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Потенційний банкрут</w:t>
            </w:r>
          </w:p>
        </w:tc>
      </w:tr>
    </w:tbl>
    <w:p w14:paraId="62EAA285" w14:textId="77777777" w:rsidR="00A90720" w:rsidRPr="00042924" w:rsidRDefault="00A90720" w:rsidP="00A90720">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2A43CD" w:rsidRPr="00E32FFC">
        <w:rPr>
          <w:rFonts w:ascii="Times New Roman" w:hAnsi="Times New Roman" w:cs="Times New Roman"/>
          <w:sz w:val="28"/>
          <w:szCs w:val="28"/>
          <w:lang w:val="uk-UA"/>
        </w:rPr>
        <w:t>складено автором на основі</w:t>
      </w:r>
      <w:r w:rsidR="00F90A12" w:rsidRPr="00042924">
        <w:rPr>
          <w:rFonts w:ascii="Times New Roman" w:eastAsia="Times New Roman" w:hAnsi="Times New Roman" w:cs="Times New Roman"/>
          <w:sz w:val="28"/>
          <w:szCs w:val="28"/>
          <w:lang w:val="uk-UA"/>
        </w:rPr>
        <w:t xml:space="preserve"> [33]</w:t>
      </w:r>
    </w:p>
    <w:p w14:paraId="5E69AC6B" w14:textId="77777777" w:rsidR="00A90720" w:rsidRPr="00042924" w:rsidRDefault="00A90720" w:rsidP="00A90720">
      <w:pPr>
        <w:spacing w:after="0" w:line="240" w:lineRule="auto"/>
        <w:ind w:firstLine="709"/>
        <w:jc w:val="both"/>
        <w:rPr>
          <w:rFonts w:ascii="Times New Roman" w:eastAsia="Times New Roman" w:hAnsi="Times New Roman" w:cs="Times New Roman"/>
          <w:sz w:val="28"/>
          <w:szCs w:val="28"/>
          <w:lang w:val="uk-UA"/>
        </w:rPr>
      </w:pPr>
    </w:p>
    <w:p w14:paraId="1708787D" w14:textId="77777777" w:rsidR="00A90720" w:rsidRPr="00042924" w:rsidRDefault="00A90720" w:rsidP="00A90720">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Проаналізувавши динаміку показника Z за моделлю Спрінгейта, можна зробити висновок, що у 2019, 2020 та 2022 роках підприємство класифікувалося як потенційний банкрут. Лише у 2021 році ризик банкрутства був мінімальним. Таким чином, за цією моделлю фінансовий стан компанії є нестабільним і потребує постійного контролю для своєчасного реагування.</w:t>
      </w:r>
    </w:p>
    <w:p w14:paraId="3B03114D" w14:textId="77777777" w:rsidR="00A90720" w:rsidRPr="00042924" w:rsidRDefault="00A90720" w:rsidP="00A90720">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Третьою для аналізу обрана британська модель Р. Таффлера, яка враховує чотири фінансові показники: рентабельність, ліквідність, оборотність активів та леверидж. Розрахунки наведені в таблиці 2.1</w:t>
      </w:r>
      <w:r w:rsidR="004D1828" w:rsidRPr="00042924">
        <w:rPr>
          <w:rFonts w:ascii="Times New Roman" w:eastAsia="Times New Roman" w:hAnsi="Times New Roman" w:cs="Times New Roman"/>
          <w:sz w:val="28"/>
          <w:szCs w:val="28"/>
          <w:lang w:val="uk-UA"/>
        </w:rPr>
        <w:t>1</w:t>
      </w:r>
      <w:r w:rsidRPr="00042924">
        <w:rPr>
          <w:rFonts w:ascii="Times New Roman" w:eastAsia="Times New Roman" w:hAnsi="Times New Roman" w:cs="Times New Roman"/>
          <w:sz w:val="28"/>
          <w:szCs w:val="28"/>
          <w:lang w:val="uk-UA"/>
        </w:rPr>
        <w:t>.</w:t>
      </w:r>
    </w:p>
    <w:p w14:paraId="7FBB9228" w14:textId="77777777" w:rsidR="00CE1AED" w:rsidRPr="00042924" w:rsidRDefault="00CE1AED" w:rsidP="00A90720">
      <w:pPr>
        <w:spacing w:after="0" w:line="240" w:lineRule="auto"/>
        <w:ind w:firstLine="709"/>
        <w:jc w:val="both"/>
        <w:rPr>
          <w:rFonts w:ascii="Times New Roman" w:eastAsia="Times New Roman" w:hAnsi="Times New Roman" w:cs="Times New Roman"/>
          <w:sz w:val="28"/>
          <w:szCs w:val="28"/>
          <w:lang w:val="uk-UA"/>
        </w:rPr>
      </w:pPr>
    </w:p>
    <w:p w14:paraId="59E30AE8" w14:textId="77777777" w:rsidR="00CE1AED" w:rsidRPr="00042924" w:rsidRDefault="00CE1AED" w:rsidP="00D91443">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Таблиця 2.1</w:t>
      </w:r>
      <w:r w:rsidR="004D1828" w:rsidRPr="00042924">
        <w:rPr>
          <w:rFonts w:ascii="Times New Roman" w:eastAsia="Times New Roman" w:hAnsi="Times New Roman" w:cs="Times New Roman"/>
          <w:sz w:val="28"/>
          <w:szCs w:val="28"/>
          <w:lang w:val="uk-UA"/>
        </w:rPr>
        <w:t>1</w:t>
      </w:r>
      <w:r w:rsidRPr="00042924">
        <w:rPr>
          <w:rFonts w:ascii="Times New Roman" w:eastAsia="Times New Roman" w:hAnsi="Times New Roman" w:cs="Times New Roman"/>
          <w:sz w:val="28"/>
          <w:szCs w:val="28"/>
          <w:lang w:val="uk-UA"/>
        </w:rPr>
        <w:t xml:space="preserve"> – Оцінка ймовірності банкрутства ПАТ </w:t>
      </w:r>
      <w:r w:rsidR="00205891">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за моделлю Р.Таффлера</w:t>
      </w:r>
    </w:p>
    <w:tbl>
      <w:tblPr>
        <w:tblW w:w="5000" w:type="pct"/>
        <w:tblCellMar>
          <w:top w:w="57" w:type="dxa"/>
          <w:left w:w="57" w:type="dxa"/>
          <w:bottom w:w="57" w:type="dxa"/>
          <w:right w:w="57" w:type="dxa"/>
        </w:tblCellMar>
        <w:tblLook w:val="04A0" w:firstRow="1" w:lastRow="0" w:firstColumn="1" w:lastColumn="0" w:noHBand="0" w:noVBand="1"/>
      </w:tblPr>
      <w:tblGrid>
        <w:gridCol w:w="3672"/>
        <w:gridCol w:w="1905"/>
        <w:gridCol w:w="1356"/>
        <w:gridCol w:w="1356"/>
        <w:gridCol w:w="1612"/>
      </w:tblGrid>
      <w:tr w:rsidR="00CE1AED" w:rsidRPr="00042924" w14:paraId="59085D4D" w14:textId="77777777" w:rsidTr="00787572">
        <w:trPr>
          <w:trHeight w:val="283"/>
        </w:trPr>
        <w:tc>
          <w:tcPr>
            <w:tcW w:w="1854"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6264237"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w:t>
            </w:r>
          </w:p>
        </w:tc>
        <w:tc>
          <w:tcPr>
            <w:tcW w:w="3146" w:type="pct"/>
            <w:gridSpan w:val="4"/>
            <w:tcBorders>
              <w:top w:val="single" w:sz="4" w:space="0" w:color="auto"/>
              <w:left w:val="nil"/>
              <w:bottom w:val="single" w:sz="8" w:space="0" w:color="000000"/>
              <w:right w:val="single" w:sz="8" w:space="0" w:color="000000"/>
            </w:tcBorders>
            <w:shd w:val="clear" w:color="auto" w:fill="auto"/>
            <w:vAlign w:val="center"/>
            <w:hideMark/>
          </w:tcPr>
          <w:p w14:paraId="34C73350"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Період, рік</w:t>
            </w:r>
          </w:p>
        </w:tc>
      </w:tr>
      <w:tr w:rsidR="00CE1AED" w:rsidRPr="00042924" w14:paraId="2E4CE292" w14:textId="77777777" w:rsidTr="00787572">
        <w:trPr>
          <w:trHeight w:val="283"/>
        </w:trPr>
        <w:tc>
          <w:tcPr>
            <w:tcW w:w="1854" w:type="pct"/>
            <w:vMerge/>
            <w:tcBorders>
              <w:top w:val="nil"/>
              <w:left w:val="single" w:sz="8" w:space="0" w:color="000000"/>
              <w:bottom w:val="single" w:sz="8" w:space="0" w:color="000000"/>
              <w:right w:val="single" w:sz="8" w:space="0" w:color="000000"/>
            </w:tcBorders>
            <w:vAlign w:val="center"/>
            <w:hideMark/>
          </w:tcPr>
          <w:p w14:paraId="30F039A0" w14:textId="77777777" w:rsidR="00CE1AED" w:rsidRPr="00042924" w:rsidRDefault="00CE1AED" w:rsidP="001E5587">
            <w:pPr>
              <w:spacing w:after="0" w:line="240" w:lineRule="auto"/>
              <w:rPr>
                <w:rFonts w:ascii="Times New Roman" w:eastAsia="Times New Roman" w:hAnsi="Times New Roman" w:cs="Times New Roman"/>
                <w:color w:val="000000"/>
                <w:kern w:val="0"/>
                <w:sz w:val="20"/>
                <w:szCs w:val="20"/>
                <w:lang w:val="uk-UA" w:eastAsia="uk-UA"/>
                <w14:ligatures w14:val="none"/>
              </w:rPr>
            </w:pPr>
          </w:p>
        </w:tc>
        <w:tc>
          <w:tcPr>
            <w:tcW w:w="962" w:type="pct"/>
            <w:tcBorders>
              <w:top w:val="nil"/>
              <w:left w:val="nil"/>
              <w:bottom w:val="single" w:sz="8" w:space="0" w:color="000000"/>
              <w:right w:val="single" w:sz="8" w:space="0" w:color="000000"/>
            </w:tcBorders>
            <w:shd w:val="clear" w:color="auto" w:fill="auto"/>
            <w:vAlign w:val="center"/>
            <w:hideMark/>
          </w:tcPr>
          <w:p w14:paraId="0ADF8320"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2019</w:t>
            </w:r>
          </w:p>
        </w:tc>
        <w:tc>
          <w:tcPr>
            <w:tcW w:w="685" w:type="pct"/>
            <w:tcBorders>
              <w:top w:val="nil"/>
              <w:left w:val="nil"/>
              <w:bottom w:val="single" w:sz="8" w:space="0" w:color="000000"/>
              <w:right w:val="single" w:sz="8" w:space="0" w:color="000000"/>
            </w:tcBorders>
            <w:shd w:val="clear" w:color="auto" w:fill="auto"/>
            <w:vAlign w:val="center"/>
            <w:hideMark/>
          </w:tcPr>
          <w:p w14:paraId="3BB6077E"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2020</w:t>
            </w:r>
          </w:p>
        </w:tc>
        <w:tc>
          <w:tcPr>
            <w:tcW w:w="685" w:type="pct"/>
            <w:tcBorders>
              <w:top w:val="nil"/>
              <w:left w:val="nil"/>
              <w:bottom w:val="single" w:sz="8" w:space="0" w:color="000000"/>
              <w:right w:val="single" w:sz="8" w:space="0" w:color="000000"/>
            </w:tcBorders>
            <w:shd w:val="clear" w:color="auto" w:fill="auto"/>
            <w:vAlign w:val="center"/>
            <w:hideMark/>
          </w:tcPr>
          <w:p w14:paraId="514A2E56"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2021</w:t>
            </w:r>
          </w:p>
        </w:tc>
        <w:tc>
          <w:tcPr>
            <w:tcW w:w="814" w:type="pct"/>
            <w:tcBorders>
              <w:top w:val="nil"/>
              <w:left w:val="nil"/>
              <w:bottom w:val="single" w:sz="8" w:space="0" w:color="000000"/>
              <w:right w:val="single" w:sz="8" w:space="0" w:color="000000"/>
            </w:tcBorders>
            <w:shd w:val="clear" w:color="auto" w:fill="auto"/>
            <w:vAlign w:val="center"/>
            <w:hideMark/>
          </w:tcPr>
          <w:p w14:paraId="25E0709C"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2022</w:t>
            </w:r>
          </w:p>
        </w:tc>
      </w:tr>
      <w:tr w:rsidR="00CE1AED" w:rsidRPr="00042924" w14:paraId="56F08C51" w14:textId="77777777" w:rsidTr="00D91443">
        <w:trPr>
          <w:trHeight w:val="283"/>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9CC2F8"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Вихідні дані:</w:t>
            </w:r>
          </w:p>
        </w:tc>
      </w:tr>
      <w:tr w:rsidR="00787572" w:rsidRPr="00042924" w14:paraId="405CA264" w14:textId="77777777" w:rsidTr="00D91443">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tcPr>
          <w:p w14:paraId="6543F2AA"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w:t>
            </w:r>
          </w:p>
        </w:tc>
        <w:tc>
          <w:tcPr>
            <w:tcW w:w="962" w:type="pct"/>
            <w:tcBorders>
              <w:top w:val="nil"/>
              <w:left w:val="nil"/>
              <w:bottom w:val="single" w:sz="8" w:space="0" w:color="000000"/>
              <w:right w:val="single" w:sz="4" w:space="0" w:color="auto"/>
            </w:tcBorders>
            <w:shd w:val="clear" w:color="auto" w:fill="auto"/>
            <w:vAlign w:val="center"/>
          </w:tcPr>
          <w:p w14:paraId="7AC14B88"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w:t>
            </w:r>
          </w:p>
        </w:tc>
        <w:tc>
          <w:tcPr>
            <w:tcW w:w="685" w:type="pct"/>
            <w:tcBorders>
              <w:top w:val="nil"/>
              <w:left w:val="single" w:sz="4" w:space="0" w:color="auto"/>
              <w:bottom w:val="single" w:sz="8" w:space="0" w:color="000000"/>
              <w:right w:val="single" w:sz="8" w:space="0" w:color="000000"/>
            </w:tcBorders>
            <w:shd w:val="clear" w:color="auto" w:fill="auto"/>
            <w:vAlign w:val="center"/>
          </w:tcPr>
          <w:p w14:paraId="647B9033"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w:t>
            </w:r>
          </w:p>
        </w:tc>
        <w:tc>
          <w:tcPr>
            <w:tcW w:w="685" w:type="pct"/>
            <w:tcBorders>
              <w:top w:val="nil"/>
              <w:left w:val="nil"/>
              <w:bottom w:val="single" w:sz="8" w:space="0" w:color="000000"/>
              <w:right w:val="single" w:sz="8" w:space="0" w:color="000000"/>
            </w:tcBorders>
            <w:shd w:val="clear" w:color="auto" w:fill="auto"/>
            <w:vAlign w:val="center"/>
          </w:tcPr>
          <w:p w14:paraId="7357CEAA"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w:t>
            </w:r>
          </w:p>
        </w:tc>
        <w:tc>
          <w:tcPr>
            <w:tcW w:w="814" w:type="pct"/>
            <w:tcBorders>
              <w:top w:val="nil"/>
              <w:left w:val="nil"/>
              <w:bottom w:val="single" w:sz="8" w:space="0" w:color="000000"/>
              <w:right w:val="single" w:sz="8" w:space="0" w:color="000000"/>
            </w:tcBorders>
            <w:shd w:val="clear" w:color="auto" w:fill="auto"/>
            <w:vAlign w:val="center"/>
          </w:tcPr>
          <w:p w14:paraId="0AA03D4E"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w:t>
            </w:r>
          </w:p>
        </w:tc>
      </w:tr>
      <w:tr w:rsidR="00CE1AED" w:rsidRPr="00042924" w14:paraId="06B0D4EB" w14:textId="77777777" w:rsidTr="00D91443">
        <w:trPr>
          <w:trHeight w:val="567"/>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3CCEB3FD" w14:textId="77777777" w:rsidR="00CE1AED" w:rsidRPr="00042924" w:rsidRDefault="00CE1AED" w:rsidP="001E5587">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Фінансовий результат від операційної діяльності, тис. грн.</w:t>
            </w:r>
          </w:p>
        </w:tc>
        <w:tc>
          <w:tcPr>
            <w:tcW w:w="962" w:type="pct"/>
            <w:tcBorders>
              <w:top w:val="nil"/>
              <w:left w:val="nil"/>
              <w:bottom w:val="single" w:sz="8" w:space="0" w:color="000000"/>
              <w:right w:val="single" w:sz="4" w:space="0" w:color="auto"/>
            </w:tcBorders>
            <w:shd w:val="clear" w:color="auto" w:fill="auto"/>
            <w:vAlign w:val="center"/>
            <w:hideMark/>
          </w:tcPr>
          <w:p w14:paraId="60DBCCB2"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-2750338</w:t>
            </w:r>
          </w:p>
        </w:tc>
        <w:tc>
          <w:tcPr>
            <w:tcW w:w="685" w:type="pct"/>
            <w:tcBorders>
              <w:top w:val="nil"/>
              <w:left w:val="single" w:sz="4" w:space="0" w:color="auto"/>
              <w:bottom w:val="single" w:sz="8" w:space="0" w:color="000000"/>
              <w:right w:val="single" w:sz="8" w:space="0" w:color="000000"/>
            </w:tcBorders>
            <w:shd w:val="clear" w:color="auto" w:fill="auto"/>
            <w:vAlign w:val="center"/>
            <w:hideMark/>
          </w:tcPr>
          <w:p w14:paraId="6B48B60F"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2066296</w:t>
            </w:r>
          </w:p>
        </w:tc>
        <w:tc>
          <w:tcPr>
            <w:tcW w:w="685" w:type="pct"/>
            <w:tcBorders>
              <w:top w:val="nil"/>
              <w:left w:val="nil"/>
              <w:bottom w:val="single" w:sz="8" w:space="0" w:color="000000"/>
              <w:right w:val="single" w:sz="8" w:space="0" w:color="000000"/>
            </w:tcBorders>
            <w:shd w:val="clear" w:color="auto" w:fill="auto"/>
            <w:vAlign w:val="center"/>
            <w:hideMark/>
          </w:tcPr>
          <w:p w14:paraId="5F7D3EC8"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31036335</w:t>
            </w:r>
          </w:p>
        </w:tc>
        <w:tc>
          <w:tcPr>
            <w:tcW w:w="814" w:type="pct"/>
            <w:tcBorders>
              <w:top w:val="nil"/>
              <w:left w:val="nil"/>
              <w:bottom w:val="single" w:sz="8" w:space="0" w:color="000000"/>
              <w:right w:val="single" w:sz="8" w:space="0" w:color="000000"/>
            </w:tcBorders>
            <w:shd w:val="clear" w:color="auto" w:fill="auto"/>
            <w:vAlign w:val="center"/>
            <w:hideMark/>
          </w:tcPr>
          <w:p w14:paraId="62DE56B2"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-14060397</w:t>
            </w:r>
          </w:p>
        </w:tc>
      </w:tr>
      <w:tr w:rsidR="00787572" w:rsidRPr="00042924" w14:paraId="0F2DA938" w14:textId="77777777" w:rsidTr="00787572">
        <w:trPr>
          <w:trHeight w:val="283"/>
        </w:trPr>
        <w:tc>
          <w:tcPr>
            <w:tcW w:w="5000" w:type="pct"/>
            <w:gridSpan w:val="5"/>
            <w:tcBorders>
              <w:top w:val="nil"/>
              <w:bottom w:val="single" w:sz="8" w:space="0" w:color="000000"/>
            </w:tcBorders>
            <w:shd w:val="clear" w:color="auto" w:fill="auto"/>
          </w:tcPr>
          <w:p w14:paraId="48E4DE36" w14:textId="77777777" w:rsidR="00787572" w:rsidRPr="002A43CD" w:rsidRDefault="00787572" w:rsidP="00F07B09">
            <w:pPr>
              <w:spacing w:after="0" w:line="240" w:lineRule="auto"/>
              <w:ind w:firstLine="284"/>
              <w:jc w:val="right"/>
              <w:rPr>
                <w:rFonts w:ascii="Times New Roman" w:eastAsia="Times New Roman" w:hAnsi="Times New Roman" w:cs="Times New Roman"/>
                <w:color w:val="000000"/>
                <w:kern w:val="0"/>
                <w:sz w:val="28"/>
                <w:szCs w:val="28"/>
                <w:lang w:val="uk-UA" w:eastAsia="uk-UA"/>
                <w14:ligatures w14:val="none"/>
              </w:rPr>
            </w:pPr>
            <w:r w:rsidRPr="002A43CD">
              <w:rPr>
                <w:rFonts w:ascii="Times New Roman" w:eastAsia="Times New Roman" w:hAnsi="Times New Roman" w:cs="Times New Roman"/>
                <w:color w:val="000000"/>
                <w:kern w:val="0"/>
                <w:sz w:val="28"/>
                <w:szCs w:val="28"/>
                <w:lang w:val="uk-UA" w:eastAsia="uk-UA"/>
                <w14:ligatures w14:val="none"/>
              </w:rPr>
              <w:lastRenderedPageBreak/>
              <w:t>Продовження таблиці 2.11</w:t>
            </w:r>
          </w:p>
        </w:tc>
      </w:tr>
      <w:tr w:rsidR="00787572" w:rsidRPr="00042924" w14:paraId="1054C748" w14:textId="77777777" w:rsidTr="006B27E7">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tcPr>
          <w:p w14:paraId="65C17686"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w:t>
            </w:r>
          </w:p>
        </w:tc>
        <w:tc>
          <w:tcPr>
            <w:tcW w:w="962" w:type="pct"/>
            <w:tcBorders>
              <w:top w:val="nil"/>
              <w:left w:val="nil"/>
              <w:bottom w:val="single" w:sz="8" w:space="0" w:color="000000"/>
              <w:right w:val="single" w:sz="4" w:space="0" w:color="auto"/>
            </w:tcBorders>
            <w:shd w:val="clear" w:color="auto" w:fill="auto"/>
            <w:vAlign w:val="center"/>
          </w:tcPr>
          <w:p w14:paraId="49ECE0D3"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w:t>
            </w:r>
          </w:p>
        </w:tc>
        <w:tc>
          <w:tcPr>
            <w:tcW w:w="685" w:type="pct"/>
            <w:tcBorders>
              <w:top w:val="nil"/>
              <w:left w:val="single" w:sz="4" w:space="0" w:color="auto"/>
              <w:bottom w:val="single" w:sz="8" w:space="0" w:color="000000"/>
              <w:right w:val="single" w:sz="8" w:space="0" w:color="000000"/>
            </w:tcBorders>
            <w:shd w:val="clear" w:color="auto" w:fill="auto"/>
            <w:vAlign w:val="center"/>
          </w:tcPr>
          <w:p w14:paraId="1F79D8F1"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w:t>
            </w:r>
          </w:p>
        </w:tc>
        <w:tc>
          <w:tcPr>
            <w:tcW w:w="685" w:type="pct"/>
            <w:tcBorders>
              <w:top w:val="nil"/>
              <w:left w:val="nil"/>
              <w:bottom w:val="single" w:sz="8" w:space="0" w:color="000000"/>
              <w:right w:val="single" w:sz="8" w:space="0" w:color="000000"/>
            </w:tcBorders>
            <w:shd w:val="clear" w:color="auto" w:fill="auto"/>
            <w:vAlign w:val="center"/>
          </w:tcPr>
          <w:p w14:paraId="20846AAC"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w:t>
            </w:r>
          </w:p>
        </w:tc>
        <w:tc>
          <w:tcPr>
            <w:tcW w:w="814" w:type="pct"/>
            <w:tcBorders>
              <w:top w:val="nil"/>
              <w:left w:val="nil"/>
              <w:bottom w:val="single" w:sz="8" w:space="0" w:color="000000"/>
              <w:right w:val="single" w:sz="8" w:space="0" w:color="000000"/>
            </w:tcBorders>
            <w:shd w:val="clear" w:color="auto" w:fill="auto"/>
            <w:vAlign w:val="center"/>
          </w:tcPr>
          <w:p w14:paraId="12FD0927" w14:textId="77777777" w:rsidR="00787572" w:rsidRPr="00042924" w:rsidRDefault="00787572" w:rsidP="00787572">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w:t>
            </w:r>
          </w:p>
        </w:tc>
      </w:tr>
      <w:tr w:rsidR="00CE1AED" w:rsidRPr="00042924" w14:paraId="7638BC0D"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1F6DCBC8" w14:textId="77777777" w:rsidR="00CE1AED" w:rsidRPr="00042924" w:rsidRDefault="00CE1AED" w:rsidP="001E5587">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Баланс, тис. грн.</w:t>
            </w:r>
          </w:p>
        </w:tc>
        <w:tc>
          <w:tcPr>
            <w:tcW w:w="962" w:type="pct"/>
            <w:tcBorders>
              <w:top w:val="nil"/>
              <w:left w:val="nil"/>
              <w:bottom w:val="single" w:sz="8" w:space="0" w:color="000000"/>
              <w:right w:val="single" w:sz="4" w:space="0" w:color="auto"/>
            </w:tcBorders>
            <w:shd w:val="clear" w:color="auto" w:fill="auto"/>
            <w:vAlign w:val="center"/>
            <w:hideMark/>
          </w:tcPr>
          <w:p w14:paraId="522F7B17"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97544421</w:t>
            </w:r>
          </w:p>
        </w:tc>
        <w:tc>
          <w:tcPr>
            <w:tcW w:w="685" w:type="pct"/>
            <w:tcBorders>
              <w:top w:val="nil"/>
              <w:left w:val="single" w:sz="4" w:space="0" w:color="auto"/>
              <w:bottom w:val="single" w:sz="8" w:space="0" w:color="000000"/>
              <w:right w:val="single" w:sz="8" w:space="0" w:color="000000"/>
            </w:tcBorders>
            <w:shd w:val="clear" w:color="auto" w:fill="auto"/>
            <w:vAlign w:val="center"/>
            <w:hideMark/>
          </w:tcPr>
          <w:p w14:paraId="02920D7B"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88349556</w:t>
            </w:r>
          </w:p>
        </w:tc>
        <w:tc>
          <w:tcPr>
            <w:tcW w:w="685" w:type="pct"/>
            <w:tcBorders>
              <w:top w:val="nil"/>
              <w:left w:val="nil"/>
              <w:bottom w:val="single" w:sz="8" w:space="0" w:color="000000"/>
              <w:right w:val="single" w:sz="8" w:space="0" w:color="000000"/>
            </w:tcBorders>
            <w:shd w:val="clear" w:color="auto" w:fill="auto"/>
            <w:vAlign w:val="center"/>
            <w:hideMark/>
          </w:tcPr>
          <w:p w14:paraId="381BDF48"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105800975</w:t>
            </w:r>
          </w:p>
        </w:tc>
        <w:tc>
          <w:tcPr>
            <w:tcW w:w="814" w:type="pct"/>
            <w:tcBorders>
              <w:top w:val="nil"/>
              <w:left w:val="nil"/>
              <w:bottom w:val="single" w:sz="8" w:space="0" w:color="000000"/>
              <w:right w:val="single" w:sz="8" w:space="0" w:color="000000"/>
            </w:tcBorders>
            <w:shd w:val="clear" w:color="auto" w:fill="auto"/>
            <w:vAlign w:val="center"/>
            <w:hideMark/>
          </w:tcPr>
          <w:p w14:paraId="20519E75"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52682761</w:t>
            </w:r>
          </w:p>
        </w:tc>
      </w:tr>
      <w:tr w:rsidR="00CE1AED" w:rsidRPr="00042924" w14:paraId="4720FE73"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79933ED9" w14:textId="77777777" w:rsidR="00CE1AED" w:rsidRPr="00042924" w:rsidRDefault="00CE1AED" w:rsidP="001E5587">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Оборотні активи, тис. грн.</w:t>
            </w:r>
          </w:p>
        </w:tc>
        <w:tc>
          <w:tcPr>
            <w:tcW w:w="962" w:type="pct"/>
            <w:tcBorders>
              <w:top w:val="nil"/>
              <w:left w:val="nil"/>
              <w:bottom w:val="single" w:sz="8" w:space="0" w:color="000000"/>
              <w:right w:val="single" w:sz="8" w:space="0" w:color="000000"/>
            </w:tcBorders>
            <w:shd w:val="clear" w:color="auto" w:fill="auto"/>
            <w:vAlign w:val="center"/>
            <w:hideMark/>
          </w:tcPr>
          <w:p w14:paraId="20DEFC0D"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36881636</w:t>
            </w:r>
          </w:p>
        </w:tc>
        <w:tc>
          <w:tcPr>
            <w:tcW w:w="685" w:type="pct"/>
            <w:tcBorders>
              <w:top w:val="nil"/>
              <w:left w:val="nil"/>
              <w:bottom w:val="single" w:sz="8" w:space="0" w:color="000000"/>
              <w:right w:val="single" w:sz="8" w:space="0" w:color="000000"/>
            </w:tcBorders>
            <w:shd w:val="clear" w:color="auto" w:fill="auto"/>
            <w:vAlign w:val="center"/>
            <w:hideMark/>
          </w:tcPr>
          <w:p w14:paraId="257843E2"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30045798</w:t>
            </w:r>
          </w:p>
        </w:tc>
        <w:tc>
          <w:tcPr>
            <w:tcW w:w="685" w:type="pct"/>
            <w:tcBorders>
              <w:top w:val="nil"/>
              <w:left w:val="nil"/>
              <w:bottom w:val="single" w:sz="8" w:space="0" w:color="000000"/>
              <w:right w:val="single" w:sz="8" w:space="0" w:color="000000"/>
            </w:tcBorders>
            <w:shd w:val="clear" w:color="auto" w:fill="auto"/>
            <w:vAlign w:val="center"/>
            <w:hideMark/>
          </w:tcPr>
          <w:p w14:paraId="11D101AE"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45613529</w:t>
            </w:r>
          </w:p>
        </w:tc>
        <w:tc>
          <w:tcPr>
            <w:tcW w:w="814" w:type="pct"/>
            <w:tcBorders>
              <w:top w:val="nil"/>
              <w:left w:val="nil"/>
              <w:bottom w:val="single" w:sz="8" w:space="0" w:color="000000"/>
              <w:right w:val="single" w:sz="8" w:space="0" w:color="000000"/>
            </w:tcBorders>
            <w:shd w:val="clear" w:color="auto" w:fill="auto"/>
            <w:vAlign w:val="center"/>
            <w:hideMark/>
          </w:tcPr>
          <w:p w14:paraId="1A3A3C1E"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29703419</w:t>
            </w:r>
          </w:p>
        </w:tc>
      </w:tr>
      <w:tr w:rsidR="00CE1AED" w:rsidRPr="00042924" w14:paraId="0FAE9FDA" w14:textId="77777777" w:rsidTr="00605FBF">
        <w:trPr>
          <w:trHeight w:val="283"/>
        </w:trPr>
        <w:tc>
          <w:tcPr>
            <w:tcW w:w="1854" w:type="pct"/>
            <w:tcBorders>
              <w:top w:val="single" w:sz="4" w:space="0" w:color="auto"/>
              <w:left w:val="single" w:sz="8" w:space="0" w:color="000000"/>
              <w:bottom w:val="nil"/>
              <w:right w:val="single" w:sz="8" w:space="0" w:color="000000"/>
            </w:tcBorders>
            <w:shd w:val="clear" w:color="auto" w:fill="auto"/>
            <w:vAlign w:val="center"/>
            <w:hideMark/>
          </w:tcPr>
          <w:p w14:paraId="57CE5A6B" w14:textId="77777777" w:rsidR="00CE1AED" w:rsidRPr="00042924" w:rsidRDefault="00CE1AED" w:rsidP="001E5587">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Поточні зобов’язання, тис. грн.</w:t>
            </w:r>
          </w:p>
        </w:tc>
        <w:tc>
          <w:tcPr>
            <w:tcW w:w="962" w:type="pct"/>
            <w:tcBorders>
              <w:top w:val="single" w:sz="4" w:space="0" w:color="auto"/>
              <w:left w:val="nil"/>
              <w:bottom w:val="nil"/>
              <w:right w:val="single" w:sz="8" w:space="0" w:color="000000"/>
            </w:tcBorders>
            <w:shd w:val="clear" w:color="auto" w:fill="auto"/>
            <w:vAlign w:val="center"/>
            <w:hideMark/>
          </w:tcPr>
          <w:p w14:paraId="226F9024"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26771781</w:t>
            </w:r>
          </w:p>
        </w:tc>
        <w:tc>
          <w:tcPr>
            <w:tcW w:w="685" w:type="pct"/>
            <w:tcBorders>
              <w:top w:val="single" w:sz="4" w:space="0" w:color="auto"/>
              <w:left w:val="nil"/>
              <w:bottom w:val="single" w:sz="8" w:space="0" w:color="auto"/>
              <w:right w:val="single" w:sz="8" w:space="0" w:color="auto"/>
            </w:tcBorders>
            <w:shd w:val="clear" w:color="auto" w:fill="auto"/>
            <w:vAlign w:val="center"/>
            <w:hideMark/>
          </w:tcPr>
          <w:p w14:paraId="2CF983AE"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17865684</w:t>
            </w:r>
          </w:p>
        </w:tc>
        <w:tc>
          <w:tcPr>
            <w:tcW w:w="685" w:type="pct"/>
            <w:tcBorders>
              <w:top w:val="single" w:sz="4" w:space="0" w:color="auto"/>
              <w:left w:val="nil"/>
              <w:bottom w:val="single" w:sz="8" w:space="0" w:color="auto"/>
              <w:right w:val="single" w:sz="8" w:space="0" w:color="auto"/>
            </w:tcBorders>
            <w:shd w:val="clear" w:color="auto" w:fill="auto"/>
            <w:vAlign w:val="center"/>
            <w:hideMark/>
          </w:tcPr>
          <w:p w14:paraId="7B3D7270"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21889735</w:t>
            </w:r>
          </w:p>
        </w:tc>
        <w:tc>
          <w:tcPr>
            <w:tcW w:w="814" w:type="pct"/>
            <w:tcBorders>
              <w:top w:val="single" w:sz="4" w:space="0" w:color="auto"/>
              <w:left w:val="nil"/>
              <w:bottom w:val="single" w:sz="8" w:space="0" w:color="auto"/>
              <w:right w:val="single" w:sz="8" w:space="0" w:color="auto"/>
            </w:tcBorders>
            <w:shd w:val="clear" w:color="auto" w:fill="auto"/>
            <w:vAlign w:val="center"/>
            <w:hideMark/>
          </w:tcPr>
          <w:p w14:paraId="7F5C36C8"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18423468</w:t>
            </w:r>
          </w:p>
        </w:tc>
      </w:tr>
      <w:tr w:rsidR="00CE1AED" w:rsidRPr="00042924" w14:paraId="38DED92C" w14:textId="77777777" w:rsidTr="00605FBF">
        <w:trPr>
          <w:trHeight w:val="283"/>
        </w:trPr>
        <w:tc>
          <w:tcPr>
            <w:tcW w:w="185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73826" w14:textId="77777777" w:rsidR="00CE1AED" w:rsidRPr="00042924" w:rsidRDefault="00CE1AED" w:rsidP="001E5587">
            <w:pPr>
              <w:spacing w:after="0" w:line="240" w:lineRule="auto"/>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 Валовий прибуток (збиток), тис. грн.</w:t>
            </w:r>
          </w:p>
        </w:tc>
        <w:tc>
          <w:tcPr>
            <w:tcW w:w="962" w:type="pct"/>
            <w:tcBorders>
              <w:top w:val="single" w:sz="8" w:space="0" w:color="auto"/>
              <w:left w:val="nil"/>
              <w:bottom w:val="single" w:sz="8" w:space="0" w:color="auto"/>
              <w:right w:val="single" w:sz="8" w:space="0" w:color="auto"/>
            </w:tcBorders>
            <w:shd w:val="clear" w:color="auto" w:fill="auto"/>
            <w:noWrap/>
            <w:vAlign w:val="center"/>
            <w:hideMark/>
          </w:tcPr>
          <w:p w14:paraId="1671EE5C"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1 093 902</w:t>
            </w:r>
          </w:p>
        </w:tc>
        <w:tc>
          <w:tcPr>
            <w:tcW w:w="685" w:type="pct"/>
            <w:tcBorders>
              <w:top w:val="nil"/>
              <w:left w:val="nil"/>
              <w:bottom w:val="single" w:sz="8" w:space="0" w:color="auto"/>
              <w:right w:val="single" w:sz="8" w:space="0" w:color="auto"/>
            </w:tcBorders>
            <w:shd w:val="clear" w:color="auto" w:fill="auto"/>
            <w:noWrap/>
            <w:vAlign w:val="center"/>
            <w:hideMark/>
          </w:tcPr>
          <w:p w14:paraId="2BD2101F"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4 651 154</w:t>
            </w:r>
          </w:p>
        </w:tc>
        <w:tc>
          <w:tcPr>
            <w:tcW w:w="685" w:type="pct"/>
            <w:tcBorders>
              <w:top w:val="nil"/>
              <w:left w:val="nil"/>
              <w:bottom w:val="single" w:sz="8" w:space="0" w:color="auto"/>
              <w:right w:val="single" w:sz="8" w:space="0" w:color="auto"/>
            </w:tcBorders>
            <w:shd w:val="clear" w:color="auto" w:fill="auto"/>
            <w:vAlign w:val="center"/>
            <w:hideMark/>
          </w:tcPr>
          <w:p w14:paraId="34C140CA"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12011311</w:t>
            </w:r>
          </w:p>
        </w:tc>
        <w:tc>
          <w:tcPr>
            <w:tcW w:w="814" w:type="pct"/>
            <w:tcBorders>
              <w:top w:val="nil"/>
              <w:left w:val="nil"/>
              <w:bottom w:val="single" w:sz="8" w:space="0" w:color="auto"/>
              <w:right w:val="single" w:sz="8" w:space="0" w:color="auto"/>
            </w:tcBorders>
            <w:shd w:val="clear" w:color="auto" w:fill="auto"/>
            <w:vAlign w:val="center"/>
            <w:hideMark/>
          </w:tcPr>
          <w:p w14:paraId="74DF62D1"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34741851</w:t>
            </w:r>
          </w:p>
        </w:tc>
      </w:tr>
      <w:tr w:rsidR="00CE1AED" w:rsidRPr="00042924" w14:paraId="673E692F" w14:textId="77777777" w:rsidTr="00605FBF">
        <w:trPr>
          <w:trHeight w:val="283"/>
        </w:trPr>
        <w:tc>
          <w:tcPr>
            <w:tcW w:w="5000" w:type="pct"/>
            <w:gridSpan w:val="5"/>
            <w:tcBorders>
              <w:top w:val="nil"/>
              <w:left w:val="single" w:sz="8" w:space="0" w:color="000000"/>
              <w:bottom w:val="single" w:sz="8" w:space="0" w:color="000000"/>
              <w:right w:val="single" w:sz="8" w:space="0" w:color="000000"/>
            </w:tcBorders>
            <w:shd w:val="clear" w:color="auto" w:fill="auto"/>
            <w:vAlign w:val="center"/>
            <w:hideMark/>
          </w:tcPr>
          <w:p w14:paraId="583E4087"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 моделі:</w:t>
            </w:r>
          </w:p>
        </w:tc>
      </w:tr>
      <w:tr w:rsidR="00CE1AED" w:rsidRPr="00042924" w14:paraId="62425C2C"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605630B9"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1 / п. 2)</w:t>
            </w:r>
          </w:p>
        </w:tc>
        <w:tc>
          <w:tcPr>
            <w:tcW w:w="962" w:type="pct"/>
            <w:tcBorders>
              <w:top w:val="nil"/>
              <w:left w:val="nil"/>
              <w:bottom w:val="single" w:sz="8" w:space="0" w:color="000000"/>
              <w:right w:val="single" w:sz="8" w:space="0" w:color="000000"/>
            </w:tcBorders>
            <w:shd w:val="clear" w:color="auto" w:fill="auto"/>
            <w:vAlign w:val="center"/>
            <w:hideMark/>
          </w:tcPr>
          <w:p w14:paraId="659824B0"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-0,03</w:t>
            </w:r>
          </w:p>
        </w:tc>
        <w:tc>
          <w:tcPr>
            <w:tcW w:w="685" w:type="pct"/>
            <w:tcBorders>
              <w:top w:val="nil"/>
              <w:left w:val="nil"/>
              <w:bottom w:val="single" w:sz="8" w:space="0" w:color="000000"/>
              <w:right w:val="single" w:sz="8" w:space="0" w:color="000000"/>
            </w:tcBorders>
            <w:shd w:val="clear" w:color="auto" w:fill="auto"/>
            <w:vAlign w:val="center"/>
            <w:hideMark/>
          </w:tcPr>
          <w:p w14:paraId="18C45AF7"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0,02</w:t>
            </w:r>
          </w:p>
        </w:tc>
        <w:tc>
          <w:tcPr>
            <w:tcW w:w="685" w:type="pct"/>
            <w:tcBorders>
              <w:top w:val="nil"/>
              <w:left w:val="nil"/>
              <w:bottom w:val="single" w:sz="8" w:space="0" w:color="000000"/>
              <w:right w:val="single" w:sz="8" w:space="0" w:color="000000"/>
            </w:tcBorders>
            <w:shd w:val="clear" w:color="auto" w:fill="auto"/>
            <w:vAlign w:val="center"/>
            <w:hideMark/>
          </w:tcPr>
          <w:p w14:paraId="3FE28634"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0,29</w:t>
            </w:r>
          </w:p>
        </w:tc>
        <w:tc>
          <w:tcPr>
            <w:tcW w:w="814" w:type="pct"/>
            <w:tcBorders>
              <w:top w:val="nil"/>
              <w:left w:val="nil"/>
              <w:bottom w:val="single" w:sz="8" w:space="0" w:color="000000"/>
              <w:right w:val="single" w:sz="8" w:space="0" w:color="000000"/>
            </w:tcBorders>
            <w:shd w:val="clear" w:color="auto" w:fill="auto"/>
            <w:vAlign w:val="center"/>
            <w:hideMark/>
          </w:tcPr>
          <w:p w14:paraId="704355E0"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-0,27</w:t>
            </w:r>
          </w:p>
        </w:tc>
      </w:tr>
      <w:tr w:rsidR="00CE1AED" w:rsidRPr="00042924" w14:paraId="77100A83"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26D6F01C"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3 / п. 2)</w:t>
            </w:r>
          </w:p>
        </w:tc>
        <w:tc>
          <w:tcPr>
            <w:tcW w:w="962" w:type="pct"/>
            <w:tcBorders>
              <w:top w:val="nil"/>
              <w:left w:val="nil"/>
              <w:bottom w:val="single" w:sz="8" w:space="0" w:color="000000"/>
              <w:right w:val="single" w:sz="8" w:space="0" w:color="000000"/>
            </w:tcBorders>
            <w:shd w:val="clear" w:color="auto" w:fill="auto"/>
            <w:vAlign w:val="center"/>
            <w:hideMark/>
          </w:tcPr>
          <w:p w14:paraId="1EC619C5"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0,38</w:t>
            </w:r>
          </w:p>
        </w:tc>
        <w:tc>
          <w:tcPr>
            <w:tcW w:w="685" w:type="pct"/>
            <w:tcBorders>
              <w:top w:val="nil"/>
              <w:left w:val="nil"/>
              <w:bottom w:val="single" w:sz="8" w:space="0" w:color="000000"/>
              <w:right w:val="single" w:sz="8" w:space="0" w:color="000000"/>
            </w:tcBorders>
            <w:shd w:val="clear" w:color="auto" w:fill="auto"/>
            <w:vAlign w:val="center"/>
            <w:hideMark/>
          </w:tcPr>
          <w:p w14:paraId="30D76BDD"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0,34</w:t>
            </w:r>
          </w:p>
        </w:tc>
        <w:tc>
          <w:tcPr>
            <w:tcW w:w="685" w:type="pct"/>
            <w:tcBorders>
              <w:top w:val="nil"/>
              <w:left w:val="nil"/>
              <w:bottom w:val="single" w:sz="8" w:space="0" w:color="000000"/>
              <w:right w:val="single" w:sz="8" w:space="0" w:color="000000"/>
            </w:tcBorders>
            <w:shd w:val="clear" w:color="auto" w:fill="auto"/>
            <w:vAlign w:val="center"/>
            <w:hideMark/>
          </w:tcPr>
          <w:p w14:paraId="5351DA32"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0,43</w:t>
            </w:r>
          </w:p>
        </w:tc>
        <w:tc>
          <w:tcPr>
            <w:tcW w:w="814" w:type="pct"/>
            <w:tcBorders>
              <w:top w:val="nil"/>
              <w:left w:val="nil"/>
              <w:bottom w:val="single" w:sz="8" w:space="0" w:color="000000"/>
              <w:right w:val="single" w:sz="8" w:space="0" w:color="000000"/>
            </w:tcBorders>
            <w:shd w:val="clear" w:color="auto" w:fill="auto"/>
            <w:vAlign w:val="center"/>
            <w:hideMark/>
          </w:tcPr>
          <w:p w14:paraId="062C9300"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0,56</w:t>
            </w:r>
          </w:p>
        </w:tc>
      </w:tr>
      <w:tr w:rsidR="00CE1AED" w:rsidRPr="00042924" w14:paraId="79A7B4A0"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3D70478A"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4 / п. 2)</w:t>
            </w:r>
          </w:p>
        </w:tc>
        <w:tc>
          <w:tcPr>
            <w:tcW w:w="962" w:type="pct"/>
            <w:tcBorders>
              <w:top w:val="nil"/>
              <w:left w:val="nil"/>
              <w:bottom w:val="single" w:sz="8" w:space="0" w:color="000000"/>
              <w:right w:val="single" w:sz="8" w:space="0" w:color="000000"/>
            </w:tcBorders>
            <w:shd w:val="clear" w:color="auto" w:fill="auto"/>
            <w:vAlign w:val="center"/>
            <w:hideMark/>
          </w:tcPr>
          <w:p w14:paraId="17754E08"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0,27</w:t>
            </w:r>
          </w:p>
        </w:tc>
        <w:tc>
          <w:tcPr>
            <w:tcW w:w="685" w:type="pct"/>
            <w:tcBorders>
              <w:top w:val="nil"/>
              <w:left w:val="nil"/>
              <w:bottom w:val="single" w:sz="8" w:space="0" w:color="000000"/>
              <w:right w:val="single" w:sz="8" w:space="0" w:color="000000"/>
            </w:tcBorders>
            <w:shd w:val="clear" w:color="auto" w:fill="auto"/>
            <w:vAlign w:val="center"/>
            <w:hideMark/>
          </w:tcPr>
          <w:p w14:paraId="0A3F34AB"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0,20</w:t>
            </w:r>
          </w:p>
        </w:tc>
        <w:tc>
          <w:tcPr>
            <w:tcW w:w="685" w:type="pct"/>
            <w:tcBorders>
              <w:top w:val="nil"/>
              <w:left w:val="nil"/>
              <w:bottom w:val="single" w:sz="8" w:space="0" w:color="000000"/>
              <w:right w:val="single" w:sz="8" w:space="0" w:color="000000"/>
            </w:tcBorders>
            <w:shd w:val="clear" w:color="auto" w:fill="auto"/>
            <w:vAlign w:val="center"/>
            <w:hideMark/>
          </w:tcPr>
          <w:p w14:paraId="35D43A98"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0,21</w:t>
            </w:r>
          </w:p>
        </w:tc>
        <w:tc>
          <w:tcPr>
            <w:tcW w:w="814" w:type="pct"/>
            <w:tcBorders>
              <w:top w:val="nil"/>
              <w:left w:val="nil"/>
              <w:bottom w:val="single" w:sz="8" w:space="0" w:color="000000"/>
              <w:right w:val="single" w:sz="8" w:space="0" w:color="000000"/>
            </w:tcBorders>
            <w:shd w:val="clear" w:color="auto" w:fill="auto"/>
            <w:vAlign w:val="center"/>
            <w:hideMark/>
          </w:tcPr>
          <w:p w14:paraId="29D8B515"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0,35</w:t>
            </w:r>
          </w:p>
        </w:tc>
      </w:tr>
      <w:tr w:rsidR="00CE1AED" w:rsidRPr="00042924" w14:paraId="01229B6F"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31C961B3"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К2 (п. 5 / п. 2)</w:t>
            </w:r>
          </w:p>
        </w:tc>
        <w:tc>
          <w:tcPr>
            <w:tcW w:w="962" w:type="pct"/>
            <w:tcBorders>
              <w:top w:val="nil"/>
              <w:left w:val="nil"/>
              <w:bottom w:val="single" w:sz="8" w:space="0" w:color="000000"/>
              <w:right w:val="single" w:sz="8" w:space="0" w:color="000000"/>
            </w:tcBorders>
            <w:shd w:val="clear" w:color="auto" w:fill="auto"/>
            <w:vAlign w:val="center"/>
            <w:hideMark/>
          </w:tcPr>
          <w:p w14:paraId="15B5E85F"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0,01</w:t>
            </w:r>
          </w:p>
        </w:tc>
        <w:tc>
          <w:tcPr>
            <w:tcW w:w="685" w:type="pct"/>
            <w:tcBorders>
              <w:top w:val="nil"/>
              <w:left w:val="nil"/>
              <w:bottom w:val="single" w:sz="8" w:space="0" w:color="000000"/>
              <w:right w:val="single" w:sz="8" w:space="0" w:color="000000"/>
            </w:tcBorders>
            <w:shd w:val="clear" w:color="auto" w:fill="auto"/>
            <w:vAlign w:val="center"/>
            <w:hideMark/>
          </w:tcPr>
          <w:p w14:paraId="7EA03DE7"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0,05</w:t>
            </w:r>
          </w:p>
        </w:tc>
        <w:tc>
          <w:tcPr>
            <w:tcW w:w="685" w:type="pct"/>
            <w:tcBorders>
              <w:top w:val="nil"/>
              <w:left w:val="nil"/>
              <w:bottom w:val="single" w:sz="8" w:space="0" w:color="000000"/>
              <w:right w:val="single" w:sz="8" w:space="0" w:color="000000"/>
            </w:tcBorders>
            <w:shd w:val="clear" w:color="auto" w:fill="auto"/>
            <w:vAlign w:val="center"/>
            <w:hideMark/>
          </w:tcPr>
          <w:p w14:paraId="6473CC5D"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0,11</w:t>
            </w:r>
          </w:p>
        </w:tc>
        <w:tc>
          <w:tcPr>
            <w:tcW w:w="814" w:type="pct"/>
            <w:tcBorders>
              <w:top w:val="nil"/>
              <w:left w:val="nil"/>
              <w:bottom w:val="single" w:sz="8" w:space="0" w:color="000000"/>
              <w:right w:val="single" w:sz="8" w:space="0" w:color="000000"/>
            </w:tcBorders>
            <w:shd w:val="clear" w:color="auto" w:fill="auto"/>
            <w:vAlign w:val="center"/>
            <w:hideMark/>
          </w:tcPr>
          <w:p w14:paraId="4973F8F5"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0,66</w:t>
            </w:r>
          </w:p>
        </w:tc>
      </w:tr>
      <w:tr w:rsidR="00CE1AED" w:rsidRPr="00042924" w14:paraId="669E8C0A" w14:textId="77777777" w:rsidTr="00605FBF">
        <w:trPr>
          <w:trHeight w:val="283"/>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B1AF4B"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Підсумковий показник моделі:</w:t>
            </w:r>
          </w:p>
        </w:tc>
      </w:tr>
      <w:tr w:rsidR="00CE1AED" w:rsidRPr="00042924" w14:paraId="2217D006"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6B6F3F06"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Z=0,53K1 + 0,13K2 + 0,18K3 + 0,16K4</w:t>
            </w:r>
          </w:p>
        </w:tc>
        <w:tc>
          <w:tcPr>
            <w:tcW w:w="962" w:type="pct"/>
            <w:tcBorders>
              <w:top w:val="nil"/>
              <w:left w:val="nil"/>
              <w:bottom w:val="single" w:sz="8" w:space="0" w:color="000000"/>
              <w:right w:val="single" w:sz="8" w:space="0" w:color="000000"/>
            </w:tcBorders>
            <w:shd w:val="clear" w:color="auto" w:fill="auto"/>
            <w:vAlign w:val="center"/>
            <w:hideMark/>
          </w:tcPr>
          <w:p w14:paraId="25D1B42E"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0,09</w:t>
            </w:r>
          </w:p>
        </w:tc>
        <w:tc>
          <w:tcPr>
            <w:tcW w:w="685" w:type="pct"/>
            <w:tcBorders>
              <w:top w:val="nil"/>
              <w:left w:val="nil"/>
              <w:bottom w:val="single" w:sz="8" w:space="0" w:color="000000"/>
              <w:right w:val="single" w:sz="8" w:space="0" w:color="000000"/>
            </w:tcBorders>
            <w:shd w:val="clear" w:color="auto" w:fill="auto"/>
            <w:vAlign w:val="center"/>
            <w:hideMark/>
          </w:tcPr>
          <w:p w14:paraId="78FA0ADF"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0,10</w:t>
            </w:r>
          </w:p>
        </w:tc>
        <w:tc>
          <w:tcPr>
            <w:tcW w:w="685" w:type="pct"/>
            <w:tcBorders>
              <w:top w:val="nil"/>
              <w:left w:val="nil"/>
              <w:bottom w:val="single" w:sz="8" w:space="0" w:color="000000"/>
              <w:right w:val="single" w:sz="8" w:space="0" w:color="000000"/>
            </w:tcBorders>
            <w:shd w:val="clear" w:color="auto" w:fill="auto"/>
            <w:vAlign w:val="center"/>
            <w:hideMark/>
          </w:tcPr>
          <w:p w14:paraId="2B7FF5C3"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0,27</w:t>
            </w:r>
          </w:p>
        </w:tc>
        <w:tc>
          <w:tcPr>
            <w:tcW w:w="814" w:type="pct"/>
            <w:tcBorders>
              <w:top w:val="nil"/>
              <w:left w:val="nil"/>
              <w:bottom w:val="single" w:sz="8" w:space="0" w:color="000000"/>
              <w:right w:val="single" w:sz="8" w:space="0" w:color="000000"/>
            </w:tcBorders>
            <w:shd w:val="clear" w:color="auto" w:fill="auto"/>
            <w:vAlign w:val="center"/>
            <w:hideMark/>
          </w:tcPr>
          <w:p w14:paraId="67041147"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0,10</w:t>
            </w:r>
          </w:p>
        </w:tc>
      </w:tr>
      <w:tr w:rsidR="00CE1AED" w:rsidRPr="00042924" w14:paraId="50A94908" w14:textId="77777777" w:rsidTr="00605FBF">
        <w:trPr>
          <w:trHeight w:val="283"/>
        </w:trPr>
        <w:tc>
          <w:tcPr>
            <w:tcW w:w="1854" w:type="pct"/>
            <w:tcBorders>
              <w:top w:val="nil"/>
              <w:left w:val="single" w:sz="8" w:space="0" w:color="000000"/>
              <w:bottom w:val="single" w:sz="8" w:space="0" w:color="000000"/>
              <w:right w:val="single" w:sz="8" w:space="0" w:color="000000"/>
            </w:tcBorders>
            <w:shd w:val="clear" w:color="auto" w:fill="auto"/>
            <w:vAlign w:val="center"/>
            <w:hideMark/>
          </w:tcPr>
          <w:p w14:paraId="069439FE"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Інтерпретація показника Z</w:t>
            </w:r>
          </w:p>
        </w:tc>
        <w:tc>
          <w:tcPr>
            <w:tcW w:w="962" w:type="pct"/>
            <w:tcBorders>
              <w:top w:val="nil"/>
              <w:left w:val="nil"/>
              <w:bottom w:val="single" w:sz="8" w:space="0" w:color="auto"/>
              <w:right w:val="single" w:sz="8" w:space="0" w:color="auto"/>
            </w:tcBorders>
            <w:shd w:val="clear" w:color="auto" w:fill="auto"/>
            <w:vAlign w:val="center"/>
            <w:hideMark/>
          </w:tcPr>
          <w:p w14:paraId="7F818782"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Висока</w:t>
            </w:r>
          </w:p>
        </w:tc>
        <w:tc>
          <w:tcPr>
            <w:tcW w:w="685" w:type="pct"/>
            <w:tcBorders>
              <w:top w:val="nil"/>
              <w:left w:val="nil"/>
              <w:bottom w:val="single" w:sz="8" w:space="0" w:color="auto"/>
              <w:right w:val="single" w:sz="8" w:space="0" w:color="auto"/>
            </w:tcBorders>
            <w:shd w:val="clear" w:color="auto" w:fill="auto"/>
            <w:vAlign w:val="center"/>
            <w:hideMark/>
          </w:tcPr>
          <w:p w14:paraId="273875F2"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Висока</w:t>
            </w:r>
          </w:p>
        </w:tc>
        <w:tc>
          <w:tcPr>
            <w:tcW w:w="685" w:type="pct"/>
            <w:tcBorders>
              <w:top w:val="nil"/>
              <w:left w:val="nil"/>
              <w:bottom w:val="single" w:sz="8" w:space="0" w:color="auto"/>
              <w:right w:val="single" w:sz="8" w:space="0" w:color="auto"/>
            </w:tcBorders>
            <w:shd w:val="clear" w:color="auto" w:fill="auto"/>
            <w:vAlign w:val="center"/>
            <w:hideMark/>
          </w:tcPr>
          <w:p w14:paraId="3C119829"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Низька</w:t>
            </w:r>
          </w:p>
        </w:tc>
        <w:tc>
          <w:tcPr>
            <w:tcW w:w="814" w:type="pct"/>
            <w:tcBorders>
              <w:top w:val="nil"/>
              <w:left w:val="nil"/>
              <w:bottom w:val="single" w:sz="8" w:space="0" w:color="000000"/>
              <w:right w:val="single" w:sz="8" w:space="0" w:color="000000"/>
            </w:tcBorders>
            <w:shd w:val="clear" w:color="auto" w:fill="auto"/>
            <w:vAlign w:val="center"/>
            <w:hideMark/>
          </w:tcPr>
          <w:p w14:paraId="0A072F2B" w14:textId="77777777" w:rsidR="00CE1AED" w:rsidRPr="00042924" w:rsidRDefault="00CE1AED" w:rsidP="001E5587">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Висока</w:t>
            </w:r>
          </w:p>
        </w:tc>
      </w:tr>
    </w:tbl>
    <w:p w14:paraId="09638B88" w14:textId="77777777" w:rsidR="00CE1AED" w:rsidRPr="00042924" w:rsidRDefault="001C613D" w:rsidP="001C613D">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0318AA" w:rsidRPr="00E32FFC">
        <w:rPr>
          <w:rFonts w:ascii="Times New Roman" w:hAnsi="Times New Roman" w:cs="Times New Roman"/>
          <w:sz w:val="28"/>
          <w:szCs w:val="28"/>
          <w:lang w:val="uk-UA"/>
        </w:rPr>
        <w:t>складено автором на основі</w:t>
      </w:r>
      <w:r w:rsidR="00F90A12" w:rsidRPr="00042924">
        <w:rPr>
          <w:rFonts w:ascii="Times New Roman" w:eastAsia="Times New Roman" w:hAnsi="Times New Roman" w:cs="Times New Roman"/>
          <w:sz w:val="28"/>
          <w:szCs w:val="28"/>
          <w:lang w:val="uk-UA"/>
        </w:rPr>
        <w:t xml:space="preserve"> [33]</w:t>
      </w:r>
    </w:p>
    <w:p w14:paraId="4AEC88CB" w14:textId="77777777" w:rsidR="001C613D" w:rsidRPr="00042924" w:rsidRDefault="001C613D" w:rsidP="00CE1AED">
      <w:pPr>
        <w:spacing w:after="0" w:line="240" w:lineRule="auto"/>
        <w:ind w:firstLine="709"/>
        <w:jc w:val="both"/>
        <w:rPr>
          <w:rFonts w:ascii="Times New Roman" w:eastAsia="Times New Roman" w:hAnsi="Times New Roman" w:cs="Times New Roman"/>
          <w:sz w:val="28"/>
          <w:szCs w:val="28"/>
          <w:lang w:val="uk-UA"/>
        </w:rPr>
      </w:pPr>
    </w:p>
    <w:p w14:paraId="6F48A9E9" w14:textId="77777777" w:rsidR="00834BFB" w:rsidRPr="00042924" w:rsidRDefault="00834BFB" w:rsidP="00834BFB">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Результати розрахунку </w:t>
      </w:r>
      <w:r w:rsidR="00453A51" w:rsidRPr="00042924">
        <w:rPr>
          <w:rFonts w:ascii="Times New Roman" w:eastAsia="Times New Roman" w:hAnsi="Times New Roman" w:cs="Times New Roman"/>
          <w:sz w:val="28"/>
          <w:szCs w:val="28"/>
          <w:lang w:val="uk-UA"/>
        </w:rPr>
        <w:t xml:space="preserve">інтегрального показника Z </w:t>
      </w:r>
      <w:r w:rsidRPr="00042924">
        <w:rPr>
          <w:rFonts w:ascii="Times New Roman" w:eastAsia="Times New Roman" w:hAnsi="Times New Roman" w:cs="Times New Roman"/>
          <w:sz w:val="28"/>
          <w:szCs w:val="28"/>
          <w:lang w:val="uk-UA"/>
        </w:rPr>
        <w:t xml:space="preserve">за моделлю Таффлера свідчать, що у 2019, 2020 та 2022 роках спостерігалася висока ймовірність банкрутства компанії, </w:t>
      </w:r>
      <w:r w:rsidR="00EB2958" w:rsidRPr="00042924">
        <w:rPr>
          <w:rFonts w:ascii="Times New Roman" w:eastAsia="Times New Roman" w:hAnsi="Times New Roman" w:cs="Times New Roman"/>
          <w:sz w:val="28"/>
          <w:szCs w:val="28"/>
          <w:lang w:val="uk-UA"/>
        </w:rPr>
        <w:t>тоді як у 2021 році вона була порівняно низькою</w:t>
      </w:r>
      <w:r w:rsidRPr="00042924">
        <w:rPr>
          <w:rFonts w:ascii="Times New Roman" w:eastAsia="Times New Roman" w:hAnsi="Times New Roman" w:cs="Times New Roman"/>
          <w:sz w:val="28"/>
          <w:szCs w:val="28"/>
          <w:lang w:val="uk-UA"/>
        </w:rPr>
        <w:t>. Отже, ця модель також підтверджує нестабільний фінансовий стан підприємства та значні ризики банкрутства в окремі періоди.</w:t>
      </w:r>
    </w:p>
    <w:p w14:paraId="51AB4B80" w14:textId="77777777" w:rsidR="001C613D" w:rsidRPr="00042924" w:rsidRDefault="00834BFB" w:rsidP="00834BFB">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Четвертою обрана американська R-модель Р. Ліса, </w:t>
      </w:r>
      <w:r w:rsidR="0021550E" w:rsidRPr="00042924">
        <w:rPr>
          <w:rFonts w:ascii="Times New Roman" w:eastAsia="Times New Roman" w:hAnsi="Times New Roman" w:cs="Times New Roman"/>
          <w:sz w:val="28"/>
          <w:szCs w:val="28"/>
          <w:lang w:val="uk-UA"/>
        </w:rPr>
        <w:t>яка базується на чотирьох фінансових показниках – коефіцієнтах ліквідності, рентабельності та структури капіталу</w:t>
      </w:r>
      <w:r w:rsidRPr="00042924">
        <w:rPr>
          <w:rFonts w:ascii="Times New Roman" w:eastAsia="Times New Roman" w:hAnsi="Times New Roman" w:cs="Times New Roman"/>
          <w:sz w:val="28"/>
          <w:szCs w:val="28"/>
          <w:lang w:val="uk-UA"/>
        </w:rPr>
        <w:t xml:space="preserve">. </w:t>
      </w:r>
      <w:r w:rsidR="00865803" w:rsidRPr="00042924">
        <w:rPr>
          <w:rFonts w:ascii="Times New Roman" w:eastAsia="Times New Roman" w:hAnsi="Times New Roman" w:cs="Times New Roman"/>
          <w:sz w:val="28"/>
          <w:szCs w:val="28"/>
          <w:lang w:val="uk-UA"/>
        </w:rPr>
        <w:t>Модель Р. Ліса дозволяє оцінити спроможність компанії розрахуватися за своїми зобов’язаннями найближчим часом, тобто її ліквідність і платоспроможність. Розрахунок відповідних коефіцієнтів</w:t>
      </w:r>
      <w:r w:rsidRPr="00042924">
        <w:rPr>
          <w:rFonts w:ascii="Times New Roman" w:eastAsia="Times New Roman" w:hAnsi="Times New Roman" w:cs="Times New Roman"/>
          <w:sz w:val="28"/>
          <w:szCs w:val="28"/>
          <w:lang w:val="uk-UA"/>
        </w:rPr>
        <w:t xml:space="preserve"> наведен</w:t>
      </w:r>
      <w:r w:rsidR="00865803" w:rsidRPr="00042924">
        <w:rPr>
          <w:rFonts w:ascii="Times New Roman" w:eastAsia="Times New Roman" w:hAnsi="Times New Roman" w:cs="Times New Roman"/>
          <w:sz w:val="28"/>
          <w:szCs w:val="28"/>
          <w:lang w:val="uk-UA"/>
        </w:rPr>
        <w:t>о</w:t>
      </w:r>
      <w:r w:rsidRPr="00042924">
        <w:rPr>
          <w:rFonts w:ascii="Times New Roman" w:eastAsia="Times New Roman" w:hAnsi="Times New Roman" w:cs="Times New Roman"/>
          <w:sz w:val="28"/>
          <w:szCs w:val="28"/>
          <w:lang w:val="uk-UA"/>
        </w:rPr>
        <w:t xml:space="preserve"> в таблиці 2.1</w:t>
      </w:r>
      <w:r w:rsidR="004D1828" w:rsidRPr="00042924">
        <w:rPr>
          <w:rFonts w:ascii="Times New Roman" w:eastAsia="Times New Roman" w:hAnsi="Times New Roman" w:cs="Times New Roman"/>
          <w:sz w:val="28"/>
          <w:szCs w:val="28"/>
          <w:lang w:val="uk-UA"/>
        </w:rPr>
        <w:t>2</w:t>
      </w:r>
      <w:r w:rsidRPr="00042924">
        <w:rPr>
          <w:rFonts w:ascii="Times New Roman" w:eastAsia="Times New Roman" w:hAnsi="Times New Roman" w:cs="Times New Roman"/>
          <w:sz w:val="28"/>
          <w:szCs w:val="28"/>
          <w:lang w:val="uk-UA"/>
        </w:rPr>
        <w:t>.</w:t>
      </w:r>
    </w:p>
    <w:p w14:paraId="337C5115" w14:textId="77777777" w:rsidR="00834BFB" w:rsidRPr="00042924" w:rsidRDefault="00834BFB" w:rsidP="00834BFB">
      <w:pPr>
        <w:spacing w:after="0" w:line="240" w:lineRule="auto"/>
        <w:ind w:firstLine="709"/>
        <w:jc w:val="both"/>
        <w:rPr>
          <w:rFonts w:ascii="Times New Roman" w:eastAsia="Times New Roman" w:hAnsi="Times New Roman" w:cs="Times New Roman"/>
          <w:sz w:val="28"/>
          <w:szCs w:val="28"/>
          <w:lang w:val="uk-UA"/>
        </w:rPr>
      </w:pPr>
    </w:p>
    <w:p w14:paraId="433F5577" w14:textId="77777777" w:rsidR="00834BFB" w:rsidRPr="00042924" w:rsidRDefault="00834BFB" w:rsidP="006B27E7">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Таблиця 2.1</w:t>
      </w:r>
      <w:r w:rsidR="004D1828" w:rsidRPr="00042924">
        <w:rPr>
          <w:rFonts w:ascii="Times New Roman" w:eastAsia="Times New Roman" w:hAnsi="Times New Roman" w:cs="Times New Roman"/>
          <w:sz w:val="28"/>
          <w:szCs w:val="28"/>
          <w:lang w:val="uk-UA"/>
        </w:rPr>
        <w:t>2</w:t>
      </w:r>
      <w:r w:rsidRPr="00042924">
        <w:rPr>
          <w:rFonts w:ascii="Times New Roman" w:eastAsia="Times New Roman" w:hAnsi="Times New Roman" w:cs="Times New Roman"/>
          <w:sz w:val="28"/>
          <w:szCs w:val="28"/>
          <w:lang w:val="uk-UA"/>
        </w:rPr>
        <w:t xml:space="preserve"> – Оцінка ймовірності банкрутства ПАТ </w:t>
      </w:r>
      <w:r w:rsidR="00205891">
        <w:rPr>
          <w:rFonts w:ascii="Times New Roman" w:eastAsia="Times New Roman" w:hAnsi="Times New Roman" w:cs="Times New Roman"/>
          <w:kern w:val="0"/>
          <w:sz w:val="28"/>
          <w:szCs w:val="28"/>
          <w:lang w:val="uk-UA"/>
          <w14:ligatures w14:val="none"/>
        </w:rPr>
        <w:t>«АМКР»</w:t>
      </w:r>
      <w:r w:rsidR="0029174C">
        <w:rPr>
          <w:rFonts w:ascii="Times New Roman" w:eastAsia="Times New Roman" w:hAnsi="Times New Roman" w:cs="Times New Roman"/>
          <w:sz w:val="28"/>
          <w:szCs w:val="28"/>
          <w:lang w:val="uk-UA"/>
        </w:rPr>
        <w:t xml:space="preserve"> за моделлю Р.</w:t>
      </w:r>
      <w:r w:rsidRPr="00042924">
        <w:rPr>
          <w:rFonts w:ascii="Times New Roman" w:eastAsia="Times New Roman" w:hAnsi="Times New Roman" w:cs="Times New Roman"/>
          <w:sz w:val="28"/>
          <w:szCs w:val="28"/>
          <w:lang w:val="uk-UA"/>
        </w:rPr>
        <w:t>Ліса</w:t>
      </w:r>
    </w:p>
    <w:tbl>
      <w:tblPr>
        <w:tblW w:w="5000" w:type="pct"/>
        <w:tblCellMar>
          <w:left w:w="0" w:type="dxa"/>
          <w:right w:w="0" w:type="dxa"/>
        </w:tblCellMar>
        <w:tblLook w:val="04A0" w:firstRow="1" w:lastRow="0" w:firstColumn="1" w:lastColumn="0" w:noHBand="0" w:noVBand="1"/>
      </w:tblPr>
      <w:tblGrid>
        <w:gridCol w:w="3668"/>
        <w:gridCol w:w="1905"/>
        <w:gridCol w:w="1356"/>
        <w:gridCol w:w="1356"/>
        <w:gridCol w:w="1616"/>
      </w:tblGrid>
      <w:tr w:rsidR="00834BFB" w:rsidRPr="00042924" w14:paraId="458BEBD8" w14:textId="77777777" w:rsidTr="00453A51">
        <w:trPr>
          <w:trHeight w:val="340"/>
        </w:trPr>
        <w:tc>
          <w:tcPr>
            <w:tcW w:w="1852" w:type="pct"/>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14:paraId="6FBE90F7"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w:t>
            </w:r>
          </w:p>
        </w:tc>
        <w:tc>
          <w:tcPr>
            <w:tcW w:w="3148" w:type="pct"/>
            <w:gridSpan w:val="4"/>
            <w:tcBorders>
              <w:top w:val="single" w:sz="4" w:space="0" w:color="auto"/>
              <w:left w:val="nil"/>
              <w:bottom w:val="single" w:sz="8" w:space="0" w:color="000000"/>
              <w:right w:val="single" w:sz="8" w:space="0" w:color="000000"/>
            </w:tcBorders>
            <w:shd w:val="clear" w:color="auto" w:fill="auto"/>
            <w:vAlign w:val="center"/>
            <w:hideMark/>
          </w:tcPr>
          <w:p w14:paraId="7CCC52A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Період, рік</w:t>
            </w:r>
          </w:p>
        </w:tc>
      </w:tr>
      <w:tr w:rsidR="00834BFB" w:rsidRPr="00042924" w14:paraId="13E5826D" w14:textId="77777777" w:rsidTr="00453A51">
        <w:trPr>
          <w:trHeight w:val="340"/>
        </w:trPr>
        <w:tc>
          <w:tcPr>
            <w:tcW w:w="1852" w:type="pct"/>
            <w:vMerge/>
            <w:tcBorders>
              <w:top w:val="nil"/>
              <w:left w:val="single" w:sz="8" w:space="0" w:color="000000"/>
              <w:bottom w:val="single" w:sz="8" w:space="0" w:color="000000"/>
              <w:right w:val="single" w:sz="8" w:space="0" w:color="000000"/>
            </w:tcBorders>
            <w:vAlign w:val="center"/>
            <w:hideMark/>
          </w:tcPr>
          <w:p w14:paraId="23E39E34" w14:textId="77777777" w:rsidR="00834BFB" w:rsidRPr="00042924" w:rsidRDefault="00834BFB" w:rsidP="0029174C">
            <w:pPr>
              <w:spacing w:after="0" w:line="240" w:lineRule="auto"/>
              <w:rPr>
                <w:rFonts w:ascii="Times New Roman" w:eastAsia="Times New Roman" w:hAnsi="Times New Roman" w:cs="Times New Roman"/>
                <w:color w:val="000000"/>
                <w:kern w:val="0"/>
                <w:sz w:val="20"/>
                <w:szCs w:val="20"/>
                <w:lang w:val="uk-UA" w:eastAsia="uk-UA"/>
                <w14:ligatures w14:val="none"/>
              </w:rPr>
            </w:pPr>
          </w:p>
        </w:tc>
        <w:tc>
          <w:tcPr>
            <w:tcW w:w="962" w:type="pct"/>
            <w:tcBorders>
              <w:top w:val="nil"/>
              <w:left w:val="nil"/>
              <w:bottom w:val="single" w:sz="8" w:space="0" w:color="000000"/>
              <w:right w:val="single" w:sz="8" w:space="0" w:color="000000"/>
            </w:tcBorders>
            <w:shd w:val="clear" w:color="auto" w:fill="auto"/>
            <w:vAlign w:val="center"/>
            <w:hideMark/>
          </w:tcPr>
          <w:p w14:paraId="6E38F77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2019</w:t>
            </w:r>
          </w:p>
        </w:tc>
        <w:tc>
          <w:tcPr>
            <w:tcW w:w="685" w:type="pct"/>
            <w:tcBorders>
              <w:top w:val="nil"/>
              <w:left w:val="nil"/>
              <w:bottom w:val="single" w:sz="8" w:space="0" w:color="000000"/>
              <w:right w:val="single" w:sz="8" w:space="0" w:color="000000"/>
            </w:tcBorders>
            <w:shd w:val="clear" w:color="auto" w:fill="auto"/>
            <w:vAlign w:val="center"/>
            <w:hideMark/>
          </w:tcPr>
          <w:p w14:paraId="1A7ABAD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2020</w:t>
            </w:r>
          </w:p>
        </w:tc>
        <w:tc>
          <w:tcPr>
            <w:tcW w:w="685" w:type="pct"/>
            <w:tcBorders>
              <w:top w:val="nil"/>
              <w:left w:val="nil"/>
              <w:bottom w:val="single" w:sz="8" w:space="0" w:color="000000"/>
              <w:right w:val="single" w:sz="8" w:space="0" w:color="000000"/>
            </w:tcBorders>
            <w:shd w:val="clear" w:color="auto" w:fill="auto"/>
            <w:vAlign w:val="center"/>
            <w:hideMark/>
          </w:tcPr>
          <w:p w14:paraId="715EBADF"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2021</w:t>
            </w:r>
          </w:p>
        </w:tc>
        <w:tc>
          <w:tcPr>
            <w:tcW w:w="816" w:type="pct"/>
            <w:tcBorders>
              <w:top w:val="nil"/>
              <w:left w:val="nil"/>
              <w:bottom w:val="single" w:sz="8" w:space="0" w:color="000000"/>
              <w:right w:val="single" w:sz="8" w:space="0" w:color="000000"/>
            </w:tcBorders>
            <w:shd w:val="clear" w:color="auto" w:fill="auto"/>
            <w:vAlign w:val="center"/>
            <w:hideMark/>
          </w:tcPr>
          <w:p w14:paraId="5A33E503"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2022</w:t>
            </w:r>
          </w:p>
        </w:tc>
      </w:tr>
      <w:tr w:rsidR="00834BFB" w:rsidRPr="00042924" w14:paraId="560FF42E" w14:textId="77777777" w:rsidTr="00453A51">
        <w:trPr>
          <w:trHeight w:val="3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C95D5F"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Вихідні дані:</w:t>
            </w:r>
          </w:p>
        </w:tc>
      </w:tr>
      <w:tr w:rsidR="00865803" w:rsidRPr="00042924" w14:paraId="6323A2F9" w14:textId="77777777" w:rsidTr="006B27E7">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tcPr>
          <w:p w14:paraId="3D176D6A" w14:textId="77777777" w:rsidR="00865803" w:rsidRPr="00042924" w:rsidRDefault="00865803" w:rsidP="00865803">
            <w:pPr>
              <w:spacing w:after="0" w:line="240" w:lineRule="auto"/>
              <w:ind w:left="113"/>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w:t>
            </w:r>
          </w:p>
        </w:tc>
        <w:tc>
          <w:tcPr>
            <w:tcW w:w="962" w:type="pct"/>
            <w:tcBorders>
              <w:top w:val="nil"/>
              <w:left w:val="nil"/>
              <w:bottom w:val="single" w:sz="8" w:space="0" w:color="000000"/>
              <w:right w:val="single" w:sz="8" w:space="0" w:color="000000"/>
            </w:tcBorders>
            <w:shd w:val="clear" w:color="auto" w:fill="auto"/>
            <w:vAlign w:val="center"/>
          </w:tcPr>
          <w:p w14:paraId="46CD5A24" w14:textId="77777777" w:rsidR="00865803" w:rsidRPr="00042924" w:rsidRDefault="00865803" w:rsidP="0086580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w:t>
            </w:r>
          </w:p>
        </w:tc>
        <w:tc>
          <w:tcPr>
            <w:tcW w:w="685" w:type="pct"/>
            <w:tcBorders>
              <w:top w:val="nil"/>
              <w:left w:val="nil"/>
              <w:bottom w:val="single" w:sz="8" w:space="0" w:color="000000"/>
              <w:right w:val="single" w:sz="8" w:space="0" w:color="000000"/>
            </w:tcBorders>
            <w:shd w:val="clear" w:color="auto" w:fill="auto"/>
            <w:vAlign w:val="center"/>
          </w:tcPr>
          <w:p w14:paraId="4F0800BA" w14:textId="77777777" w:rsidR="00865803" w:rsidRPr="00042924" w:rsidRDefault="00865803" w:rsidP="0086580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w:t>
            </w:r>
          </w:p>
        </w:tc>
        <w:tc>
          <w:tcPr>
            <w:tcW w:w="685" w:type="pct"/>
            <w:tcBorders>
              <w:top w:val="nil"/>
              <w:left w:val="nil"/>
              <w:bottom w:val="single" w:sz="8" w:space="0" w:color="000000"/>
              <w:right w:val="single" w:sz="8" w:space="0" w:color="000000"/>
            </w:tcBorders>
            <w:shd w:val="clear" w:color="auto" w:fill="auto"/>
            <w:vAlign w:val="center"/>
          </w:tcPr>
          <w:p w14:paraId="0110BDC2" w14:textId="77777777" w:rsidR="00865803" w:rsidRPr="00042924" w:rsidRDefault="00865803" w:rsidP="0086580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w:t>
            </w:r>
          </w:p>
        </w:tc>
        <w:tc>
          <w:tcPr>
            <w:tcW w:w="816" w:type="pct"/>
            <w:tcBorders>
              <w:top w:val="nil"/>
              <w:left w:val="nil"/>
              <w:bottom w:val="single" w:sz="8" w:space="0" w:color="000000"/>
              <w:right w:val="single" w:sz="8" w:space="0" w:color="000000"/>
            </w:tcBorders>
            <w:shd w:val="clear" w:color="auto" w:fill="auto"/>
            <w:vAlign w:val="center"/>
          </w:tcPr>
          <w:p w14:paraId="7A4C7B50" w14:textId="77777777" w:rsidR="00865803" w:rsidRPr="00042924" w:rsidRDefault="00865803" w:rsidP="0086580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w:t>
            </w:r>
          </w:p>
        </w:tc>
      </w:tr>
      <w:tr w:rsidR="00834BFB" w:rsidRPr="00042924" w14:paraId="2BC0D3FF"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69301A06" w14:textId="77777777" w:rsidR="00834BFB" w:rsidRPr="00042924" w:rsidRDefault="00834BFB" w:rsidP="003C3495">
            <w:pPr>
              <w:spacing w:after="0" w:line="240" w:lineRule="auto"/>
              <w:ind w:left="113"/>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Оборотні активи, тис. грн.</w:t>
            </w:r>
          </w:p>
        </w:tc>
        <w:tc>
          <w:tcPr>
            <w:tcW w:w="962" w:type="pct"/>
            <w:tcBorders>
              <w:top w:val="nil"/>
              <w:left w:val="nil"/>
              <w:bottom w:val="single" w:sz="8" w:space="0" w:color="000000"/>
              <w:right w:val="single" w:sz="8" w:space="0" w:color="000000"/>
            </w:tcBorders>
            <w:shd w:val="clear" w:color="auto" w:fill="auto"/>
            <w:vAlign w:val="center"/>
            <w:hideMark/>
          </w:tcPr>
          <w:p w14:paraId="756343C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36881636</w:t>
            </w:r>
          </w:p>
        </w:tc>
        <w:tc>
          <w:tcPr>
            <w:tcW w:w="685" w:type="pct"/>
            <w:tcBorders>
              <w:top w:val="nil"/>
              <w:left w:val="nil"/>
              <w:bottom w:val="single" w:sz="8" w:space="0" w:color="000000"/>
              <w:right w:val="single" w:sz="8" w:space="0" w:color="000000"/>
            </w:tcBorders>
            <w:shd w:val="clear" w:color="auto" w:fill="auto"/>
            <w:vAlign w:val="center"/>
            <w:hideMark/>
          </w:tcPr>
          <w:p w14:paraId="7C2BFCD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30045798</w:t>
            </w:r>
          </w:p>
        </w:tc>
        <w:tc>
          <w:tcPr>
            <w:tcW w:w="685" w:type="pct"/>
            <w:tcBorders>
              <w:top w:val="nil"/>
              <w:left w:val="nil"/>
              <w:bottom w:val="single" w:sz="8" w:space="0" w:color="000000"/>
              <w:right w:val="single" w:sz="8" w:space="0" w:color="000000"/>
            </w:tcBorders>
            <w:shd w:val="clear" w:color="auto" w:fill="auto"/>
            <w:vAlign w:val="center"/>
            <w:hideMark/>
          </w:tcPr>
          <w:p w14:paraId="3E8F8BF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45613529</w:t>
            </w:r>
          </w:p>
        </w:tc>
        <w:tc>
          <w:tcPr>
            <w:tcW w:w="816" w:type="pct"/>
            <w:tcBorders>
              <w:top w:val="nil"/>
              <w:left w:val="nil"/>
              <w:bottom w:val="single" w:sz="8" w:space="0" w:color="000000"/>
              <w:right w:val="single" w:sz="8" w:space="0" w:color="000000"/>
            </w:tcBorders>
            <w:shd w:val="clear" w:color="auto" w:fill="auto"/>
            <w:vAlign w:val="center"/>
            <w:hideMark/>
          </w:tcPr>
          <w:p w14:paraId="23F93DB3"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29703419</w:t>
            </w:r>
          </w:p>
        </w:tc>
      </w:tr>
      <w:tr w:rsidR="00834BFB" w:rsidRPr="00042924" w14:paraId="1EBB8711"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F919A8E" w14:textId="77777777" w:rsidR="00834BFB" w:rsidRPr="00042924" w:rsidRDefault="00834BFB" w:rsidP="003C3495">
            <w:pPr>
              <w:spacing w:after="0" w:line="240" w:lineRule="auto"/>
              <w:ind w:left="113"/>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Баланс, тис. грн.</w:t>
            </w:r>
          </w:p>
        </w:tc>
        <w:tc>
          <w:tcPr>
            <w:tcW w:w="962" w:type="pct"/>
            <w:tcBorders>
              <w:top w:val="nil"/>
              <w:left w:val="nil"/>
              <w:bottom w:val="single" w:sz="8" w:space="0" w:color="auto"/>
              <w:right w:val="single" w:sz="8" w:space="0" w:color="auto"/>
            </w:tcBorders>
            <w:shd w:val="clear" w:color="auto" w:fill="auto"/>
            <w:noWrap/>
            <w:vAlign w:val="center"/>
            <w:hideMark/>
          </w:tcPr>
          <w:p w14:paraId="2FE306EA"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97544421</w:t>
            </w:r>
          </w:p>
        </w:tc>
        <w:tc>
          <w:tcPr>
            <w:tcW w:w="685" w:type="pct"/>
            <w:tcBorders>
              <w:top w:val="nil"/>
              <w:left w:val="nil"/>
              <w:bottom w:val="single" w:sz="8" w:space="0" w:color="auto"/>
              <w:right w:val="single" w:sz="8" w:space="0" w:color="auto"/>
            </w:tcBorders>
            <w:shd w:val="clear" w:color="auto" w:fill="auto"/>
            <w:noWrap/>
            <w:vAlign w:val="center"/>
            <w:hideMark/>
          </w:tcPr>
          <w:p w14:paraId="338D03DE"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88349556</w:t>
            </w:r>
          </w:p>
        </w:tc>
        <w:tc>
          <w:tcPr>
            <w:tcW w:w="685" w:type="pct"/>
            <w:tcBorders>
              <w:top w:val="nil"/>
              <w:left w:val="nil"/>
              <w:bottom w:val="single" w:sz="8" w:space="0" w:color="auto"/>
              <w:right w:val="single" w:sz="8" w:space="0" w:color="auto"/>
            </w:tcBorders>
            <w:shd w:val="clear" w:color="auto" w:fill="auto"/>
            <w:noWrap/>
            <w:vAlign w:val="center"/>
            <w:hideMark/>
          </w:tcPr>
          <w:p w14:paraId="43DA32B7"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105800975</w:t>
            </w:r>
          </w:p>
        </w:tc>
        <w:tc>
          <w:tcPr>
            <w:tcW w:w="816" w:type="pct"/>
            <w:tcBorders>
              <w:top w:val="nil"/>
              <w:left w:val="nil"/>
              <w:bottom w:val="single" w:sz="8" w:space="0" w:color="auto"/>
              <w:right w:val="single" w:sz="8" w:space="0" w:color="auto"/>
            </w:tcBorders>
            <w:shd w:val="clear" w:color="auto" w:fill="auto"/>
            <w:noWrap/>
            <w:vAlign w:val="center"/>
            <w:hideMark/>
          </w:tcPr>
          <w:p w14:paraId="24D872DE"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52682761</w:t>
            </w:r>
          </w:p>
        </w:tc>
      </w:tr>
      <w:tr w:rsidR="00834BFB" w:rsidRPr="00042924" w14:paraId="70E221D0"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B39578B" w14:textId="77777777" w:rsidR="00834BFB" w:rsidRPr="00042924" w:rsidRDefault="00834BFB" w:rsidP="003C3495">
            <w:pPr>
              <w:spacing w:after="0" w:line="240" w:lineRule="auto"/>
              <w:ind w:left="113"/>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Фінансовий результат від операційної діяльності, тис. грн.</w:t>
            </w:r>
          </w:p>
        </w:tc>
        <w:tc>
          <w:tcPr>
            <w:tcW w:w="962" w:type="pct"/>
            <w:tcBorders>
              <w:top w:val="nil"/>
              <w:left w:val="nil"/>
              <w:bottom w:val="single" w:sz="8" w:space="0" w:color="000000"/>
              <w:right w:val="single" w:sz="8" w:space="0" w:color="000000"/>
            </w:tcBorders>
            <w:shd w:val="clear" w:color="auto" w:fill="auto"/>
            <w:vAlign w:val="center"/>
            <w:hideMark/>
          </w:tcPr>
          <w:p w14:paraId="01E0241A"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-2750338</w:t>
            </w:r>
          </w:p>
        </w:tc>
        <w:tc>
          <w:tcPr>
            <w:tcW w:w="685" w:type="pct"/>
            <w:tcBorders>
              <w:top w:val="nil"/>
              <w:left w:val="nil"/>
              <w:bottom w:val="single" w:sz="8" w:space="0" w:color="auto"/>
              <w:right w:val="single" w:sz="8" w:space="0" w:color="auto"/>
            </w:tcBorders>
            <w:shd w:val="clear" w:color="auto" w:fill="auto"/>
            <w:vAlign w:val="center"/>
            <w:hideMark/>
          </w:tcPr>
          <w:p w14:paraId="0ED59A31" w14:textId="77777777" w:rsidR="00834BFB" w:rsidRPr="00042924" w:rsidRDefault="00834BFB" w:rsidP="0029174C">
            <w:pPr>
              <w:spacing w:after="0" w:line="240" w:lineRule="auto"/>
              <w:jc w:val="center"/>
              <w:rPr>
                <w:rFonts w:ascii="Times New Roman" w:eastAsia="Times New Roman" w:hAnsi="Times New Roman" w:cs="Times New Roman"/>
                <w:kern w:val="0"/>
                <w:sz w:val="20"/>
                <w:szCs w:val="20"/>
                <w:lang w:val="uk-UA" w:eastAsia="uk-UA"/>
                <w14:ligatures w14:val="none"/>
              </w:rPr>
            </w:pPr>
            <w:r w:rsidRPr="00042924">
              <w:rPr>
                <w:rFonts w:ascii="Times New Roman" w:eastAsia="Times New Roman" w:hAnsi="Times New Roman" w:cs="Times New Roman"/>
                <w:kern w:val="0"/>
                <w:sz w:val="20"/>
                <w:szCs w:val="20"/>
                <w:lang w:val="uk-UA" w:eastAsia="uk-UA"/>
                <w14:ligatures w14:val="none"/>
              </w:rPr>
              <w:t>2 066 296</w:t>
            </w:r>
          </w:p>
        </w:tc>
        <w:tc>
          <w:tcPr>
            <w:tcW w:w="685" w:type="pct"/>
            <w:tcBorders>
              <w:top w:val="nil"/>
              <w:left w:val="nil"/>
              <w:bottom w:val="single" w:sz="8" w:space="0" w:color="auto"/>
              <w:right w:val="single" w:sz="8" w:space="0" w:color="auto"/>
            </w:tcBorders>
            <w:shd w:val="clear" w:color="auto" w:fill="auto"/>
            <w:vAlign w:val="center"/>
            <w:hideMark/>
          </w:tcPr>
          <w:p w14:paraId="33890BBE"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31 036 335</w:t>
            </w:r>
          </w:p>
        </w:tc>
        <w:tc>
          <w:tcPr>
            <w:tcW w:w="816" w:type="pct"/>
            <w:tcBorders>
              <w:top w:val="nil"/>
              <w:left w:val="nil"/>
              <w:bottom w:val="single" w:sz="8" w:space="0" w:color="auto"/>
              <w:right w:val="single" w:sz="8" w:space="0" w:color="auto"/>
            </w:tcBorders>
            <w:shd w:val="clear" w:color="auto" w:fill="auto"/>
            <w:vAlign w:val="center"/>
            <w:hideMark/>
          </w:tcPr>
          <w:p w14:paraId="2B943C82"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-14 060 397</w:t>
            </w:r>
          </w:p>
        </w:tc>
      </w:tr>
      <w:tr w:rsidR="00834BFB" w:rsidRPr="00042924" w14:paraId="756A9473" w14:textId="77777777" w:rsidTr="00453A51">
        <w:trPr>
          <w:trHeight w:val="340"/>
        </w:trPr>
        <w:tc>
          <w:tcPr>
            <w:tcW w:w="1852" w:type="pct"/>
            <w:tcBorders>
              <w:top w:val="nil"/>
              <w:left w:val="single" w:sz="8" w:space="0" w:color="000000"/>
              <w:bottom w:val="nil"/>
              <w:right w:val="single" w:sz="8" w:space="0" w:color="000000"/>
            </w:tcBorders>
            <w:shd w:val="clear" w:color="auto" w:fill="auto"/>
            <w:vAlign w:val="center"/>
            <w:hideMark/>
          </w:tcPr>
          <w:p w14:paraId="2E38198E" w14:textId="77777777" w:rsidR="00834BFB" w:rsidRPr="00042924" w:rsidRDefault="00834BFB" w:rsidP="003C3495">
            <w:pPr>
              <w:spacing w:after="0" w:line="240" w:lineRule="auto"/>
              <w:ind w:left="113"/>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Нерозподілений прибуток (збиток), тис. грн.</w:t>
            </w:r>
          </w:p>
        </w:tc>
        <w:tc>
          <w:tcPr>
            <w:tcW w:w="962" w:type="pct"/>
            <w:tcBorders>
              <w:top w:val="nil"/>
              <w:left w:val="nil"/>
              <w:bottom w:val="nil"/>
              <w:right w:val="single" w:sz="8" w:space="0" w:color="000000"/>
            </w:tcBorders>
            <w:shd w:val="clear" w:color="auto" w:fill="auto"/>
            <w:vAlign w:val="center"/>
            <w:hideMark/>
          </w:tcPr>
          <w:p w14:paraId="39393321"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29378818</w:t>
            </w:r>
          </w:p>
        </w:tc>
        <w:tc>
          <w:tcPr>
            <w:tcW w:w="685" w:type="pct"/>
            <w:tcBorders>
              <w:top w:val="nil"/>
              <w:left w:val="nil"/>
              <w:bottom w:val="nil"/>
              <w:right w:val="single" w:sz="8" w:space="0" w:color="auto"/>
            </w:tcBorders>
            <w:shd w:val="clear" w:color="auto" w:fill="auto"/>
            <w:vAlign w:val="center"/>
            <w:hideMark/>
          </w:tcPr>
          <w:p w14:paraId="626B4AF5"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30 119 720</w:t>
            </w:r>
          </w:p>
        </w:tc>
        <w:tc>
          <w:tcPr>
            <w:tcW w:w="685" w:type="pct"/>
            <w:tcBorders>
              <w:top w:val="nil"/>
              <w:left w:val="nil"/>
              <w:bottom w:val="nil"/>
              <w:right w:val="single" w:sz="8" w:space="0" w:color="auto"/>
            </w:tcBorders>
            <w:shd w:val="clear" w:color="auto" w:fill="auto"/>
            <w:vAlign w:val="center"/>
            <w:hideMark/>
          </w:tcPr>
          <w:p w14:paraId="49278E44"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45 725 551</w:t>
            </w:r>
          </w:p>
        </w:tc>
        <w:tc>
          <w:tcPr>
            <w:tcW w:w="816" w:type="pct"/>
            <w:tcBorders>
              <w:top w:val="nil"/>
              <w:left w:val="nil"/>
              <w:bottom w:val="nil"/>
              <w:right w:val="single" w:sz="8" w:space="0" w:color="auto"/>
            </w:tcBorders>
            <w:shd w:val="clear" w:color="auto" w:fill="auto"/>
            <w:vAlign w:val="center"/>
            <w:hideMark/>
          </w:tcPr>
          <w:p w14:paraId="0D89AAD0"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-3 283 553</w:t>
            </w:r>
          </w:p>
        </w:tc>
      </w:tr>
      <w:tr w:rsidR="00834BFB" w:rsidRPr="00042924" w14:paraId="2FED56F5" w14:textId="77777777" w:rsidTr="00453A51">
        <w:trPr>
          <w:trHeight w:val="340"/>
        </w:trPr>
        <w:tc>
          <w:tcPr>
            <w:tcW w:w="1852" w:type="pct"/>
            <w:tcBorders>
              <w:top w:val="single" w:sz="8" w:space="0" w:color="auto"/>
              <w:left w:val="single" w:sz="8" w:space="0" w:color="auto"/>
              <w:bottom w:val="single" w:sz="4" w:space="0" w:color="auto"/>
              <w:right w:val="nil"/>
            </w:tcBorders>
            <w:shd w:val="clear" w:color="auto" w:fill="auto"/>
            <w:vAlign w:val="center"/>
            <w:hideMark/>
          </w:tcPr>
          <w:p w14:paraId="14CDE409" w14:textId="77777777" w:rsidR="00834BFB" w:rsidRPr="00042924" w:rsidRDefault="00834BFB" w:rsidP="003C3495">
            <w:pPr>
              <w:spacing w:after="0" w:line="240" w:lineRule="auto"/>
              <w:ind w:left="113"/>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 Власний капітал, тис.грн.</w:t>
            </w:r>
          </w:p>
        </w:tc>
        <w:tc>
          <w:tcPr>
            <w:tcW w:w="96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9B1E23F"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60631140</w:t>
            </w:r>
          </w:p>
        </w:tc>
        <w:tc>
          <w:tcPr>
            <w:tcW w:w="685" w:type="pct"/>
            <w:tcBorders>
              <w:top w:val="single" w:sz="8" w:space="0" w:color="auto"/>
              <w:left w:val="nil"/>
              <w:bottom w:val="single" w:sz="4" w:space="0" w:color="auto"/>
              <w:right w:val="single" w:sz="8" w:space="0" w:color="auto"/>
            </w:tcBorders>
            <w:shd w:val="clear" w:color="auto" w:fill="auto"/>
            <w:vAlign w:val="center"/>
            <w:hideMark/>
          </w:tcPr>
          <w:p w14:paraId="78414E7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60 879 286</w:t>
            </w:r>
          </w:p>
        </w:tc>
        <w:tc>
          <w:tcPr>
            <w:tcW w:w="685" w:type="pct"/>
            <w:tcBorders>
              <w:top w:val="single" w:sz="8" w:space="0" w:color="auto"/>
              <w:left w:val="nil"/>
              <w:bottom w:val="single" w:sz="4" w:space="0" w:color="auto"/>
              <w:right w:val="single" w:sz="8" w:space="0" w:color="auto"/>
            </w:tcBorders>
            <w:shd w:val="clear" w:color="auto" w:fill="auto"/>
            <w:vAlign w:val="center"/>
            <w:hideMark/>
          </w:tcPr>
          <w:p w14:paraId="7C6C4BA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76 552 000</w:t>
            </w:r>
          </w:p>
        </w:tc>
        <w:tc>
          <w:tcPr>
            <w:tcW w:w="816" w:type="pct"/>
            <w:tcBorders>
              <w:top w:val="single" w:sz="8" w:space="0" w:color="auto"/>
              <w:left w:val="nil"/>
              <w:bottom w:val="single" w:sz="4" w:space="0" w:color="auto"/>
              <w:right w:val="single" w:sz="8" w:space="0" w:color="auto"/>
            </w:tcBorders>
            <w:shd w:val="clear" w:color="auto" w:fill="auto"/>
            <w:vAlign w:val="center"/>
            <w:hideMark/>
          </w:tcPr>
          <w:p w14:paraId="619F1B7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28 212 939</w:t>
            </w:r>
          </w:p>
        </w:tc>
      </w:tr>
      <w:tr w:rsidR="00834BFB" w:rsidRPr="00042924" w14:paraId="2F7D2761" w14:textId="77777777" w:rsidTr="004308A8">
        <w:trPr>
          <w:trHeight w:val="340"/>
        </w:trPr>
        <w:tc>
          <w:tcPr>
            <w:tcW w:w="1852" w:type="pct"/>
            <w:tcBorders>
              <w:top w:val="single" w:sz="4" w:space="0" w:color="auto"/>
              <w:left w:val="single" w:sz="8" w:space="0" w:color="auto"/>
              <w:bottom w:val="single" w:sz="4" w:space="0" w:color="auto"/>
              <w:right w:val="nil"/>
            </w:tcBorders>
            <w:shd w:val="clear" w:color="auto" w:fill="auto"/>
            <w:vAlign w:val="center"/>
            <w:hideMark/>
          </w:tcPr>
          <w:p w14:paraId="3F2DCDB8" w14:textId="77777777" w:rsidR="00834BFB" w:rsidRPr="00042924" w:rsidRDefault="00834BFB" w:rsidP="003C3495">
            <w:pPr>
              <w:spacing w:after="0" w:line="240" w:lineRule="auto"/>
              <w:ind w:left="113"/>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 Позиковий капітал , тис. грн.</w:t>
            </w:r>
          </w:p>
        </w:tc>
        <w:tc>
          <w:tcPr>
            <w:tcW w:w="96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5B39E814"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36913281</w:t>
            </w:r>
          </w:p>
        </w:tc>
        <w:tc>
          <w:tcPr>
            <w:tcW w:w="685" w:type="pct"/>
            <w:tcBorders>
              <w:top w:val="single" w:sz="4" w:space="0" w:color="auto"/>
              <w:left w:val="nil"/>
              <w:bottom w:val="single" w:sz="4" w:space="0" w:color="auto"/>
              <w:right w:val="nil"/>
            </w:tcBorders>
            <w:shd w:val="clear" w:color="auto" w:fill="auto"/>
            <w:vAlign w:val="center"/>
            <w:hideMark/>
          </w:tcPr>
          <w:p w14:paraId="5789381B"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27 470 270</w:t>
            </w:r>
          </w:p>
        </w:tc>
        <w:tc>
          <w:tcPr>
            <w:tcW w:w="685"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63A52C7"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29 248 975</w:t>
            </w:r>
          </w:p>
        </w:tc>
        <w:tc>
          <w:tcPr>
            <w:tcW w:w="816" w:type="pct"/>
            <w:tcBorders>
              <w:top w:val="single" w:sz="4" w:space="0" w:color="auto"/>
              <w:left w:val="nil"/>
              <w:bottom w:val="single" w:sz="4" w:space="0" w:color="auto"/>
              <w:right w:val="single" w:sz="8" w:space="0" w:color="auto"/>
            </w:tcBorders>
            <w:shd w:val="clear" w:color="auto" w:fill="auto"/>
            <w:vAlign w:val="center"/>
            <w:hideMark/>
          </w:tcPr>
          <w:p w14:paraId="46867682"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24 469 822</w:t>
            </w:r>
          </w:p>
        </w:tc>
      </w:tr>
      <w:tr w:rsidR="004308A8" w:rsidRPr="00042924" w14:paraId="499BAB47" w14:textId="77777777" w:rsidTr="004308A8">
        <w:trPr>
          <w:trHeight w:val="340"/>
        </w:trPr>
        <w:tc>
          <w:tcPr>
            <w:tcW w:w="5000" w:type="pct"/>
            <w:gridSpan w:val="5"/>
            <w:tcBorders>
              <w:bottom w:val="single" w:sz="4" w:space="0" w:color="auto"/>
            </w:tcBorders>
            <w:shd w:val="clear" w:color="auto" w:fill="auto"/>
          </w:tcPr>
          <w:p w14:paraId="6F5C7905" w14:textId="77777777" w:rsidR="004308A8" w:rsidRPr="002A43CD" w:rsidRDefault="004308A8" w:rsidP="00F07B09">
            <w:pPr>
              <w:spacing w:after="0" w:line="240" w:lineRule="auto"/>
              <w:ind w:firstLine="284"/>
              <w:jc w:val="right"/>
              <w:rPr>
                <w:rFonts w:ascii="Times New Roman" w:eastAsia="Times New Roman" w:hAnsi="Times New Roman" w:cs="Times New Roman"/>
                <w:color w:val="000000"/>
                <w:kern w:val="0"/>
                <w:sz w:val="28"/>
                <w:szCs w:val="28"/>
                <w:lang w:val="uk-UA" w:eastAsia="uk-UA"/>
                <w14:ligatures w14:val="none"/>
              </w:rPr>
            </w:pPr>
            <w:r w:rsidRPr="002A43CD">
              <w:rPr>
                <w:rFonts w:ascii="Times New Roman" w:eastAsia="Times New Roman" w:hAnsi="Times New Roman" w:cs="Times New Roman"/>
                <w:color w:val="000000"/>
                <w:kern w:val="0"/>
                <w:sz w:val="28"/>
                <w:szCs w:val="28"/>
                <w:lang w:val="uk-UA" w:eastAsia="uk-UA"/>
                <w14:ligatures w14:val="none"/>
              </w:rPr>
              <w:lastRenderedPageBreak/>
              <w:t>Продовження таблиці 2.12</w:t>
            </w:r>
          </w:p>
        </w:tc>
      </w:tr>
      <w:tr w:rsidR="00865803" w:rsidRPr="00042924" w14:paraId="2E917490" w14:textId="77777777" w:rsidTr="000318AA">
        <w:trPr>
          <w:trHeight w:val="340"/>
        </w:trPr>
        <w:tc>
          <w:tcPr>
            <w:tcW w:w="1852" w:type="pct"/>
            <w:tcBorders>
              <w:top w:val="single" w:sz="4" w:space="0" w:color="auto"/>
              <w:left w:val="single" w:sz="4" w:space="0" w:color="auto"/>
              <w:bottom w:val="single" w:sz="4" w:space="0" w:color="auto"/>
              <w:right w:val="single" w:sz="4" w:space="0" w:color="auto"/>
            </w:tcBorders>
            <w:shd w:val="clear" w:color="auto" w:fill="auto"/>
            <w:vAlign w:val="center"/>
          </w:tcPr>
          <w:p w14:paraId="7406A35F" w14:textId="77777777" w:rsidR="00865803" w:rsidRPr="00042924" w:rsidRDefault="00552A93" w:rsidP="00552A93">
            <w:pPr>
              <w:spacing w:after="0" w:line="240" w:lineRule="auto"/>
              <w:ind w:left="113"/>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14:paraId="3DB678E2" w14:textId="77777777" w:rsidR="00865803" w:rsidRPr="00042924" w:rsidRDefault="00552A93" w:rsidP="00552A9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1C485C3B" w14:textId="77777777" w:rsidR="00865803" w:rsidRPr="00042924" w:rsidRDefault="00552A93" w:rsidP="00552A9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1F070D04" w14:textId="77777777" w:rsidR="00865803" w:rsidRPr="00042924" w:rsidRDefault="00552A93" w:rsidP="00552A9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6C8B142A" w14:textId="77777777" w:rsidR="00865803" w:rsidRPr="00042924" w:rsidRDefault="00552A93" w:rsidP="00552A93">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w:t>
            </w:r>
          </w:p>
        </w:tc>
      </w:tr>
      <w:tr w:rsidR="00834BFB" w:rsidRPr="00042924" w14:paraId="0F53CFC7" w14:textId="77777777" w:rsidTr="004308A8">
        <w:trPr>
          <w:trHeight w:val="340"/>
        </w:trPr>
        <w:tc>
          <w:tcPr>
            <w:tcW w:w="5000" w:type="pct"/>
            <w:gridSpan w:val="5"/>
            <w:tcBorders>
              <w:top w:val="single" w:sz="4" w:space="0" w:color="auto"/>
              <w:left w:val="single" w:sz="8" w:space="0" w:color="000000"/>
              <w:bottom w:val="single" w:sz="8" w:space="0" w:color="000000"/>
              <w:right w:val="single" w:sz="8" w:space="0" w:color="000000"/>
            </w:tcBorders>
            <w:shd w:val="clear" w:color="auto" w:fill="auto"/>
            <w:vAlign w:val="center"/>
            <w:hideMark/>
          </w:tcPr>
          <w:p w14:paraId="1D3181F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 моделі:</w:t>
            </w:r>
          </w:p>
        </w:tc>
      </w:tr>
      <w:tr w:rsidR="00834BFB" w:rsidRPr="00042924" w14:paraId="08614C4B"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D56C01D"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1 / п. 2)</w:t>
            </w:r>
          </w:p>
        </w:tc>
        <w:tc>
          <w:tcPr>
            <w:tcW w:w="962" w:type="pct"/>
            <w:tcBorders>
              <w:top w:val="nil"/>
              <w:left w:val="nil"/>
              <w:bottom w:val="single" w:sz="8" w:space="0" w:color="000000"/>
              <w:right w:val="single" w:sz="8" w:space="0" w:color="000000"/>
            </w:tcBorders>
            <w:shd w:val="clear" w:color="auto" w:fill="auto"/>
            <w:vAlign w:val="center"/>
            <w:hideMark/>
          </w:tcPr>
          <w:p w14:paraId="2414E291"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0,38</w:t>
            </w:r>
          </w:p>
        </w:tc>
        <w:tc>
          <w:tcPr>
            <w:tcW w:w="685" w:type="pct"/>
            <w:tcBorders>
              <w:top w:val="nil"/>
              <w:left w:val="nil"/>
              <w:bottom w:val="single" w:sz="8" w:space="0" w:color="000000"/>
              <w:right w:val="single" w:sz="8" w:space="0" w:color="000000"/>
            </w:tcBorders>
            <w:shd w:val="clear" w:color="auto" w:fill="auto"/>
            <w:vAlign w:val="center"/>
            <w:hideMark/>
          </w:tcPr>
          <w:p w14:paraId="504499D5"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0,34</w:t>
            </w:r>
          </w:p>
        </w:tc>
        <w:tc>
          <w:tcPr>
            <w:tcW w:w="685" w:type="pct"/>
            <w:tcBorders>
              <w:top w:val="nil"/>
              <w:left w:val="nil"/>
              <w:bottom w:val="single" w:sz="8" w:space="0" w:color="000000"/>
              <w:right w:val="single" w:sz="8" w:space="0" w:color="000000"/>
            </w:tcBorders>
            <w:shd w:val="clear" w:color="auto" w:fill="auto"/>
            <w:vAlign w:val="center"/>
            <w:hideMark/>
          </w:tcPr>
          <w:p w14:paraId="72CE7351"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0,43</w:t>
            </w:r>
          </w:p>
        </w:tc>
        <w:tc>
          <w:tcPr>
            <w:tcW w:w="816" w:type="pct"/>
            <w:tcBorders>
              <w:top w:val="nil"/>
              <w:left w:val="nil"/>
              <w:bottom w:val="single" w:sz="8" w:space="0" w:color="000000"/>
              <w:right w:val="single" w:sz="8" w:space="0" w:color="000000"/>
            </w:tcBorders>
            <w:shd w:val="clear" w:color="auto" w:fill="auto"/>
            <w:vAlign w:val="center"/>
            <w:hideMark/>
          </w:tcPr>
          <w:p w14:paraId="752ADCB0"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0,56</w:t>
            </w:r>
          </w:p>
        </w:tc>
      </w:tr>
      <w:tr w:rsidR="00834BFB" w:rsidRPr="00042924" w14:paraId="08747AFB"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7B89292"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К2 (п. 3 / п. 2)</w:t>
            </w:r>
          </w:p>
        </w:tc>
        <w:tc>
          <w:tcPr>
            <w:tcW w:w="962" w:type="pct"/>
            <w:tcBorders>
              <w:top w:val="nil"/>
              <w:left w:val="nil"/>
              <w:bottom w:val="single" w:sz="8" w:space="0" w:color="000000"/>
              <w:right w:val="single" w:sz="8" w:space="0" w:color="000000"/>
            </w:tcBorders>
            <w:shd w:val="clear" w:color="auto" w:fill="auto"/>
            <w:vAlign w:val="center"/>
            <w:hideMark/>
          </w:tcPr>
          <w:p w14:paraId="1EDB9CCB"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-0,03</w:t>
            </w:r>
          </w:p>
        </w:tc>
        <w:tc>
          <w:tcPr>
            <w:tcW w:w="685" w:type="pct"/>
            <w:tcBorders>
              <w:top w:val="nil"/>
              <w:left w:val="nil"/>
              <w:bottom w:val="single" w:sz="8" w:space="0" w:color="000000"/>
              <w:right w:val="single" w:sz="8" w:space="0" w:color="000000"/>
            </w:tcBorders>
            <w:shd w:val="clear" w:color="auto" w:fill="auto"/>
            <w:vAlign w:val="center"/>
            <w:hideMark/>
          </w:tcPr>
          <w:p w14:paraId="6A1AE299"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0,02</w:t>
            </w:r>
          </w:p>
        </w:tc>
        <w:tc>
          <w:tcPr>
            <w:tcW w:w="685" w:type="pct"/>
            <w:tcBorders>
              <w:top w:val="nil"/>
              <w:left w:val="nil"/>
              <w:bottom w:val="single" w:sz="8" w:space="0" w:color="000000"/>
              <w:right w:val="single" w:sz="8" w:space="0" w:color="000000"/>
            </w:tcBorders>
            <w:shd w:val="clear" w:color="auto" w:fill="auto"/>
            <w:vAlign w:val="center"/>
            <w:hideMark/>
          </w:tcPr>
          <w:p w14:paraId="2473F30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0,29</w:t>
            </w:r>
          </w:p>
        </w:tc>
        <w:tc>
          <w:tcPr>
            <w:tcW w:w="816" w:type="pct"/>
            <w:tcBorders>
              <w:top w:val="nil"/>
              <w:left w:val="nil"/>
              <w:bottom w:val="single" w:sz="8" w:space="0" w:color="000000"/>
              <w:right w:val="single" w:sz="8" w:space="0" w:color="000000"/>
            </w:tcBorders>
            <w:shd w:val="clear" w:color="auto" w:fill="auto"/>
            <w:vAlign w:val="center"/>
            <w:hideMark/>
          </w:tcPr>
          <w:p w14:paraId="0F3F3F85"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-0,27</w:t>
            </w:r>
          </w:p>
        </w:tc>
      </w:tr>
      <w:tr w:rsidR="00834BFB" w:rsidRPr="00042924" w14:paraId="778A3C3D"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779EA25B"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К3 (п. 4 / п. 2)</w:t>
            </w:r>
          </w:p>
        </w:tc>
        <w:tc>
          <w:tcPr>
            <w:tcW w:w="962" w:type="pct"/>
            <w:tcBorders>
              <w:top w:val="nil"/>
              <w:left w:val="nil"/>
              <w:bottom w:val="single" w:sz="8" w:space="0" w:color="000000"/>
              <w:right w:val="single" w:sz="8" w:space="0" w:color="000000"/>
            </w:tcBorders>
            <w:shd w:val="clear" w:color="auto" w:fill="auto"/>
            <w:vAlign w:val="center"/>
            <w:hideMark/>
          </w:tcPr>
          <w:p w14:paraId="1BC77F9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0,30</w:t>
            </w:r>
          </w:p>
        </w:tc>
        <w:tc>
          <w:tcPr>
            <w:tcW w:w="685" w:type="pct"/>
            <w:tcBorders>
              <w:top w:val="nil"/>
              <w:left w:val="nil"/>
              <w:bottom w:val="single" w:sz="8" w:space="0" w:color="000000"/>
              <w:right w:val="single" w:sz="8" w:space="0" w:color="000000"/>
            </w:tcBorders>
            <w:shd w:val="clear" w:color="auto" w:fill="auto"/>
            <w:vAlign w:val="center"/>
            <w:hideMark/>
          </w:tcPr>
          <w:p w14:paraId="4F766127"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0,34</w:t>
            </w:r>
          </w:p>
        </w:tc>
        <w:tc>
          <w:tcPr>
            <w:tcW w:w="685" w:type="pct"/>
            <w:tcBorders>
              <w:top w:val="nil"/>
              <w:left w:val="nil"/>
              <w:bottom w:val="single" w:sz="8" w:space="0" w:color="000000"/>
              <w:right w:val="single" w:sz="8" w:space="0" w:color="000000"/>
            </w:tcBorders>
            <w:shd w:val="clear" w:color="auto" w:fill="auto"/>
            <w:vAlign w:val="center"/>
            <w:hideMark/>
          </w:tcPr>
          <w:p w14:paraId="0B79EFD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0,43</w:t>
            </w:r>
          </w:p>
        </w:tc>
        <w:tc>
          <w:tcPr>
            <w:tcW w:w="816" w:type="pct"/>
            <w:tcBorders>
              <w:top w:val="nil"/>
              <w:left w:val="nil"/>
              <w:bottom w:val="single" w:sz="8" w:space="0" w:color="000000"/>
              <w:right w:val="single" w:sz="8" w:space="0" w:color="000000"/>
            </w:tcBorders>
            <w:shd w:val="clear" w:color="auto" w:fill="auto"/>
            <w:vAlign w:val="center"/>
            <w:hideMark/>
          </w:tcPr>
          <w:p w14:paraId="5FF28FF9"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-0,06</w:t>
            </w:r>
          </w:p>
        </w:tc>
      </w:tr>
      <w:tr w:rsidR="00834BFB" w:rsidRPr="00042924" w14:paraId="6FB47BD3" w14:textId="77777777" w:rsidTr="00453A51">
        <w:trPr>
          <w:trHeight w:val="340"/>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0D35E8E0"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К4 (п. 5 / п. 6)</w:t>
            </w:r>
          </w:p>
        </w:tc>
        <w:tc>
          <w:tcPr>
            <w:tcW w:w="962" w:type="pct"/>
            <w:tcBorders>
              <w:top w:val="nil"/>
              <w:left w:val="nil"/>
              <w:bottom w:val="single" w:sz="8" w:space="0" w:color="000000"/>
              <w:right w:val="single" w:sz="8" w:space="0" w:color="000000"/>
            </w:tcBorders>
            <w:shd w:val="clear" w:color="auto" w:fill="auto"/>
            <w:vAlign w:val="center"/>
            <w:hideMark/>
          </w:tcPr>
          <w:p w14:paraId="68337E7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1,64</w:t>
            </w:r>
          </w:p>
        </w:tc>
        <w:tc>
          <w:tcPr>
            <w:tcW w:w="685" w:type="pct"/>
            <w:tcBorders>
              <w:top w:val="nil"/>
              <w:left w:val="nil"/>
              <w:bottom w:val="single" w:sz="8" w:space="0" w:color="000000"/>
              <w:right w:val="single" w:sz="8" w:space="0" w:color="000000"/>
            </w:tcBorders>
            <w:shd w:val="clear" w:color="auto" w:fill="auto"/>
            <w:vAlign w:val="center"/>
            <w:hideMark/>
          </w:tcPr>
          <w:p w14:paraId="1A8771B3"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2,22</w:t>
            </w:r>
          </w:p>
        </w:tc>
        <w:tc>
          <w:tcPr>
            <w:tcW w:w="685" w:type="pct"/>
            <w:tcBorders>
              <w:top w:val="nil"/>
              <w:left w:val="nil"/>
              <w:bottom w:val="single" w:sz="8" w:space="0" w:color="000000"/>
              <w:right w:val="single" w:sz="8" w:space="0" w:color="000000"/>
            </w:tcBorders>
            <w:shd w:val="clear" w:color="auto" w:fill="auto"/>
            <w:vAlign w:val="center"/>
            <w:hideMark/>
          </w:tcPr>
          <w:p w14:paraId="5921AB08"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2,62</w:t>
            </w:r>
          </w:p>
        </w:tc>
        <w:tc>
          <w:tcPr>
            <w:tcW w:w="816" w:type="pct"/>
            <w:tcBorders>
              <w:top w:val="nil"/>
              <w:left w:val="nil"/>
              <w:bottom w:val="single" w:sz="8" w:space="0" w:color="000000"/>
              <w:right w:val="single" w:sz="8" w:space="0" w:color="000000"/>
            </w:tcBorders>
            <w:shd w:val="clear" w:color="auto" w:fill="auto"/>
            <w:vAlign w:val="center"/>
            <w:hideMark/>
          </w:tcPr>
          <w:p w14:paraId="7BAB24EC"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1,15</w:t>
            </w:r>
          </w:p>
        </w:tc>
      </w:tr>
      <w:tr w:rsidR="00834BFB" w:rsidRPr="00042924" w14:paraId="5101ABD3" w14:textId="77777777" w:rsidTr="00453A51">
        <w:trPr>
          <w:trHeight w:val="3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FF44DC"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Підсумковий показник моделі:</w:t>
            </w:r>
          </w:p>
        </w:tc>
      </w:tr>
      <w:tr w:rsidR="00834BFB" w:rsidRPr="00042924" w14:paraId="27D3637F" w14:textId="77777777" w:rsidTr="00E4247F">
        <w:trPr>
          <w:trHeight w:val="56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482999E4"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Z=0,063K1 + 0,092K2 + 0,052K3 + 0,001K4</w:t>
            </w:r>
          </w:p>
        </w:tc>
        <w:tc>
          <w:tcPr>
            <w:tcW w:w="962" w:type="pct"/>
            <w:tcBorders>
              <w:top w:val="nil"/>
              <w:left w:val="nil"/>
              <w:bottom w:val="single" w:sz="8" w:space="0" w:color="000000"/>
              <w:right w:val="single" w:sz="8" w:space="0" w:color="000000"/>
            </w:tcBorders>
            <w:shd w:val="clear" w:color="auto" w:fill="auto"/>
            <w:vAlign w:val="center"/>
            <w:hideMark/>
          </w:tcPr>
          <w:p w14:paraId="7F018A4E"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0,039</w:t>
            </w:r>
          </w:p>
        </w:tc>
        <w:tc>
          <w:tcPr>
            <w:tcW w:w="685" w:type="pct"/>
            <w:tcBorders>
              <w:top w:val="nil"/>
              <w:left w:val="nil"/>
              <w:bottom w:val="single" w:sz="8" w:space="0" w:color="000000"/>
              <w:right w:val="single" w:sz="8" w:space="0" w:color="000000"/>
            </w:tcBorders>
            <w:shd w:val="clear" w:color="auto" w:fill="auto"/>
            <w:vAlign w:val="center"/>
            <w:hideMark/>
          </w:tcPr>
          <w:p w14:paraId="7923C14D"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0,044</w:t>
            </w:r>
          </w:p>
        </w:tc>
        <w:tc>
          <w:tcPr>
            <w:tcW w:w="685" w:type="pct"/>
            <w:tcBorders>
              <w:top w:val="nil"/>
              <w:left w:val="nil"/>
              <w:bottom w:val="single" w:sz="8" w:space="0" w:color="000000"/>
              <w:right w:val="single" w:sz="8" w:space="0" w:color="000000"/>
            </w:tcBorders>
            <w:shd w:val="clear" w:color="auto" w:fill="auto"/>
            <w:vAlign w:val="center"/>
            <w:hideMark/>
          </w:tcPr>
          <w:p w14:paraId="6BBBA79F"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0,079</w:t>
            </w:r>
          </w:p>
        </w:tc>
        <w:tc>
          <w:tcPr>
            <w:tcW w:w="816" w:type="pct"/>
            <w:tcBorders>
              <w:top w:val="nil"/>
              <w:left w:val="nil"/>
              <w:bottom w:val="single" w:sz="8" w:space="0" w:color="000000"/>
              <w:right w:val="single" w:sz="8" w:space="0" w:color="000000"/>
            </w:tcBorders>
            <w:shd w:val="clear" w:color="auto" w:fill="auto"/>
            <w:vAlign w:val="center"/>
            <w:hideMark/>
          </w:tcPr>
          <w:p w14:paraId="191A7A52"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0,009</w:t>
            </w:r>
          </w:p>
        </w:tc>
      </w:tr>
      <w:tr w:rsidR="00834BFB" w:rsidRPr="00042924" w14:paraId="715FFFCA" w14:textId="77777777" w:rsidTr="000318AA">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739CD274"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Інтерпретація показника Z</w:t>
            </w:r>
          </w:p>
        </w:tc>
        <w:tc>
          <w:tcPr>
            <w:tcW w:w="962" w:type="pct"/>
            <w:tcBorders>
              <w:top w:val="nil"/>
              <w:left w:val="nil"/>
              <w:bottom w:val="single" w:sz="8" w:space="0" w:color="000000"/>
              <w:right w:val="nil"/>
            </w:tcBorders>
            <w:shd w:val="clear" w:color="auto" w:fill="auto"/>
            <w:vAlign w:val="center"/>
            <w:hideMark/>
          </w:tcPr>
          <w:p w14:paraId="6242ABBE"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Середня</w:t>
            </w:r>
          </w:p>
        </w:tc>
        <w:tc>
          <w:tcPr>
            <w:tcW w:w="685" w:type="pct"/>
            <w:tcBorders>
              <w:top w:val="nil"/>
              <w:left w:val="single" w:sz="8" w:space="0" w:color="auto"/>
              <w:bottom w:val="single" w:sz="8" w:space="0" w:color="auto"/>
              <w:right w:val="single" w:sz="8" w:space="0" w:color="auto"/>
            </w:tcBorders>
            <w:shd w:val="clear" w:color="auto" w:fill="auto"/>
            <w:vAlign w:val="center"/>
            <w:hideMark/>
          </w:tcPr>
          <w:p w14:paraId="32C37EC0"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Низька</w:t>
            </w:r>
          </w:p>
        </w:tc>
        <w:tc>
          <w:tcPr>
            <w:tcW w:w="685" w:type="pct"/>
            <w:tcBorders>
              <w:top w:val="nil"/>
              <w:left w:val="nil"/>
              <w:bottom w:val="single" w:sz="8" w:space="0" w:color="auto"/>
              <w:right w:val="single" w:sz="8" w:space="0" w:color="auto"/>
            </w:tcBorders>
            <w:shd w:val="clear" w:color="auto" w:fill="auto"/>
            <w:vAlign w:val="center"/>
            <w:hideMark/>
          </w:tcPr>
          <w:p w14:paraId="10E266B7"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Дуже низька</w:t>
            </w:r>
          </w:p>
        </w:tc>
        <w:tc>
          <w:tcPr>
            <w:tcW w:w="816" w:type="pct"/>
            <w:tcBorders>
              <w:top w:val="nil"/>
              <w:left w:val="nil"/>
              <w:bottom w:val="single" w:sz="8" w:space="0" w:color="000000"/>
              <w:right w:val="single" w:sz="8" w:space="0" w:color="000000"/>
            </w:tcBorders>
            <w:shd w:val="clear" w:color="auto" w:fill="auto"/>
            <w:vAlign w:val="center"/>
            <w:hideMark/>
          </w:tcPr>
          <w:p w14:paraId="588B4196" w14:textId="77777777" w:rsidR="00834BFB" w:rsidRPr="00042924" w:rsidRDefault="00834BFB"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Дуже висока</w:t>
            </w:r>
          </w:p>
        </w:tc>
      </w:tr>
    </w:tbl>
    <w:p w14:paraId="0AE4E298" w14:textId="77777777" w:rsidR="00CE5D9E" w:rsidRPr="00042924" w:rsidRDefault="00CE5D9E" w:rsidP="00CE5D9E">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0318AA" w:rsidRPr="00E32FFC">
        <w:rPr>
          <w:rFonts w:ascii="Times New Roman" w:hAnsi="Times New Roman" w:cs="Times New Roman"/>
          <w:sz w:val="28"/>
          <w:szCs w:val="28"/>
          <w:lang w:val="uk-UA"/>
        </w:rPr>
        <w:t>складено автором на основі</w:t>
      </w:r>
      <w:r w:rsidR="00F90A12" w:rsidRPr="00042924">
        <w:rPr>
          <w:rFonts w:ascii="Times New Roman" w:eastAsia="Times New Roman" w:hAnsi="Times New Roman" w:cs="Times New Roman"/>
          <w:sz w:val="28"/>
          <w:szCs w:val="28"/>
          <w:lang w:val="uk-UA"/>
        </w:rPr>
        <w:t xml:space="preserve"> [33]</w:t>
      </w:r>
    </w:p>
    <w:p w14:paraId="09D59E97" w14:textId="77777777" w:rsidR="00834BFB" w:rsidRPr="00042924" w:rsidRDefault="00834BFB" w:rsidP="00CE5D9E">
      <w:pPr>
        <w:spacing w:after="0" w:line="240" w:lineRule="auto"/>
        <w:ind w:firstLine="709"/>
        <w:jc w:val="both"/>
        <w:rPr>
          <w:rFonts w:ascii="Times New Roman" w:eastAsia="Times New Roman" w:hAnsi="Times New Roman" w:cs="Times New Roman"/>
          <w:sz w:val="28"/>
          <w:szCs w:val="28"/>
          <w:lang w:val="uk-UA"/>
        </w:rPr>
      </w:pPr>
    </w:p>
    <w:p w14:paraId="6331B143" w14:textId="77777777" w:rsidR="00CE5D9E" w:rsidRPr="00042924" w:rsidRDefault="00CE5D9E" w:rsidP="00CE5D9E">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За результатами моделі Ліса у 2019 та 2020 роках спостерігалася середня та низька ймовірності банкрутства відповідно. Натомість у 2021 році ймовірність була дуже низькою, а у 2022 - дуже високою. Це ще раз підтверджує нестабільність та періодично високі ризики банкрутства компанії.</w:t>
      </w:r>
    </w:p>
    <w:p w14:paraId="046A5034" w14:textId="77777777" w:rsidR="00CE5D9E" w:rsidRPr="00042924" w:rsidRDefault="00CE5D9E" w:rsidP="00CE5D9E">
      <w:pPr>
        <w:spacing w:after="0" w:line="240" w:lineRule="auto"/>
        <w:ind w:firstLine="709"/>
        <w:jc w:val="both"/>
        <w:rPr>
          <w:rFonts w:ascii="Times New Roman" w:eastAsia="Times New Roman" w:hAnsi="Times New Roman" w:cs="Times New Roman"/>
          <w:sz w:val="28"/>
          <w:szCs w:val="28"/>
          <w:lang w:val="uk-UA"/>
        </w:rPr>
      </w:pPr>
      <w:bookmarkStart w:id="22" w:name="_Hlk151984414"/>
      <w:r w:rsidRPr="00042924">
        <w:rPr>
          <w:rFonts w:ascii="Times New Roman" w:eastAsia="Times New Roman" w:hAnsi="Times New Roman" w:cs="Times New Roman"/>
          <w:sz w:val="28"/>
          <w:szCs w:val="28"/>
          <w:lang w:val="uk-UA"/>
        </w:rPr>
        <w:t>Для узагальнення результатів розрахунку ймовірності банкрутства ПАТ “АрселорМіттал Кривий Ріг” за чотирма зарубіжними моделями складено порівняльну таблицю 2.1</w:t>
      </w:r>
      <w:r w:rsidR="004D1828" w:rsidRPr="00042924">
        <w:rPr>
          <w:rFonts w:ascii="Times New Roman" w:eastAsia="Times New Roman" w:hAnsi="Times New Roman" w:cs="Times New Roman"/>
          <w:sz w:val="28"/>
          <w:szCs w:val="28"/>
          <w:lang w:val="uk-UA"/>
        </w:rPr>
        <w:t>3</w:t>
      </w:r>
      <w:r w:rsidRPr="00042924">
        <w:rPr>
          <w:rFonts w:ascii="Times New Roman" w:eastAsia="Times New Roman" w:hAnsi="Times New Roman" w:cs="Times New Roman"/>
          <w:sz w:val="28"/>
          <w:szCs w:val="28"/>
          <w:lang w:val="uk-UA"/>
        </w:rPr>
        <w:t>.</w:t>
      </w:r>
    </w:p>
    <w:bookmarkEnd w:id="22"/>
    <w:p w14:paraId="7D938DD7" w14:textId="77777777" w:rsidR="00CE5D9E" w:rsidRPr="00042924" w:rsidRDefault="00CE5D9E" w:rsidP="00CE5D9E">
      <w:pPr>
        <w:spacing w:after="0" w:line="240" w:lineRule="auto"/>
        <w:ind w:firstLine="709"/>
        <w:jc w:val="both"/>
        <w:rPr>
          <w:rFonts w:ascii="Times New Roman" w:eastAsia="Times New Roman" w:hAnsi="Times New Roman" w:cs="Times New Roman"/>
          <w:sz w:val="28"/>
          <w:szCs w:val="28"/>
          <w:lang w:val="uk-UA"/>
        </w:rPr>
      </w:pPr>
    </w:p>
    <w:p w14:paraId="20B55EBA" w14:textId="77777777" w:rsidR="00CE5D9E" w:rsidRPr="00042924" w:rsidRDefault="00CE5D9E" w:rsidP="006B27E7">
      <w:pPr>
        <w:spacing w:after="0" w:line="240" w:lineRule="auto"/>
        <w:ind w:firstLine="709"/>
        <w:jc w:val="both"/>
        <w:rPr>
          <w:rFonts w:ascii="Times New Roman" w:eastAsia="Times New Roman" w:hAnsi="Times New Roman" w:cs="Times New Roman"/>
          <w:sz w:val="28"/>
          <w:szCs w:val="28"/>
          <w:lang w:val="uk-UA"/>
        </w:rPr>
      </w:pPr>
      <w:bookmarkStart w:id="23" w:name="_Hlk151984431"/>
      <w:r w:rsidRPr="00042924">
        <w:rPr>
          <w:rFonts w:ascii="Times New Roman" w:eastAsia="Times New Roman" w:hAnsi="Times New Roman" w:cs="Times New Roman"/>
          <w:sz w:val="28"/>
          <w:szCs w:val="28"/>
          <w:lang w:val="uk-UA"/>
        </w:rPr>
        <w:t>Таблиця 2.1</w:t>
      </w:r>
      <w:r w:rsidR="004D1828" w:rsidRPr="00042924">
        <w:rPr>
          <w:rFonts w:ascii="Times New Roman" w:eastAsia="Times New Roman" w:hAnsi="Times New Roman" w:cs="Times New Roman"/>
          <w:sz w:val="28"/>
          <w:szCs w:val="28"/>
          <w:lang w:val="uk-UA"/>
        </w:rPr>
        <w:t>3</w:t>
      </w:r>
      <w:r w:rsidRPr="00042924">
        <w:rPr>
          <w:rFonts w:ascii="Times New Roman" w:eastAsia="Times New Roman" w:hAnsi="Times New Roman" w:cs="Times New Roman"/>
          <w:sz w:val="28"/>
          <w:szCs w:val="28"/>
          <w:lang w:val="uk-UA"/>
        </w:rPr>
        <w:t xml:space="preserve"> – </w:t>
      </w:r>
      <w:r w:rsidR="008C346E">
        <w:rPr>
          <w:rFonts w:ascii="Times New Roman" w:eastAsia="Times New Roman" w:hAnsi="Times New Roman" w:cs="Times New Roman"/>
          <w:sz w:val="28"/>
          <w:szCs w:val="28"/>
          <w:lang w:val="uk-UA"/>
        </w:rPr>
        <w:t>Узагальнення р</w:t>
      </w:r>
      <w:r w:rsidRPr="00042924">
        <w:rPr>
          <w:rFonts w:ascii="Times New Roman" w:eastAsia="Times New Roman" w:hAnsi="Times New Roman" w:cs="Times New Roman"/>
          <w:sz w:val="28"/>
          <w:szCs w:val="28"/>
          <w:lang w:val="uk-UA"/>
        </w:rPr>
        <w:t>озрахунк</w:t>
      </w:r>
      <w:r w:rsidR="008C346E">
        <w:rPr>
          <w:rFonts w:ascii="Times New Roman" w:eastAsia="Times New Roman" w:hAnsi="Times New Roman" w:cs="Times New Roman"/>
          <w:sz w:val="28"/>
          <w:szCs w:val="28"/>
          <w:lang w:val="uk-UA"/>
        </w:rPr>
        <w:t>у</w:t>
      </w:r>
      <w:r w:rsidRPr="00042924">
        <w:rPr>
          <w:rFonts w:ascii="Times New Roman" w:eastAsia="Times New Roman" w:hAnsi="Times New Roman" w:cs="Times New Roman"/>
          <w:sz w:val="28"/>
          <w:szCs w:val="28"/>
          <w:lang w:val="uk-UA"/>
        </w:rPr>
        <w:t xml:space="preserve"> ймовірності банкрутства ПАТ </w:t>
      </w:r>
      <w:r w:rsidR="00B1406D">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за 2019 - 2022 роки за зарубіжними методиками</w:t>
      </w:r>
    </w:p>
    <w:tbl>
      <w:tblPr>
        <w:tblStyle w:val="a6"/>
        <w:tblW w:w="5000" w:type="pct"/>
        <w:tblCellMar>
          <w:top w:w="28" w:type="dxa"/>
          <w:left w:w="28" w:type="dxa"/>
          <w:bottom w:w="28" w:type="dxa"/>
          <w:right w:w="28" w:type="dxa"/>
        </w:tblCellMar>
        <w:tblLook w:val="04A0" w:firstRow="1" w:lastRow="0" w:firstColumn="1" w:lastColumn="0" w:noHBand="0" w:noVBand="1"/>
      </w:tblPr>
      <w:tblGrid>
        <w:gridCol w:w="898"/>
        <w:gridCol w:w="2252"/>
        <w:gridCol w:w="1956"/>
        <w:gridCol w:w="2256"/>
        <w:gridCol w:w="2549"/>
      </w:tblGrid>
      <w:tr w:rsidR="00412371" w:rsidRPr="00042924" w14:paraId="0EB3E1C0" w14:textId="77777777" w:rsidTr="008D0688">
        <w:trPr>
          <w:trHeight w:val="144"/>
        </w:trPr>
        <w:tc>
          <w:tcPr>
            <w:tcW w:w="453" w:type="pct"/>
            <w:vMerge w:val="restart"/>
            <w:vAlign w:val="center"/>
          </w:tcPr>
          <w:p w14:paraId="68FFD584"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Рік</w:t>
            </w:r>
          </w:p>
        </w:tc>
        <w:tc>
          <w:tcPr>
            <w:tcW w:w="4547" w:type="pct"/>
            <w:gridSpan w:val="4"/>
            <w:vAlign w:val="center"/>
          </w:tcPr>
          <w:p w14:paraId="39AF21E3"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Зарубіжні моделі визначення ймовірності банкрутства</w:t>
            </w:r>
          </w:p>
        </w:tc>
      </w:tr>
      <w:tr w:rsidR="00412371" w:rsidRPr="00042924" w14:paraId="3E49BE2B" w14:textId="77777777" w:rsidTr="008D0688">
        <w:trPr>
          <w:trHeight w:val="154"/>
        </w:trPr>
        <w:tc>
          <w:tcPr>
            <w:tcW w:w="453" w:type="pct"/>
            <w:vMerge/>
            <w:vAlign w:val="center"/>
          </w:tcPr>
          <w:p w14:paraId="25E845E3" w14:textId="77777777" w:rsidR="00412371" w:rsidRPr="00042924" w:rsidRDefault="00412371" w:rsidP="0029174C">
            <w:pPr>
              <w:jc w:val="center"/>
              <w:rPr>
                <w:rFonts w:ascii="Times New Roman" w:hAnsi="Times New Roman" w:cs="Times New Roman"/>
                <w:sz w:val="20"/>
                <w:szCs w:val="20"/>
                <w:lang w:val="uk-UA"/>
              </w:rPr>
            </w:pPr>
          </w:p>
        </w:tc>
        <w:tc>
          <w:tcPr>
            <w:tcW w:w="1136" w:type="pct"/>
            <w:vAlign w:val="center"/>
          </w:tcPr>
          <w:p w14:paraId="5ACDE5B6"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color w:val="333333"/>
                <w:sz w:val="20"/>
                <w:szCs w:val="20"/>
                <w:shd w:val="clear" w:color="auto" w:fill="FFFFFF"/>
                <w:lang w:val="uk-UA"/>
              </w:rPr>
              <w:t>США</w:t>
            </w:r>
          </w:p>
        </w:tc>
        <w:tc>
          <w:tcPr>
            <w:tcW w:w="2125" w:type="pct"/>
            <w:gridSpan w:val="2"/>
            <w:vAlign w:val="center"/>
          </w:tcPr>
          <w:p w14:paraId="27F26590"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color w:val="333333"/>
                <w:sz w:val="20"/>
                <w:szCs w:val="20"/>
                <w:shd w:val="clear" w:color="auto" w:fill="FFFFFF"/>
                <w:lang w:val="uk-UA"/>
              </w:rPr>
              <w:t>Велика Британія</w:t>
            </w:r>
          </w:p>
        </w:tc>
        <w:tc>
          <w:tcPr>
            <w:tcW w:w="1286" w:type="pct"/>
            <w:vAlign w:val="center"/>
          </w:tcPr>
          <w:p w14:paraId="192F151D"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color w:val="333333"/>
                <w:sz w:val="20"/>
                <w:szCs w:val="20"/>
                <w:shd w:val="clear" w:color="auto" w:fill="FFFFFF"/>
                <w:lang w:val="uk-UA"/>
              </w:rPr>
              <w:t>США і Канада</w:t>
            </w:r>
          </w:p>
        </w:tc>
      </w:tr>
      <w:tr w:rsidR="00412371" w:rsidRPr="00042924" w14:paraId="1F6D4C69" w14:textId="77777777" w:rsidTr="008D0688">
        <w:trPr>
          <w:trHeight w:val="156"/>
        </w:trPr>
        <w:tc>
          <w:tcPr>
            <w:tcW w:w="453" w:type="pct"/>
            <w:vMerge/>
            <w:vAlign w:val="center"/>
          </w:tcPr>
          <w:p w14:paraId="2E116026" w14:textId="77777777" w:rsidR="00412371" w:rsidRPr="00042924" w:rsidRDefault="00412371" w:rsidP="0029174C">
            <w:pPr>
              <w:jc w:val="center"/>
              <w:rPr>
                <w:rFonts w:ascii="Times New Roman" w:hAnsi="Times New Roman" w:cs="Times New Roman"/>
                <w:sz w:val="20"/>
                <w:szCs w:val="20"/>
                <w:lang w:val="uk-UA"/>
              </w:rPr>
            </w:pPr>
          </w:p>
        </w:tc>
        <w:tc>
          <w:tcPr>
            <w:tcW w:w="1136" w:type="pct"/>
            <w:vAlign w:val="center"/>
          </w:tcPr>
          <w:p w14:paraId="6BA25430"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П’ятифакторна модель</w:t>
            </w:r>
          </w:p>
          <w:p w14:paraId="4D84B317"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Е. Альтмана</w:t>
            </w:r>
          </w:p>
        </w:tc>
        <w:tc>
          <w:tcPr>
            <w:tcW w:w="987" w:type="pct"/>
            <w:vAlign w:val="center"/>
          </w:tcPr>
          <w:p w14:paraId="76D76AB8"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Модель</w:t>
            </w:r>
          </w:p>
          <w:p w14:paraId="41260E3A"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Р. Ліса</w:t>
            </w:r>
          </w:p>
        </w:tc>
        <w:tc>
          <w:tcPr>
            <w:tcW w:w="1138" w:type="pct"/>
            <w:vAlign w:val="center"/>
          </w:tcPr>
          <w:p w14:paraId="6BFCAACC"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Модель</w:t>
            </w:r>
          </w:p>
          <w:p w14:paraId="57314B3F"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Р. Таффлера</w:t>
            </w:r>
          </w:p>
        </w:tc>
        <w:tc>
          <w:tcPr>
            <w:tcW w:w="1286" w:type="pct"/>
            <w:vAlign w:val="center"/>
          </w:tcPr>
          <w:p w14:paraId="19208289"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Модель</w:t>
            </w:r>
          </w:p>
          <w:p w14:paraId="0F3C82A9" w14:textId="77777777" w:rsidR="00412371" w:rsidRPr="00042924" w:rsidRDefault="00412371"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Г. Спрінгейта</w:t>
            </w:r>
          </w:p>
        </w:tc>
      </w:tr>
      <w:tr w:rsidR="003C3495" w:rsidRPr="00042924" w14:paraId="748A25CE" w14:textId="77777777" w:rsidTr="008D0688">
        <w:trPr>
          <w:trHeight w:val="283"/>
        </w:trPr>
        <w:tc>
          <w:tcPr>
            <w:tcW w:w="453" w:type="pct"/>
            <w:vAlign w:val="center"/>
          </w:tcPr>
          <w:p w14:paraId="3F1928C5" w14:textId="77777777" w:rsidR="003C3495" w:rsidRPr="00042924" w:rsidRDefault="00DE477D"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w:t>
            </w:r>
          </w:p>
        </w:tc>
        <w:tc>
          <w:tcPr>
            <w:tcW w:w="1136" w:type="pct"/>
            <w:vAlign w:val="center"/>
          </w:tcPr>
          <w:p w14:paraId="433DD220" w14:textId="77777777" w:rsidR="003C3495" w:rsidRPr="00042924" w:rsidRDefault="00DE477D"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2</w:t>
            </w:r>
          </w:p>
        </w:tc>
        <w:tc>
          <w:tcPr>
            <w:tcW w:w="987" w:type="pct"/>
            <w:vAlign w:val="center"/>
          </w:tcPr>
          <w:p w14:paraId="35B2F72F" w14:textId="77777777" w:rsidR="003C3495" w:rsidRPr="00042924" w:rsidRDefault="00DE477D"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3</w:t>
            </w:r>
          </w:p>
        </w:tc>
        <w:tc>
          <w:tcPr>
            <w:tcW w:w="1138" w:type="pct"/>
            <w:vAlign w:val="center"/>
          </w:tcPr>
          <w:p w14:paraId="2DC18C95" w14:textId="77777777" w:rsidR="003C3495" w:rsidRPr="00042924" w:rsidRDefault="00DE477D"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4</w:t>
            </w:r>
          </w:p>
        </w:tc>
        <w:tc>
          <w:tcPr>
            <w:tcW w:w="1286" w:type="pct"/>
            <w:vAlign w:val="center"/>
          </w:tcPr>
          <w:p w14:paraId="753B070B" w14:textId="77777777" w:rsidR="003C3495" w:rsidRPr="00042924" w:rsidRDefault="00DE477D"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5</w:t>
            </w:r>
          </w:p>
        </w:tc>
      </w:tr>
      <w:tr w:rsidR="00412371" w:rsidRPr="00042924" w14:paraId="52E4EDD4" w14:textId="77777777" w:rsidTr="008D0688">
        <w:trPr>
          <w:trHeight w:val="1134"/>
        </w:trPr>
        <w:tc>
          <w:tcPr>
            <w:tcW w:w="453" w:type="pct"/>
            <w:vAlign w:val="center"/>
          </w:tcPr>
          <w:p w14:paraId="72D956EE"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2019</w:t>
            </w:r>
          </w:p>
        </w:tc>
        <w:tc>
          <w:tcPr>
            <w:tcW w:w="1136" w:type="pct"/>
            <w:vAlign w:val="center"/>
          </w:tcPr>
          <w:p w14:paraId="16E8D57C"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1,626</w:t>
            </w:r>
          </w:p>
          <w:p w14:paraId="7D52B49C"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1,8 – </w:t>
            </w:r>
            <w:r w:rsidR="002725F0" w:rsidRPr="00042924">
              <w:rPr>
                <w:rFonts w:ascii="Times New Roman" w:hAnsi="Times New Roman" w:cs="Times New Roman"/>
                <w:sz w:val="20"/>
                <w:szCs w:val="20"/>
                <w:lang w:val="uk-UA"/>
              </w:rPr>
              <w:t>вірогідність</w:t>
            </w:r>
            <w:r w:rsidRPr="00042924">
              <w:rPr>
                <w:rFonts w:ascii="Times New Roman" w:hAnsi="Times New Roman" w:cs="Times New Roman"/>
                <w:sz w:val="20"/>
                <w:szCs w:val="20"/>
                <w:lang w:val="uk-UA"/>
              </w:rPr>
              <w:t xml:space="preserve"> банкрутства </w:t>
            </w:r>
            <w:r w:rsidR="002725F0" w:rsidRPr="00042924">
              <w:rPr>
                <w:rFonts w:ascii="Times New Roman" w:hAnsi="Times New Roman" w:cs="Times New Roman"/>
                <w:sz w:val="20"/>
                <w:szCs w:val="20"/>
                <w:lang w:val="uk-UA"/>
              </w:rPr>
              <w:t>занадто</w:t>
            </w:r>
            <w:r w:rsidRPr="00042924">
              <w:rPr>
                <w:rFonts w:ascii="Times New Roman" w:hAnsi="Times New Roman" w:cs="Times New Roman"/>
                <w:sz w:val="20"/>
                <w:szCs w:val="20"/>
                <w:lang w:val="uk-UA"/>
              </w:rPr>
              <w:t xml:space="preserve"> висока (понад 80%)</w:t>
            </w:r>
          </w:p>
        </w:tc>
        <w:tc>
          <w:tcPr>
            <w:tcW w:w="987" w:type="pct"/>
            <w:vAlign w:val="center"/>
          </w:tcPr>
          <w:p w14:paraId="68E7B836"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0,039</w:t>
            </w:r>
          </w:p>
          <w:p w14:paraId="1C92CD0E"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&gt; 0,037 – низька </w:t>
            </w:r>
            <w:r w:rsidR="00760562" w:rsidRPr="00042924">
              <w:rPr>
                <w:rFonts w:ascii="Times New Roman" w:hAnsi="Times New Roman" w:cs="Times New Roman"/>
                <w:sz w:val="20"/>
                <w:szCs w:val="20"/>
                <w:lang w:val="uk-UA"/>
              </w:rPr>
              <w:t>вірогідність</w:t>
            </w:r>
            <w:r w:rsidRPr="00042924">
              <w:rPr>
                <w:rFonts w:ascii="Times New Roman" w:hAnsi="Times New Roman" w:cs="Times New Roman"/>
                <w:sz w:val="20"/>
                <w:szCs w:val="20"/>
                <w:lang w:val="uk-UA"/>
              </w:rPr>
              <w:t xml:space="preserve"> банкрутства</w:t>
            </w:r>
          </w:p>
        </w:tc>
        <w:tc>
          <w:tcPr>
            <w:tcW w:w="1138" w:type="pct"/>
            <w:vAlign w:val="center"/>
          </w:tcPr>
          <w:p w14:paraId="46D158F8"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0,085</w:t>
            </w:r>
          </w:p>
          <w:p w14:paraId="684EF57D"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0,2 – </w:t>
            </w:r>
            <w:r w:rsidR="00760562" w:rsidRPr="00042924">
              <w:rPr>
                <w:rFonts w:ascii="Times New Roman" w:hAnsi="Times New Roman" w:cs="Times New Roman"/>
                <w:sz w:val="20"/>
                <w:szCs w:val="20"/>
                <w:lang w:val="uk-UA"/>
              </w:rPr>
              <w:t>вірогідність</w:t>
            </w:r>
            <w:r w:rsidRPr="00042924">
              <w:rPr>
                <w:rFonts w:ascii="Times New Roman" w:hAnsi="Times New Roman" w:cs="Times New Roman"/>
                <w:sz w:val="20"/>
                <w:szCs w:val="20"/>
                <w:lang w:val="uk-UA"/>
              </w:rPr>
              <w:t xml:space="preserve"> банкрутства </w:t>
            </w:r>
            <w:r w:rsidR="00760562" w:rsidRPr="00042924">
              <w:rPr>
                <w:rFonts w:ascii="Times New Roman" w:hAnsi="Times New Roman" w:cs="Times New Roman"/>
                <w:sz w:val="20"/>
                <w:szCs w:val="20"/>
                <w:lang w:val="uk-UA"/>
              </w:rPr>
              <w:t>доволі</w:t>
            </w:r>
            <w:r w:rsidRPr="00042924">
              <w:rPr>
                <w:rFonts w:ascii="Times New Roman" w:hAnsi="Times New Roman" w:cs="Times New Roman"/>
                <w:sz w:val="20"/>
                <w:szCs w:val="20"/>
                <w:lang w:val="uk-UA"/>
              </w:rPr>
              <w:t xml:space="preserve"> висока</w:t>
            </w:r>
          </w:p>
        </w:tc>
        <w:tc>
          <w:tcPr>
            <w:tcW w:w="1286" w:type="pct"/>
            <w:vAlign w:val="center"/>
          </w:tcPr>
          <w:p w14:paraId="382C9C9E"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0,494</w:t>
            </w:r>
          </w:p>
          <w:p w14:paraId="22813BEE"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0,862 – підприємство є </w:t>
            </w:r>
            <w:r w:rsidR="000A5295" w:rsidRPr="00042924">
              <w:rPr>
                <w:rFonts w:ascii="Times New Roman" w:hAnsi="Times New Roman" w:cs="Times New Roman"/>
                <w:sz w:val="20"/>
                <w:szCs w:val="20"/>
                <w:lang w:val="uk-UA"/>
              </w:rPr>
              <w:t>імовірним</w:t>
            </w:r>
            <w:r w:rsidRPr="00042924">
              <w:rPr>
                <w:rFonts w:ascii="Times New Roman" w:hAnsi="Times New Roman" w:cs="Times New Roman"/>
                <w:sz w:val="20"/>
                <w:szCs w:val="20"/>
                <w:lang w:val="uk-UA"/>
              </w:rPr>
              <w:t xml:space="preserve"> банкрутом</w:t>
            </w:r>
          </w:p>
        </w:tc>
      </w:tr>
      <w:tr w:rsidR="00412371" w:rsidRPr="00042924" w14:paraId="70D734DC" w14:textId="77777777" w:rsidTr="008D0688">
        <w:trPr>
          <w:trHeight w:val="1020"/>
        </w:trPr>
        <w:tc>
          <w:tcPr>
            <w:tcW w:w="453" w:type="pct"/>
            <w:vAlign w:val="center"/>
          </w:tcPr>
          <w:p w14:paraId="3384CC16"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2020</w:t>
            </w:r>
          </w:p>
        </w:tc>
        <w:tc>
          <w:tcPr>
            <w:tcW w:w="1136" w:type="pct"/>
            <w:vAlign w:val="center"/>
          </w:tcPr>
          <w:p w14:paraId="08963B51"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2,257</w:t>
            </w:r>
          </w:p>
          <w:p w14:paraId="066E454E"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1,81 &lt; Z &lt; 2,7 – висока (від 40% до 50%)</w:t>
            </w:r>
          </w:p>
        </w:tc>
        <w:tc>
          <w:tcPr>
            <w:tcW w:w="987" w:type="pct"/>
            <w:vAlign w:val="center"/>
          </w:tcPr>
          <w:p w14:paraId="4F6581A0"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0,044</w:t>
            </w:r>
          </w:p>
          <w:p w14:paraId="042AAB20"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&gt; 0,037 – низька </w:t>
            </w:r>
            <w:r w:rsidR="0093280F" w:rsidRPr="00042924">
              <w:rPr>
                <w:rFonts w:ascii="Times New Roman" w:hAnsi="Times New Roman" w:cs="Times New Roman"/>
                <w:sz w:val="20"/>
                <w:szCs w:val="20"/>
                <w:lang w:val="uk-UA"/>
              </w:rPr>
              <w:t xml:space="preserve">вірогідність </w:t>
            </w:r>
            <w:r w:rsidRPr="00042924">
              <w:rPr>
                <w:rFonts w:ascii="Times New Roman" w:hAnsi="Times New Roman" w:cs="Times New Roman"/>
                <w:sz w:val="20"/>
                <w:szCs w:val="20"/>
                <w:lang w:val="uk-UA"/>
              </w:rPr>
              <w:t>банкрутства</w:t>
            </w:r>
          </w:p>
        </w:tc>
        <w:tc>
          <w:tcPr>
            <w:tcW w:w="1138" w:type="pct"/>
            <w:vAlign w:val="center"/>
          </w:tcPr>
          <w:p w14:paraId="73F38F7D"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0,101</w:t>
            </w:r>
          </w:p>
          <w:p w14:paraId="61D49655"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0,2 – </w:t>
            </w:r>
            <w:r w:rsidR="0093280F" w:rsidRPr="00042924">
              <w:rPr>
                <w:rFonts w:ascii="Times New Roman" w:hAnsi="Times New Roman" w:cs="Times New Roman"/>
                <w:sz w:val="20"/>
                <w:szCs w:val="20"/>
                <w:lang w:val="uk-UA"/>
              </w:rPr>
              <w:t xml:space="preserve">вірогідність </w:t>
            </w:r>
            <w:r w:rsidRPr="00042924">
              <w:rPr>
                <w:rFonts w:ascii="Times New Roman" w:hAnsi="Times New Roman" w:cs="Times New Roman"/>
                <w:sz w:val="20"/>
                <w:szCs w:val="20"/>
                <w:lang w:val="uk-UA"/>
              </w:rPr>
              <w:t>банкрутства досить висока</w:t>
            </w:r>
          </w:p>
        </w:tc>
        <w:tc>
          <w:tcPr>
            <w:tcW w:w="1286" w:type="pct"/>
            <w:vAlign w:val="center"/>
          </w:tcPr>
          <w:p w14:paraId="339838AF"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0,699</w:t>
            </w:r>
          </w:p>
          <w:p w14:paraId="71C36A70"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0,862 – підприємство є </w:t>
            </w:r>
            <w:r w:rsidR="000A5295" w:rsidRPr="00042924">
              <w:rPr>
                <w:rFonts w:ascii="Times New Roman" w:hAnsi="Times New Roman" w:cs="Times New Roman"/>
                <w:sz w:val="20"/>
                <w:szCs w:val="20"/>
                <w:lang w:val="uk-UA"/>
              </w:rPr>
              <w:t>імовірним</w:t>
            </w:r>
            <w:r w:rsidRPr="00042924">
              <w:rPr>
                <w:rFonts w:ascii="Times New Roman" w:hAnsi="Times New Roman" w:cs="Times New Roman"/>
                <w:sz w:val="20"/>
                <w:szCs w:val="20"/>
                <w:lang w:val="uk-UA"/>
              </w:rPr>
              <w:t xml:space="preserve"> банкрутом</w:t>
            </w:r>
          </w:p>
        </w:tc>
      </w:tr>
      <w:tr w:rsidR="00412371" w:rsidRPr="00042924" w14:paraId="2BA7E8F9" w14:textId="77777777" w:rsidTr="008D0688">
        <w:trPr>
          <w:trHeight w:val="1020"/>
        </w:trPr>
        <w:tc>
          <w:tcPr>
            <w:tcW w:w="453" w:type="pct"/>
            <w:vAlign w:val="center"/>
          </w:tcPr>
          <w:p w14:paraId="0B13C49A"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2021</w:t>
            </w:r>
          </w:p>
        </w:tc>
        <w:tc>
          <w:tcPr>
            <w:tcW w:w="1136" w:type="pct"/>
            <w:vAlign w:val="center"/>
          </w:tcPr>
          <w:p w14:paraId="1069F1FC"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4,163</w:t>
            </w:r>
          </w:p>
          <w:p w14:paraId="4B750033"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&gt; 3 – дуже </w:t>
            </w:r>
            <w:r w:rsidR="002063AD" w:rsidRPr="00042924">
              <w:rPr>
                <w:rFonts w:ascii="Times New Roman" w:hAnsi="Times New Roman" w:cs="Times New Roman"/>
                <w:sz w:val="20"/>
                <w:szCs w:val="20"/>
                <w:lang w:val="uk-UA"/>
              </w:rPr>
              <w:t>мінімальна</w:t>
            </w:r>
          </w:p>
        </w:tc>
        <w:tc>
          <w:tcPr>
            <w:tcW w:w="987" w:type="pct"/>
            <w:vAlign w:val="center"/>
          </w:tcPr>
          <w:p w14:paraId="62959272"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0,079</w:t>
            </w:r>
          </w:p>
          <w:p w14:paraId="1F200B2A"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&gt; 0,037 – низька </w:t>
            </w:r>
            <w:r w:rsidR="0093280F" w:rsidRPr="00042924">
              <w:rPr>
                <w:rFonts w:ascii="Times New Roman" w:hAnsi="Times New Roman" w:cs="Times New Roman"/>
                <w:sz w:val="20"/>
                <w:szCs w:val="20"/>
                <w:lang w:val="uk-UA"/>
              </w:rPr>
              <w:t xml:space="preserve">вірогідність </w:t>
            </w:r>
            <w:r w:rsidRPr="00042924">
              <w:rPr>
                <w:rFonts w:ascii="Times New Roman" w:hAnsi="Times New Roman" w:cs="Times New Roman"/>
                <w:sz w:val="20"/>
                <w:szCs w:val="20"/>
                <w:lang w:val="uk-UA"/>
              </w:rPr>
              <w:t>банкрутства</w:t>
            </w:r>
          </w:p>
        </w:tc>
        <w:tc>
          <w:tcPr>
            <w:tcW w:w="1138" w:type="pct"/>
            <w:vAlign w:val="center"/>
          </w:tcPr>
          <w:p w14:paraId="2B590561"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0,267</w:t>
            </w:r>
          </w:p>
          <w:p w14:paraId="113019C8"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0,2 &lt; Z &lt; 0,3 – можливе банкрутство</w:t>
            </w:r>
          </w:p>
        </w:tc>
        <w:tc>
          <w:tcPr>
            <w:tcW w:w="1286" w:type="pct"/>
            <w:vAlign w:val="center"/>
          </w:tcPr>
          <w:p w14:paraId="7D59C254"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2,673</w:t>
            </w:r>
          </w:p>
          <w:p w14:paraId="778104F3"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&gt; 0,862 – відсутність </w:t>
            </w:r>
            <w:r w:rsidR="000A5295" w:rsidRPr="00042924">
              <w:rPr>
                <w:rFonts w:ascii="Times New Roman" w:hAnsi="Times New Roman" w:cs="Times New Roman"/>
                <w:sz w:val="20"/>
                <w:szCs w:val="20"/>
                <w:lang w:val="uk-UA"/>
              </w:rPr>
              <w:t>вірогідн</w:t>
            </w:r>
            <w:r w:rsidR="002063AD" w:rsidRPr="00042924">
              <w:rPr>
                <w:rFonts w:ascii="Times New Roman" w:hAnsi="Times New Roman" w:cs="Times New Roman"/>
                <w:sz w:val="20"/>
                <w:szCs w:val="20"/>
                <w:lang w:val="uk-UA"/>
              </w:rPr>
              <w:t>о</w:t>
            </w:r>
            <w:r w:rsidR="000A5295" w:rsidRPr="00042924">
              <w:rPr>
                <w:rFonts w:ascii="Times New Roman" w:hAnsi="Times New Roman" w:cs="Times New Roman"/>
                <w:sz w:val="20"/>
                <w:szCs w:val="20"/>
                <w:lang w:val="uk-UA"/>
              </w:rPr>
              <w:t xml:space="preserve">сті </w:t>
            </w:r>
            <w:r w:rsidRPr="00042924">
              <w:rPr>
                <w:rFonts w:ascii="Times New Roman" w:hAnsi="Times New Roman" w:cs="Times New Roman"/>
                <w:sz w:val="20"/>
                <w:szCs w:val="20"/>
                <w:lang w:val="uk-UA"/>
              </w:rPr>
              <w:t>банкрутства</w:t>
            </w:r>
          </w:p>
        </w:tc>
      </w:tr>
      <w:tr w:rsidR="00412371" w:rsidRPr="00042924" w14:paraId="36A4C59F" w14:textId="77777777" w:rsidTr="008D0688">
        <w:trPr>
          <w:trHeight w:val="1020"/>
        </w:trPr>
        <w:tc>
          <w:tcPr>
            <w:tcW w:w="453" w:type="pct"/>
            <w:vAlign w:val="center"/>
          </w:tcPr>
          <w:p w14:paraId="63A15453"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2022</w:t>
            </w:r>
          </w:p>
        </w:tc>
        <w:tc>
          <w:tcPr>
            <w:tcW w:w="1136" w:type="pct"/>
            <w:vAlign w:val="center"/>
          </w:tcPr>
          <w:p w14:paraId="3F2CD303"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-2,739</w:t>
            </w:r>
          </w:p>
          <w:p w14:paraId="35A7F248"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1,8 – </w:t>
            </w:r>
            <w:r w:rsidR="0093280F" w:rsidRPr="00042924">
              <w:rPr>
                <w:rFonts w:ascii="Times New Roman" w:hAnsi="Times New Roman" w:cs="Times New Roman"/>
                <w:sz w:val="20"/>
                <w:szCs w:val="20"/>
                <w:lang w:val="uk-UA"/>
              </w:rPr>
              <w:t>вірогідність банкрутства занадто висока</w:t>
            </w:r>
            <w:r w:rsidRPr="00042924">
              <w:rPr>
                <w:rFonts w:ascii="Times New Roman" w:hAnsi="Times New Roman" w:cs="Times New Roman"/>
                <w:sz w:val="20"/>
                <w:szCs w:val="20"/>
                <w:lang w:val="uk-UA"/>
              </w:rPr>
              <w:t xml:space="preserve"> (понад 80%)</w:t>
            </w:r>
          </w:p>
        </w:tc>
        <w:tc>
          <w:tcPr>
            <w:tcW w:w="987" w:type="pct"/>
            <w:vAlign w:val="center"/>
          </w:tcPr>
          <w:p w14:paraId="070685FB"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0,009</w:t>
            </w:r>
          </w:p>
          <w:p w14:paraId="204EAF26"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0,037 – висока </w:t>
            </w:r>
            <w:r w:rsidR="0093280F" w:rsidRPr="00042924">
              <w:rPr>
                <w:rFonts w:ascii="Times New Roman" w:hAnsi="Times New Roman" w:cs="Times New Roman"/>
                <w:sz w:val="20"/>
                <w:szCs w:val="20"/>
                <w:lang w:val="uk-UA"/>
              </w:rPr>
              <w:t xml:space="preserve">вірогідність </w:t>
            </w:r>
            <w:r w:rsidRPr="00042924">
              <w:rPr>
                <w:rFonts w:ascii="Times New Roman" w:hAnsi="Times New Roman" w:cs="Times New Roman"/>
                <w:sz w:val="20"/>
                <w:szCs w:val="20"/>
                <w:lang w:val="uk-UA"/>
              </w:rPr>
              <w:t>банкрутства</w:t>
            </w:r>
          </w:p>
        </w:tc>
        <w:tc>
          <w:tcPr>
            <w:tcW w:w="1138" w:type="pct"/>
            <w:vAlign w:val="center"/>
          </w:tcPr>
          <w:p w14:paraId="05A20ACB"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0,100</w:t>
            </w:r>
          </w:p>
          <w:p w14:paraId="3484B3E3"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0,2 – </w:t>
            </w:r>
            <w:r w:rsidR="008D0688" w:rsidRPr="00042924">
              <w:rPr>
                <w:rFonts w:ascii="Times New Roman" w:hAnsi="Times New Roman" w:cs="Times New Roman"/>
                <w:sz w:val="20"/>
                <w:szCs w:val="20"/>
                <w:lang w:val="uk-UA"/>
              </w:rPr>
              <w:t xml:space="preserve">вірогідність </w:t>
            </w:r>
            <w:r w:rsidRPr="00042924">
              <w:rPr>
                <w:rFonts w:ascii="Times New Roman" w:hAnsi="Times New Roman" w:cs="Times New Roman"/>
                <w:sz w:val="20"/>
                <w:szCs w:val="20"/>
                <w:lang w:val="uk-UA"/>
              </w:rPr>
              <w:t xml:space="preserve">банкрутства </w:t>
            </w:r>
            <w:r w:rsidR="008D0688" w:rsidRPr="00042924">
              <w:rPr>
                <w:rFonts w:ascii="Times New Roman" w:hAnsi="Times New Roman" w:cs="Times New Roman"/>
                <w:sz w:val="20"/>
                <w:szCs w:val="20"/>
                <w:lang w:val="uk-UA"/>
              </w:rPr>
              <w:t xml:space="preserve">доволі </w:t>
            </w:r>
            <w:r w:rsidRPr="00042924">
              <w:rPr>
                <w:rFonts w:ascii="Times New Roman" w:hAnsi="Times New Roman" w:cs="Times New Roman"/>
                <w:sz w:val="20"/>
                <w:szCs w:val="20"/>
                <w:lang w:val="uk-UA"/>
              </w:rPr>
              <w:t>висока</w:t>
            </w:r>
          </w:p>
        </w:tc>
        <w:tc>
          <w:tcPr>
            <w:tcW w:w="1286" w:type="pct"/>
            <w:vAlign w:val="center"/>
          </w:tcPr>
          <w:p w14:paraId="61F5D066" w14:textId="77777777" w:rsidR="00412371" w:rsidRPr="00042924" w:rsidRDefault="00412371" w:rsidP="0029174C">
            <w:pPr>
              <w:jc w:val="center"/>
              <w:rPr>
                <w:rFonts w:ascii="Times New Roman" w:hAnsi="Times New Roman" w:cs="Times New Roman"/>
                <w:color w:val="000000"/>
                <w:sz w:val="20"/>
                <w:szCs w:val="20"/>
                <w:lang w:val="uk-UA"/>
              </w:rPr>
            </w:pPr>
            <w:r w:rsidRPr="00042924">
              <w:rPr>
                <w:rFonts w:ascii="Times New Roman" w:hAnsi="Times New Roman" w:cs="Times New Roman"/>
                <w:color w:val="000000"/>
                <w:sz w:val="20"/>
                <w:szCs w:val="20"/>
                <w:lang w:val="uk-UA"/>
              </w:rPr>
              <w:t>-3,919</w:t>
            </w:r>
          </w:p>
          <w:p w14:paraId="2E48B717" w14:textId="77777777" w:rsidR="00412371" w:rsidRPr="00042924" w:rsidRDefault="00412371"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 xml:space="preserve">Z &lt; 0,862 – підприємство є </w:t>
            </w:r>
            <w:r w:rsidR="002063AD" w:rsidRPr="00042924">
              <w:rPr>
                <w:rFonts w:ascii="Times New Roman" w:hAnsi="Times New Roman" w:cs="Times New Roman"/>
                <w:sz w:val="20"/>
                <w:szCs w:val="20"/>
                <w:lang w:val="uk-UA"/>
              </w:rPr>
              <w:t xml:space="preserve">імовірним </w:t>
            </w:r>
            <w:r w:rsidRPr="00042924">
              <w:rPr>
                <w:rFonts w:ascii="Times New Roman" w:hAnsi="Times New Roman" w:cs="Times New Roman"/>
                <w:sz w:val="20"/>
                <w:szCs w:val="20"/>
                <w:lang w:val="uk-UA"/>
              </w:rPr>
              <w:t>банкрутом</w:t>
            </w:r>
          </w:p>
        </w:tc>
      </w:tr>
    </w:tbl>
    <w:p w14:paraId="6A3E3D8D" w14:textId="77777777" w:rsidR="00412371" w:rsidRPr="00042924" w:rsidRDefault="00412371" w:rsidP="00412371">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0318AA" w:rsidRPr="00E32FFC">
        <w:rPr>
          <w:rFonts w:ascii="Times New Roman" w:hAnsi="Times New Roman" w:cs="Times New Roman"/>
          <w:sz w:val="28"/>
          <w:szCs w:val="28"/>
          <w:lang w:val="uk-UA"/>
        </w:rPr>
        <w:t>складено автором на основі</w:t>
      </w:r>
      <w:r w:rsidR="00F90A12" w:rsidRPr="00042924">
        <w:rPr>
          <w:rFonts w:ascii="Times New Roman" w:eastAsia="Times New Roman" w:hAnsi="Times New Roman" w:cs="Times New Roman"/>
          <w:sz w:val="28"/>
          <w:szCs w:val="28"/>
          <w:lang w:val="uk-UA"/>
        </w:rPr>
        <w:t xml:space="preserve"> [33]</w:t>
      </w:r>
    </w:p>
    <w:bookmarkEnd w:id="23"/>
    <w:p w14:paraId="70CC2D6D" w14:textId="77777777" w:rsidR="00E4247F" w:rsidRPr="00042924" w:rsidRDefault="00E4247F" w:rsidP="00A9417D">
      <w:pPr>
        <w:spacing w:after="0" w:line="240" w:lineRule="auto"/>
        <w:ind w:firstLine="709"/>
        <w:jc w:val="both"/>
        <w:rPr>
          <w:rFonts w:ascii="Times New Roman" w:eastAsia="Times New Roman" w:hAnsi="Times New Roman" w:cs="Times New Roman"/>
          <w:sz w:val="28"/>
          <w:szCs w:val="28"/>
          <w:lang w:val="uk-UA"/>
        </w:rPr>
      </w:pPr>
    </w:p>
    <w:p w14:paraId="63F79B51" w14:textId="77777777" w:rsidR="00A9417D" w:rsidRPr="00042924" w:rsidRDefault="00A9417D" w:rsidP="00A9417D">
      <w:pPr>
        <w:spacing w:after="0" w:line="240" w:lineRule="auto"/>
        <w:ind w:firstLine="709"/>
        <w:jc w:val="both"/>
        <w:rPr>
          <w:rFonts w:ascii="Times New Roman" w:eastAsia="Times New Roman" w:hAnsi="Times New Roman" w:cs="Times New Roman"/>
          <w:sz w:val="28"/>
          <w:szCs w:val="28"/>
          <w:lang w:val="uk-UA"/>
        </w:rPr>
      </w:pPr>
      <w:bookmarkStart w:id="24" w:name="_Hlk151984523"/>
      <w:r w:rsidRPr="00042924">
        <w:rPr>
          <w:rFonts w:ascii="Times New Roman" w:eastAsia="Times New Roman" w:hAnsi="Times New Roman" w:cs="Times New Roman"/>
          <w:sz w:val="28"/>
          <w:szCs w:val="28"/>
          <w:lang w:val="uk-UA"/>
        </w:rPr>
        <w:lastRenderedPageBreak/>
        <w:t xml:space="preserve">Узагальнюючи результати за чотирма зарубіжними моделями, можна зробити висновок, що ймовірність банкрутства ПАТ </w:t>
      </w:r>
      <w:r w:rsidR="00B1406D">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є досить високою протягом 2019-2020 та 2022 років. Лише у 2021 році спостерігалося значне покращення фінансового стану та зниження ризику банкрутства. Таким чином, зарубіжні моделі </w:t>
      </w:r>
      <w:r w:rsidR="00C306E4">
        <w:rPr>
          <w:rFonts w:ascii="Times New Roman" w:eastAsia="Times New Roman" w:hAnsi="Times New Roman" w:cs="Times New Roman"/>
          <w:sz w:val="28"/>
          <w:szCs w:val="28"/>
          <w:lang w:val="uk-UA"/>
        </w:rPr>
        <w:t>відображають</w:t>
      </w:r>
      <w:r w:rsidRPr="00042924">
        <w:rPr>
          <w:rFonts w:ascii="Times New Roman" w:eastAsia="Times New Roman" w:hAnsi="Times New Roman" w:cs="Times New Roman"/>
          <w:sz w:val="28"/>
          <w:szCs w:val="28"/>
          <w:lang w:val="uk-UA"/>
        </w:rPr>
        <w:t xml:space="preserve"> нестабільний фінансовий стан підприємства та наявність періодів високого ризику банкрутства.</w:t>
      </w:r>
    </w:p>
    <w:p w14:paraId="2D0E61D8" w14:textId="77777777" w:rsidR="00A9417D" w:rsidRPr="00042924" w:rsidRDefault="00A9417D" w:rsidP="00A9417D">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Для отримання більш повної картини доцільно також проаналізувати результати за вітчизняними методиками. З цією метою обрані моделі О.О.</w:t>
      </w:r>
      <w:r w:rsidR="006728DC" w:rsidRPr="00042924">
        <w:rPr>
          <w:rFonts w:ascii="Times New Roman" w:eastAsia="Times New Roman" w:hAnsi="Times New Roman" w:cs="Times New Roman"/>
          <w:sz w:val="28"/>
          <w:szCs w:val="28"/>
          <w:lang w:val="uk-UA"/>
        </w:rPr>
        <w:t xml:space="preserve"> </w:t>
      </w:r>
      <w:r w:rsidRPr="00042924">
        <w:rPr>
          <w:rFonts w:ascii="Times New Roman" w:eastAsia="Times New Roman" w:hAnsi="Times New Roman" w:cs="Times New Roman"/>
          <w:sz w:val="28"/>
          <w:szCs w:val="28"/>
          <w:lang w:val="uk-UA"/>
        </w:rPr>
        <w:t>Терещенка та А.В.</w:t>
      </w:r>
      <w:r w:rsidR="006728DC" w:rsidRPr="00042924">
        <w:rPr>
          <w:rFonts w:ascii="Times New Roman" w:eastAsia="Times New Roman" w:hAnsi="Times New Roman" w:cs="Times New Roman"/>
          <w:sz w:val="28"/>
          <w:szCs w:val="28"/>
          <w:lang w:val="uk-UA"/>
        </w:rPr>
        <w:t xml:space="preserve"> </w:t>
      </w:r>
      <w:r w:rsidRPr="00042924">
        <w:rPr>
          <w:rFonts w:ascii="Times New Roman" w:eastAsia="Times New Roman" w:hAnsi="Times New Roman" w:cs="Times New Roman"/>
          <w:sz w:val="28"/>
          <w:szCs w:val="28"/>
          <w:lang w:val="uk-UA"/>
        </w:rPr>
        <w:t>Матвійчука.</w:t>
      </w:r>
      <w:bookmarkEnd w:id="24"/>
      <w:r w:rsidRPr="00042924">
        <w:rPr>
          <w:rFonts w:ascii="Times New Roman" w:eastAsia="Times New Roman" w:hAnsi="Times New Roman" w:cs="Times New Roman"/>
          <w:sz w:val="28"/>
          <w:szCs w:val="28"/>
          <w:lang w:val="uk-UA"/>
        </w:rPr>
        <w:t xml:space="preserve"> Розрахунки за шестифакторною моделлю Терещенка наведені в таблиці 2.1</w:t>
      </w:r>
      <w:r w:rsidR="0075618B" w:rsidRPr="00042924">
        <w:rPr>
          <w:rFonts w:ascii="Times New Roman" w:eastAsia="Times New Roman" w:hAnsi="Times New Roman" w:cs="Times New Roman"/>
          <w:sz w:val="28"/>
          <w:szCs w:val="28"/>
          <w:lang w:val="uk-UA"/>
        </w:rPr>
        <w:t>4</w:t>
      </w:r>
      <w:r w:rsidRPr="00042924">
        <w:rPr>
          <w:rFonts w:ascii="Times New Roman" w:eastAsia="Times New Roman" w:hAnsi="Times New Roman" w:cs="Times New Roman"/>
          <w:sz w:val="28"/>
          <w:szCs w:val="28"/>
          <w:lang w:val="uk-UA"/>
        </w:rPr>
        <w:t>.</w:t>
      </w:r>
    </w:p>
    <w:p w14:paraId="1BCC7922" w14:textId="77777777" w:rsidR="00DE477D" w:rsidRPr="00042924" w:rsidRDefault="00DE477D" w:rsidP="00A9417D">
      <w:pPr>
        <w:spacing w:after="0" w:line="240" w:lineRule="auto"/>
        <w:ind w:firstLine="709"/>
        <w:jc w:val="both"/>
        <w:rPr>
          <w:rFonts w:ascii="Times New Roman" w:eastAsia="Times New Roman" w:hAnsi="Times New Roman" w:cs="Times New Roman"/>
          <w:sz w:val="28"/>
          <w:szCs w:val="28"/>
          <w:lang w:val="uk-UA"/>
        </w:rPr>
      </w:pPr>
    </w:p>
    <w:p w14:paraId="0E4FC2C7" w14:textId="77777777" w:rsidR="00412371" w:rsidRPr="00042924" w:rsidRDefault="00A9417D" w:rsidP="006B27E7">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Таблиця 2.1</w:t>
      </w:r>
      <w:r w:rsidR="0075618B" w:rsidRPr="00042924">
        <w:rPr>
          <w:rFonts w:ascii="Times New Roman" w:eastAsia="Times New Roman" w:hAnsi="Times New Roman" w:cs="Times New Roman"/>
          <w:sz w:val="28"/>
          <w:szCs w:val="28"/>
          <w:lang w:val="uk-UA"/>
        </w:rPr>
        <w:t>4</w:t>
      </w:r>
      <w:r w:rsidRPr="00042924">
        <w:rPr>
          <w:rFonts w:ascii="Times New Roman" w:eastAsia="Times New Roman" w:hAnsi="Times New Roman" w:cs="Times New Roman"/>
          <w:sz w:val="28"/>
          <w:szCs w:val="28"/>
          <w:lang w:val="uk-UA"/>
        </w:rPr>
        <w:t xml:space="preserve"> – Оцінка ймовірності банкрутства ПАТ </w:t>
      </w:r>
      <w:r w:rsidR="00B1406D">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за моделлю О.О. Терещенка</w:t>
      </w:r>
    </w:p>
    <w:tbl>
      <w:tblPr>
        <w:tblW w:w="5000" w:type="pct"/>
        <w:tblCellMar>
          <w:left w:w="0" w:type="dxa"/>
          <w:right w:w="0" w:type="dxa"/>
        </w:tblCellMar>
        <w:tblLook w:val="04A0" w:firstRow="1" w:lastRow="0" w:firstColumn="1" w:lastColumn="0" w:noHBand="0" w:noVBand="1"/>
      </w:tblPr>
      <w:tblGrid>
        <w:gridCol w:w="3668"/>
        <w:gridCol w:w="1905"/>
        <w:gridCol w:w="1356"/>
        <w:gridCol w:w="1356"/>
        <w:gridCol w:w="1616"/>
      </w:tblGrid>
      <w:tr w:rsidR="009218F6" w:rsidRPr="00042924" w14:paraId="20DDC504" w14:textId="77777777" w:rsidTr="009218F6">
        <w:trPr>
          <w:trHeight w:val="324"/>
        </w:trPr>
        <w:tc>
          <w:tcPr>
            <w:tcW w:w="1852" w:type="pct"/>
            <w:vMerge w:val="restart"/>
            <w:tcBorders>
              <w:top w:val="single" w:sz="4" w:space="0" w:color="auto"/>
              <w:left w:val="single" w:sz="8" w:space="0" w:color="000000"/>
              <w:bottom w:val="nil"/>
              <w:right w:val="single" w:sz="8" w:space="0" w:color="000000"/>
            </w:tcBorders>
            <w:shd w:val="clear" w:color="auto" w:fill="auto"/>
            <w:vAlign w:val="center"/>
            <w:hideMark/>
          </w:tcPr>
          <w:p w14:paraId="24F0135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w:t>
            </w:r>
          </w:p>
        </w:tc>
        <w:tc>
          <w:tcPr>
            <w:tcW w:w="3148" w:type="pct"/>
            <w:gridSpan w:val="4"/>
            <w:tcBorders>
              <w:top w:val="single" w:sz="4" w:space="0" w:color="auto"/>
              <w:left w:val="nil"/>
              <w:bottom w:val="single" w:sz="8" w:space="0" w:color="000000"/>
              <w:right w:val="single" w:sz="8" w:space="0" w:color="000000"/>
            </w:tcBorders>
            <w:shd w:val="clear" w:color="auto" w:fill="auto"/>
            <w:vAlign w:val="center"/>
            <w:hideMark/>
          </w:tcPr>
          <w:p w14:paraId="2922387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Період, рік</w:t>
            </w:r>
          </w:p>
        </w:tc>
      </w:tr>
      <w:tr w:rsidR="009218F6" w:rsidRPr="00042924" w14:paraId="34456A51" w14:textId="77777777" w:rsidTr="009218F6">
        <w:trPr>
          <w:trHeight w:val="324"/>
        </w:trPr>
        <w:tc>
          <w:tcPr>
            <w:tcW w:w="1852" w:type="pct"/>
            <w:vMerge/>
            <w:tcBorders>
              <w:top w:val="nil"/>
              <w:left w:val="single" w:sz="8" w:space="0" w:color="000000"/>
              <w:bottom w:val="nil"/>
              <w:right w:val="single" w:sz="8" w:space="0" w:color="000000"/>
            </w:tcBorders>
            <w:vAlign w:val="center"/>
            <w:hideMark/>
          </w:tcPr>
          <w:p w14:paraId="76DBE75E" w14:textId="77777777" w:rsidR="009218F6" w:rsidRPr="00042924" w:rsidRDefault="009218F6" w:rsidP="0029174C">
            <w:pPr>
              <w:spacing w:after="0" w:line="240" w:lineRule="auto"/>
              <w:rPr>
                <w:rFonts w:ascii="Times New Roman" w:eastAsia="Times New Roman" w:hAnsi="Times New Roman" w:cs="Times New Roman"/>
                <w:color w:val="000000"/>
                <w:kern w:val="0"/>
                <w:sz w:val="20"/>
                <w:szCs w:val="20"/>
                <w:lang w:val="uk-UA" w:eastAsia="uk-UA"/>
                <w14:ligatures w14:val="none"/>
              </w:rPr>
            </w:pPr>
          </w:p>
        </w:tc>
        <w:tc>
          <w:tcPr>
            <w:tcW w:w="962" w:type="pct"/>
            <w:tcBorders>
              <w:top w:val="nil"/>
              <w:left w:val="nil"/>
              <w:bottom w:val="nil"/>
              <w:right w:val="single" w:sz="8" w:space="0" w:color="000000"/>
            </w:tcBorders>
            <w:shd w:val="clear" w:color="auto" w:fill="auto"/>
            <w:vAlign w:val="center"/>
            <w:hideMark/>
          </w:tcPr>
          <w:p w14:paraId="6D47F4D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2019</w:t>
            </w:r>
          </w:p>
        </w:tc>
        <w:tc>
          <w:tcPr>
            <w:tcW w:w="685" w:type="pct"/>
            <w:tcBorders>
              <w:top w:val="nil"/>
              <w:left w:val="nil"/>
              <w:bottom w:val="nil"/>
              <w:right w:val="single" w:sz="8" w:space="0" w:color="000000"/>
            </w:tcBorders>
            <w:shd w:val="clear" w:color="auto" w:fill="auto"/>
            <w:vAlign w:val="center"/>
            <w:hideMark/>
          </w:tcPr>
          <w:p w14:paraId="7C88A0F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2020</w:t>
            </w:r>
          </w:p>
        </w:tc>
        <w:tc>
          <w:tcPr>
            <w:tcW w:w="685" w:type="pct"/>
            <w:tcBorders>
              <w:top w:val="nil"/>
              <w:left w:val="nil"/>
              <w:bottom w:val="nil"/>
              <w:right w:val="single" w:sz="8" w:space="0" w:color="000000"/>
            </w:tcBorders>
            <w:shd w:val="clear" w:color="auto" w:fill="auto"/>
            <w:vAlign w:val="center"/>
            <w:hideMark/>
          </w:tcPr>
          <w:p w14:paraId="2093FAE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2021</w:t>
            </w:r>
          </w:p>
        </w:tc>
        <w:tc>
          <w:tcPr>
            <w:tcW w:w="816" w:type="pct"/>
            <w:tcBorders>
              <w:top w:val="nil"/>
              <w:left w:val="nil"/>
              <w:bottom w:val="nil"/>
              <w:right w:val="single" w:sz="8" w:space="0" w:color="000000"/>
            </w:tcBorders>
            <w:shd w:val="clear" w:color="auto" w:fill="auto"/>
            <w:vAlign w:val="center"/>
            <w:hideMark/>
          </w:tcPr>
          <w:p w14:paraId="680C207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2022</w:t>
            </w:r>
          </w:p>
        </w:tc>
      </w:tr>
      <w:tr w:rsidR="009218F6" w:rsidRPr="00042924" w14:paraId="041A17D1" w14:textId="77777777" w:rsidTr="001F7B7C">
        <w:trPr>
          <w:trHeight w:val="34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0C620A" w14:textId="77777777" w:rsidR="009218F6" w:rsidRPr="00042924" w:rsidRDefault="009218F6" w:rsidP="0075618B">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Вихідні дані:</w:t>
            </w:r>
          </w:p>
        </w:tc>
      </w:tr>
      <w:tr w:rsidR="009218F6" w:rsidRPr="00042924" w14:paraId="46F3CA74" w14:textId="77777777" w:rsidTr="00BD1605">
        <w:trPr>
          <w:trHeight w:val="312"/>
        </w:trPr>
        <w:tc>
          <w:tcPr>
            <w:tcW w:w="1852" w:type="pct"/>
            <w:tcBorders>
              <w:top w:val="nil"/>
              <w:left w:val="single" w:sz="8" w:space="0" w:color="000000"/>
              <w:bottom w:val="single" w:sz="8" w:space="0" w:color="000000"/>
              <w:right w:val="nil"/>
            </w:tcBorders>
            <w:shd w:val="clear" w:color="auto" w:fill="auto"/>
            <w:vAlign w:val="center"/>
            <w:hideMark/>
          </w:tcPr>
          <w:p w14:paraId="78105BE7" w14:textId="77777777" w:rsidR="009218F6" w:rsidRPr="00042924" w:rsidRDefault="009218F6" w:rsidP="00B311F2">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Грошовий потік, тис. грн.</w:t>
            </w:r>
          </w:p>
        </w:tc>
        <w:tc>
          <w:tcPr>
            <w:tcW w:w="962" w:type="pct"/>
            <w:tcBorders>
              <w:top w:val="nil"/>
              <w:left w:val="single" w:sz="8" w:space="0" w:color="auto"/>
              <w:bottom w:val="single" w:sz="8" w:space="0" w:color="auto"/>
              <w:right w:val="single" w:sz="8" w:space="0" w:color="auto"/>
            </w:tcBorders>
            <w:shd w:val="clear" w:color="auto" w:fill="auto"/>
            <w:noWrap/>
            <w:vAlign w:val="center"/>
            <w:hideMark/>
          </w:tcPr>
          <w:p w14:paraId="26A2A8D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34616404</w:t>
            </w:r>
          </w:p>
        </w:tc>
        <w:tc>
          <w:tcPr>
            <w:tcW w:w="685" w:type="pct"/>
            <w:tcBorders>
              <w:top w:val="nil"/>
              <w:left w:val="nil"/>
              <w:bottom w:val="single" w:sz="8" w:space="0" w:color="auto"/>
              <w:right w:val="single" w:sz="8" w:space="0" w:color="000000"/>
            </w:tcBorders>
            <w:shd w:val="clear" w:color="auto" w:fill="auto"/>
            <w:vAlign w:val="center"/>
            <w:hideMark/>
          </w:tcPr>
          <w:p w14:paraId="4934777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30 786 700</w:t>
            </w:r>
          </w:p>
        </w:tc>
        <w:tc>
          <w:tcPr>
            <w:tcW w:w="685" w:type="pct"/>
            <w:tcBorders>
              <w:top w:val="nil"/>
              <w:left w:val="nil"/>
              <w:bottom w:val="single" w:sz="8" w:space="0" w:color="auto"/>
              <w:right w:val="single" w:sz="8" w:space="0" w:color="000000"/>
            </w:tcBorders>
            <w:shd w:val="clear" w:color="auto" w:fill="auto"/>
            <w:vAlign w:val="center"/>
            <w:hideMark/>
          </w:tcPr>
          <w:p w14:paraId="7CD7892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70 829 597</w:t>
            </w:r>
          </w:p>
        </w:tc>
        <w:tc>
          <w:tcPr>
            <w:tcW w:w="816" w:type="pct"/>
            <w:tcBorders>
              <w:top w:val="nil"/>
              <w:left w:val="nil"/>
              <w:bottom w:val="single" w:sz="8" w:space="0" w:color="auto"/>
              <w:right w:val="single" w:sz="8" w:space="0" w:color="000000"/>
            </w:tcBorders>
            <w:shd w:val="clear" w:color="auto" w:fill="auto"/>
            <w:vAlign w:val="center"/>
            <w:hideMark/>
          </w:tcPr>
          <w:p w14:paraId="73B6CD6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-19 305 685</w:t>
            </w:r>
          </w:p>
        </w:tc>
      </w:tr>
      <w:tr w:rsidR="009218F6" w:rsidRPr="00042924" w14:paraId="63E243F4"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1AAA7B9" w14:textId="77777777" w:rsidR="009218F6" w:rsidRPr="00042924" w:rsidRDefault="009218F6" w:rsidP="00B311F2">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Позиковий капітал , тис. грн.</w:t>
            </w:r>
          </w:p>
        </w:tc>
        <w:tc>
          <w:tcPr>
            <w:tcW w:w="962" w:type="pct"/>
            <w:tcBorders>
              <w:top w:val="nil"/>
              <w:left w:val="nil"/>
              <w:bottom w:val="single" w:sz="8" w:space="0" w:color="000000"/>
              <w:right w:val="single" w:sz="8" w:space="0" w:color="000000"/>
            </w:tcBorders>
            <w:shd w:val="clear" w:color="auto" w:fill="auto"/>
            <w:vAlign w:val="center"/>
            <w:hideMark/>
          </w:tcPr>
          <w:p w14:paraId="5AF1270B"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36 913 281</w:t>
            </w:r>
          </w:p>
        </w:tc>
        <w:tc>
          <w:tcPr>
            <w:tcW w:w="685" w:type="pct"/>
            <w:tcBorders>
              <w:top w:val="nil"/>
              <w:left w:val="nil"/>
              <w:bottom w:val="nil"/>
              <w:right w:val="single" w:sz="8" w:space="0" w:color="000000"/>
            </w:tcBorders>
            <w:shd w:val="clear" w:color="auto" w:fill="auto"/>
            <w:vAlign w:val="center"/>
            <w:hideMark/>
          </w:tcPr>
          <w:p w14:paraId="7073ABBB"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27 470 270</w:t>
            </w:r>
          </w:p>
        </w:tc>
        <w:tc>
          <w:tcPr>
            <w:tcW w:w="685" w:type="pct"/>
            <w:tcBorders>
              <w:top w:val="nil"/>
              <w:left w:val="nil"/>
              <w:bottom w:val="nil"/>
              <w:right w:val="single" w:sz="8" w:space="0" w:color="000000"/>
            </w:tcBorders>
            <w:shd w:val="clear" w:color="auto" w:fill="auto"/>
            <w:vAlign w:val="center"/>
            <w:hideMark/>
          </w:tcPr>
          <w:p w14:paraId="209023D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29 248 975</w:t>
            </w:r>
          </w:p>
        </w:tc>
        <w:tc>
          <w:tcPr>
            <w:tcW w:w="816" w:type="pct"/>
            <w:tcBorders>
              <w:top w:val="nil"/>
              <w:left w:val="nil"/>
              <w:bottom w:val="nil"/>
              <w:right w:val="single" w:sz="8" w:space="0" w:color="000000"/>
            </w:tcBorders>
            <w:shd w:val="clear" w:color="auto" w:fill="auto"/>
            <w:vAlign w:val="center"/>
            <w:hideMark/>
          </w:tcPr>
          <w:p w14:paraId="54BCA3B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24 469 822</w:t>
            </w:r>
          </w:p>
        </w:tc>
      </w:tr>
      <w:tr w:rsidR="009218F6" w:rsidRPr="00042924" w14:paraId="2626BEB9"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7A55CD9D" w14:textId="77777777" w:rsidR="009218F6" w:rsidRPr="00042924" w:rsidRDefault="009218F6" w:rsidP="00B311F2">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Баланс, тис. грн.</w:t>
            </w:r>
          </w:p>
        </w:tc>
        <w:tc>
          <w:tcPr>
            <w:tcW w:w="962" w:type="pct"/>
            <w:tcBorders>
              <w:top w:val="nil"/>
              <w:left w:val="nil"/>
              <w:bottom w:val="nil"/>
              <w:right w:val="nil"/>
            </w:tcBorders>
            <w:shd w:val="clear" w:color="auto" w:fill="auto"/>
            <w:vAlign w:val="center"/>
            <w:hideMark/>
          </w:tcPr>
          <w:p w14:paraId="48BE086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97 544 421</w:t>
            </w:r>
          </w:p>
        </w:tc>
        <w:tc>
          <w:tcPr>
            <w:tcW w:w="685" w:type="pct"/>
            <w:tcBorders>
              <w:top w:val="single" w:sz="8" w:space="0" w:color="auto"/>
              <w:left w:val="single" w:sz="8" w:space="0" w:color="auto"/>
              <w:bottom w:val="nil"/>
              <w:right w:val="single" w:sz="8" w:space="0" w:color="000000"/>
            </w:tcBorders>
            <w:shd w:val="clear" w:color="auto" w:fill="auto"/>
            <w:vAlign w:val="center"/>
            <w:hideMark/>
          </w:tcPr>
          <w:p w14:paraId="3D5547B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88 349 556</w:t>
            </w:r>
          </w:p>
        </w:tc>
        <w:tc>
          <w:tcPr>
            <w:tcW w:w="685" w:type="pct"/>
            <w:tcBorders>
              <w:top w:val="single" w:sz="8" w:space="0" w:color="auto"/>
              <w:left w:val="nil"/>
              <w:bottom w:val="nil"/>
              <w:right w:val="single" w:sz="8" w:space="0" w:color="000000"/>
            </w:tcBorders>
            <w:shd w:val="clear" w:color="auto" w:fill="auto"/>
            <w:vAlign w:val="center"/>
            <w:hideMark/>
          </w:tcPr>
          <w:p w14:paraId="0BADDBDB"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105 800 975</w:t>
            </w:r>
          </w:p>
        </w:tc>
        <w:tc>
          <w:tcPr>
            <w:tcW w:w="816" w:type="pct"/>
            <w:tcBorders>
              <w:top w:val="single" w:sz="8" w:space="0" w:color="auto"/>
              <w:left w:val="nil"/>
              <w:bottom w:val="nil"/>
              <w:right w:val="single" w:sz="8" w:space="0" w:color="auto"/>
            </w:tcBorders>
            <w:shd w:val="clear" w:color="auto" w:fill="auto"/>
            <w:vAlign w:val="center"/>
            <w:hideMark/>
          </w:tcPr>
          <w:p w14:paraId="27D80AE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52 682 761</w:t>
            </w:r>
          </w:p>
        </w:tc>
      </w:tr>
      <w:tr w:rsidR="009218F6" w:rsidRPr="00042924" w14:paraId="7CE03086" w14:textId="77777777" w:rsidTr="00BD1605">
        <w:trPr>
          <w:trHeight w:val="312"/>
        </w:trPr>
        <w:tc>
          <w:tcPr>
            <w:tcW w:w="1852" w:type="pct"/>
            <w:tcBorders>
              <w:top w:val="nil"/>
              <w:left w:val="single" w:sz="8" w:space="0" w:color="000000"/>
              <w:bottom w:val="single" w:sz="8" w:space="0" w:color="000000"/>
              <w:right w:val="nil"/>
            </w:tcBorders>
            <w:shd w:val="clear" w:color="auto" w:fill="auto"/>
            <w:vAlign w:val="center"/>
            <w:hideMark/>
          </w:tcPr>
          <w:p w14:paraId="376F7648" w14:textId="77777777" w:rsidR="009218F6" w:rsidRPr="00042924" w:rsidRDefault="009218F6" w:rsidP="00B311F2">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Чистий фінансовий результат, тис. грн.</w:t>
            </w:r>
          </w:p>
        </w:tc>
        <w:tc>
          <w:tcPr>
            <w:tcW w:w="962" w:type="pct"/>
            <w:tcBorders>
              <w:top w:val="single" w:sz="8" w:space="0" w:color="auto"/>
              <w:left w:val="single" w:sz="8" w:space="0" w:color="auto"/>
              <w:bottom w:val="single" w:sz="8" w:space="0" w:color="auto"/>
              <w:right w:val="nil"/>
            </w:tcBorders>
            <w:shd w:val="clear" w:color="auto" w:fill="auto"/>
            <w:noWrap/>
            <w:vAlign w:val="center"/>
            <w:hideMark/>
          </w:tcPr>
          <w:p w14:paraId="4A196F0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-2 265 232</w:t>
            </w:r>
          </w:p>
        </w:tc>
        <w:tc>
          <w:tcPr>
            <w:tcW w:w="68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5A60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740 902</w:t>
            </w:r>
          </w:p>
        </w:tc>
        <w:tc>
          <w:tcPr>
            <w:tcW w:w="685" w:type="pct"/>
            <w:tcBorders>
              <w:top w:val="single" w:sz="8" w:space="0" w:color="auto"/>
              <w:left w:val="nil"/>
              <w:bottom w:val="single" w:sz="8" w:space="0" w:color="auto"/>
              <w:right w:val="nil"/>
            </w:tcBorders>
            <w:shd w:val="clear" w:color="auto" w:fill="auto"/>
            <w:noWrap/>
            <w:vAlign w:val="center"/>
            <w:hideMark/>
          </w:tcPr>
          <w:p w14:paraId="557F3AC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25 216 068</w:t>
            </w:r>
          </w:p>
        </w:tc>
        <w:tc>
          <w:tcPr>
            <w:tcW w:w="81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FDBA4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-49 009 104</w:t>
            </w:r>
          </w:p>
        </w:tc>
      </w:tr>
      <w:tr w:rsidR="009218F6" w:rsidRPr="00042924" w14:paraId="38CB6A30" w14:textId="77777777" w:rsidTr="00BD1605">
        <w:trPr>
          <w:trHeight w:val="312"/>
        </w:trPr>
        <w:tc>
          <w:tcPr>
            <w:tcW w:w="1852" w:type="pct"/>
            <w:tcBorders>
              <w:top w:val="nil"/>
              <w:left w:val="single" w:sz="8" w:space="0" w:color="000000"/>
              <w:bottom w:val="nil"/>
              <w:right w:val="single" w:sz="8" w:space="0" w:color="000000"/>
            </w:tcBorders>
            <w:shd w:val="clear" w:color="auto" w:fill="auto"/>
            <w:vAlign w:val="center"/>
            <w:hideMark/>
          </w:tcPr>
          <w:p w14:paraId="3FB272C0" w14:textId="77777777" w:rsidR="009218F6" w:rsidRPr="00042924" w:rsidRDefault="009218F6" w:rsidP="00B311F2">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 Чистий дохід від реалізації, тис. грн.</w:t>
            </w:r>
          </w:p>
        </w:tc>
        <w:tc>
          <w:tcPr>
            <w:tcW w:w="962" w:type="pct"/>
            <w:tcBorders>
              <w:top w:val="nil"/>
              <w:left w:val="nil"/>
              <w:bottom w:val="nil"/>
              <w:right w:val="single" w:sz="8" w:space="0" w:color="000000"/>
            </w:tcBorders>
            <w:shd w:val="clear" w:color="auto" w:fill="auto"/>
            <w:vAlign w:val="center"/>
            <w:hideMark/>
          </w:tcPr>
          <w:p w14:paraId="3BE9032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62 409 226</w:t>
            </w:r>
          </w:p>
        </w:tc>
        <w:tc>
          <w:tcPr>
            <w:tcW w:w="685" w:type="pct"/>
            <w:tcBorders>
              <w:top w:val="nil"/>
              <w:left w:val="nil"/>
              <w:bottom w:val="nil"/>
              <w:right w:val="single" w:sz="8" w:space="0" w:color="000000"/>
            </w:tcBorders>
            <w:shd w:val="clear" w:color="auto" w:fill="auto"/>
            <w:vAlign w:val="center"/>
            <w:hideMark/>
          </w:tcPr>
          <w:p w14:paraId="752A82A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63 496 684</w:t>
            </w:r>
          </w:p>
        </w:tc>
        <w:tc>
          <w:tcPr>
            <w:tcW w:w="685" w:type="pct"/>
            <w:tcBorders>
              <w:top w:val="nil"/>
              <w:left w:val="nil"/>
              <w:bottom w:val="nil"/>
              <w:right w:val="single" w:sz="8" w:space="0" w:color="000000"/>
            </w:tcBorders>
            <w:shd w:val="clear" w:color="auto" w:fill="auto"/>
            <w:vAlign w:val="center"/>
            <w:hideMark/>
          </w:tcPr>
          <w:p w14:paraId="7AE2FCD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109 303 155</w:t>
            </w:r>
          </w:p>
        </w:tc>
        <w:tc>
          <w:tcPr>
            <w:tcW w:w="816" w:type="pct"/>
            <w:tcBorders>
              <w:top w:val="nil"/>
              <w:left w:val="nil"/>
              <w:bottom w:val="nil"/>
              <w:right w:val="single" w:sz="8" w:space="0" w:color="000000"/>
            </w:tcBorders>
            <w:shd w:val="clear" w:color="auto" w:fill="auto"/>
            <w:vAlign w:val="center"/>
            <w:hideMark/>
          </w:tcPr>
          <w:p w14:paraId="710A722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43 818 410</w:t>
            </w:r>
          </w:p>
        </w:tc>
      </w:tr>
      <w:tr w:rsidR="009218F6" w:rsidRPr="00042924" w14:paraId="2FDDF8B5" w14:textId="77777777" w:rsidTr="00BD1605">
        <w:trPr>
          <w:trHeight w:val="312"/>
        </w:trPr>
        <w:tc>
          <w:tcPr>
            <w:tcW w:w="1852"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6EB589AD" w14:textId="77777777" w:rsidR="009218F6" w:rsidRPr="00042924" w:rsidRDefault="009218F6" w:rsidP="00B311F2">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 Виробничі запаси, тис. грн.</w:t>
            </w:r>
          </w:p>
        </w:tc>
        <w:tc>
          <w:tcPr>
            <w:tcW w:w="962" w:type="pct"/>
            <w:tcBorders>
              <w:top w:val="single" w:sz="8" w:space="0" w:color="auto"/>
              <w:left w:val="nil"/>
              <w:bottom w:val="single" w:sz="8" w:space="0" w:color="auto"/>
              <w:right w:val="single" w:sz="8" w:space="0" w:color="000000"/>
            </w:tcBorders>
            <w:shd w:val="clear" w:color="auto" w:fill="auto"/>
            <w:vAlign w:val="center"/>
            <w:hideMark/>
          </w:tcPr>
          <w:p w14:paraId="456FB4A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9 948 534</w:t>
            </w:r>
          </w:p>
        </w:tc>
        <w:tc>
          <w:tcPr>
            <w:tcW w:w="685" w:type="pct"/>
            <w:tcBorders>
              <w:top w:val="single" w:sz="8" w:space="0" w:color="auto"/>
              <w:left w:val="nil"/>
              <w:bottom w:val="single" w:sz="8" w:space="0" w:color="auto"/>
              <w:right w:val="single" w:sz="8" w:space="0" w:color="000000"/>
            </w:tcBorders>
            <w:shd w:val="clear" w:color="auto" w:fill="auto"/>
            <w:vAlign w:val="center"/>
            <w:hideMark/>
          </w:tcPr>
          <w:p w14:paraId="69730A0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7 438 127</w:t>
            </w:r>
          </w:p>
        </w:tc>
        <w:tc>
          <w:tcPr>
            <w:tcW w:w="685" w:type="pct"/>
            <w:tcBorders>
              <w:top w:val="single" w:sz="8" w:space="0" w:color="auto"/>
              <w:left w:val="nil"/>
              <w:bottom w:val="single" w:sz="8" w:space="0" w:color="auto"/>
              <w:right w:val="single" w:sz="8" w:space="0" w:color="000000"/>
            </w:tcBorders>
            <w:shd w:val="clear" w:color="auto" w:fill="auto"/>
            <w:vAlign w:val="center"/>
            <w:hideMark/>
          </w:tcPr>
          <w:p w14:paraId="7D542BF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14 495 239</w:t>
            </w:r>
          </w:p>
        </w:tc>
        <w:tc>
          <w:tcPr>
            <w:tcW w:w="816" w:type="pct"/>
            <w:tcBorders>
              <w:top w:val="single" w:sz="8" w:space="0" w:color="auto"/>
              <w:left w:val="nil"/>
              <w:bottom w:val="single" w:sz="8" w:space="0" w:color="auto"/>
              <w:right w:val="single" w:sz="8" w:space="0" w:color="000000"/>
            </w:tcBorders>
            <w:shd w:val="clear" w:color="auto" w:fill="auto"/>
            <w:vAlign w:val="center"/>
            <w:hideMark/>
          </w:tcPr>
          <w:p w14:paraId="2128A8B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14 021 719</w:t>
            </w:r>
          </w:p>
        </w:tc>
      </w:tr>
      <w:tr w:rsidR="009218F6" w:rsidRPr="00042924" w14:paraId="6410309F" w14:textId="77777777" w:rsidTr="00BD1605">
        <w:trPr>
          <w:trHeight w:val="283"/>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9B0B5F" w14:textId="77777777" w:rsidR="009218F6" w:rsidRPr="00042924" w:rsidRDefault="009218F6" w:rsidP="0075618B">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 моделі:</w:t>
            </w:r>
          </w:p>
        </w:tc>
      </w:tr>
      <w:tr w:rsidR="009218F6" w:rsidRPr="00042924" w14:paraId="1C67B92B"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5C26405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1 / п. 2)</w:t>
            </w:r>
          </w:p>
        </w:tc>
        <w:tc>
          <w:tcPr>
            <w:tcW w:w="962" w:type="pct"/>
            <w:tcBorders>
              <w:top w:val="nil"/>
              <w:left w:val="nil"/>
              <w:bottom w:val="single" w:sz="8" w:space="0" w:color="000000"/>
              <w:right w:val="single" w:sz="8" w:space="0" w:color="000000"/>
            </w:tcBorders>
            <w:shd w:val="clear" w:color="auto" w:fill="auto"/>
            <w:vAlign w:val="center"/>
            <w:hideMark/>
          </w:tcPr>
          <w:p w14:paraId="4280329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0,938</w:t>
            </w:r>
          </w:p>
        </w:tc>
        <w:tc>
          <w:tcPr>
            <w:tcW w:w="685" w:type="pct"/>
            <w:tcBorders>
              <w:top w:val="nil"/>
              <w:left w:val="nil"/>
              <w:bottom w:val="single" w:sz="8" w:space="0" w:color="000000"/>
              <w:right w:val="single" w:sz="8" w:space="0" w:color="000000"/>
            </w:tcBorders>
            <w:shd w:val="clear" w:color="auto" w:fill="auto"/>
            <w:vAlign w:val="center"/>
            <w:hideMark/>
          </w:tcPr>
          <w:p w14:paraId="4B226A0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1,121</w:t>
            </w:r>
          </w:p>
        </w:tc>
        <w:tc>
          <w:tcPr>
            <w:tcW w:w="685" w:type="pct"/>
            <w:tcBorders>
              <w:top w:val="nil"/>
              <w:left w:val="nil"/>
              <w:bottom w:val="single" w:sz="8" w:space="0" w:color="000000"/>
              <w:right w:val="single" w:sz="8" w:space="0" w:color="000000"/>
            </w:tcBorders>
            <w:shd w:val="clear" w:color="auto" w:fill="auto"/>
            <w:vAlign w:val="center"/>
            <w:hideMark/>
          </w:tcPr>
          <w:p w14:paraId="024B7DB2"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2,422</w:t>
            </w:r>
          </w:p>
        </w:tc>
        <w:tc>
          <w:tcPr>
            <w:tcW w:w="816" w:type="pct"/>
            <w:tcBorders>
              <w:top w:val="nil"/>
              <w:left w:val="nil"/>
              <w:bottom w:val="single" w:sz="8" w:space="0" w:color="000000"/>
              <w:right w:val="single" w:sz="8" w:space="0" w:color="000000"/>
            </w:tcBorders>
            <w:shd w:val="clear" w:color="auto" w:fill="auto"/>
            <w:vAlign w:val="center"/>
            <w:hideMark/>
          </w:tcPr>
          <w:p w14:paraId="2521CAA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-0,789</w:t>
            </w:r>
          </w:p>
        </w:tc>
      </w:tr>
      <w:tr w:rsidR="009218F6" w:rsidRPr="00042924" w14:paraId="58A38819"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52376AF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К2 (п. 3 / п. 2)</w:t>
            </w:r>
          </w:p>
        </w:tc>
        <w:tc>
          <w:tcPr>
            <w:tcW w:w="962" w:type="pct"/>
            <w:tcBorders>
              <w:top w:val="nil"/>
              <w:left w:val="nil"/>
              <w:bottom w:val="single" w:sz="8" w:space="0" w:color="000000"/>
              <w:right w:val="single" w:sz="8" w:space="0" w:color="000000"/>
            </w:tcBorders>
            <w:shd w:val="clear" w:color="auto" w:fill="auto"/>
            <w:vAlign w:val="center"/>
            <w:hideMark/>
          </w:tcPr>
          <w:p w14:paraId="330F05A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2,643</w:t>
            </w:r>
          </w:p>
        </w:tc>
        <w:tc>
          <w:tcPr>
            <w:tcW w:w="685" w:type="pct"/>
            <w:tcBorders>
              <w:top w:val="nil"/>
              <w:left w:val="nil"/>
              <w:bottom w:val="single" w:sz="8" w:space="0" w:color="000000"/>
              <w:right w:val="single" w:sz="8" w:space="0" w:color="000000"/>
            </w:tcBorders>
            <w:shd w:val="clear" w:color="auto" w:fill="auto"/>
            <w:vAlign w:val="center"/>
            <w:hideMark/>
          </w:tcPr>
          <w:p w14:paraId="6258D0E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3,216</w:t>
            </w:r>
          </w:p>
        </w:tc>
        <w:tc>
          <w:tcPr>
            <w:tcW w:w="685" w:type="pct"/>
            <w:tcBorders>
              <w:top w:val="nil"/>
              <w:left w:val="nil"/>
              <w:bottom w:val="single" w:sz="8" w:space="0" w:color="000000"/>
              <w:right w:val="single" w:sz="8" w:space="0" w:color="000000"/>
            </w:tcBorders>
            <w:shd w:val="clear" w:color="auto" w:fill="auto"/>
            <w:vAlign w:val="center"/>
            <w:hideMark/>
          </w:tcPr>
          <w:p w14:paraId="045303B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3,617</w:t>
            </w:r>
          </w:p>
        </w:tc>
        <w:tc>
          <w:tcPr>
            <w:tcW w:w="816" w:type="pct"/>
            <w:tcBorders>
              <w:top w:val="nil"/>
              <w:left w:val="nil"/>
              <w:bottom w:val="single" w:sz="8" w:space="0" w:color="000000"/>
              <w:right w:val="single" w:sz="8" w:space="0" w:color="000000"/>
            </w:tcBorders>
            <w:shd w:val="clear" w:color="auto" w:fill="auto"/>
            <w:vAlign w:val="center"/>
            <w:hideMark/>
          </w:tcPr>
          <w:p w14:paraId="7FC23621"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2,153</w:t>
            </w:r>
          </w:p>
        </w:tc>
      </w:tr>
      <w:tr w:rsidR="009218F6" w:rsidRPr="00042924" w14:paraId="0A0E1F42"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4A9078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К3 (п. 4 / п. 3)</w:t>
            </w:r>
          </w:p>
        </w:tc>
        <w:tc>
          <w:tcPr>
            <w:tcW w:w="962" w:type="pct"/>
            <w:tcBorders>
              <w:top w:val="nil"/>
              <w:left w:val="nil"/>
              <w:bottom w:val="single" w:sz="8" w:space="0" w:color="000000"/>
              <w:right w:val="single" w:sz="8" w:space="0" w:color="000000"/>
            </w:tcBorders>
            <w:shd w:val="clear" w:color="auto" w:fill="auto"/>
            <w:vAlign w:val="center"/>
            <w:hideMark/>
          </w:tcPr>
          <w:p w14:paraId="3392240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-0,023</w:t>
            </w:r>
          </w:p>
        </w:tc>
        <w:tc>
          <w:tcPr>
            <w:tcW w:w="685" w:type="pct"/>
            <w:tcBorders>
              <w:top w:val="nil"/>
              <w:left w:val="nil"/>
              <w:bottom w:val="single" w:sz="8" w:space="0" w:color="000000"/>
              <w:right w:val="single" w:sz="8" w:space="0" w:color="000000"/>
            </w:tcBorders>
            <w:shd w:val="clear" w:color="auto" w:fill="auto"/>
            <w:vAlign w:val="center"/>
            <w:hideMark/>
          </w:tcPr>
          <w:p w14:paraId="087CE88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0,008</w:t>
            </w:r>
          </w:p>
        </w:tc>
        <w:tc>
          <w:tcPr>
            <w:tcW w:w="685" w:type="pct"/>
            <w:tcBorders>
              <w:top w:val="nil"/>
              <w:left w:val="nil"/>
              <w:bottom w:val="single" w:sz="8" w:space="0" w:color="000000"/>
              <w:right w:val="single" w:sz="8" w:space="0" w:color="000000"/>
            </w:tcBorders>
            <w:shd w:val="clear" w:color="auto" w:fill="auto"/>
            <w:vAlign w:val="center"/>
            <w:hideMark/>
          </w:tcPr>
          <w:p w14:paraId="3AF2320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0,238</w:t>
            </w:r>
          </w:p>
        </w:tc>
        <w:tc>
          <w:tcPr>
            <w:tcW w:w="816" w:type="pct"/>
            <w:tcBorders>
              <w:top w:val="nil"/>
              <w:left w:val="nil"/>
              <w:bottom w:val="single" w:sz="8" w:space="0" w:color="000000"/>
              <w:right w:val="single" w:sz="8" w:space="0" w:color="000000"/>
            </w:tcBorders>
            <w:shd w:val="clear" w:color="auto" w:fill="auto"/>
            <w:vAlign w:val="center"/>
            <w:hideMark/>
          </w:tcPr>
          <w:p w14:paraId="78770BD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-0,930</w:t>
            </w:r>
          </w:p>
        </w:tc>
      </w:tr>
      <w:tr w:rsidR="009218F6" w:rsidRPr="00042924" w14:paraId="1FF93332"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5AD1ED0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К4 (п. 4 / п. 5)</w:t>
            </w:r>
          </w:p>
        </w:tc>
        <w:tc>
          <w:tcPr>
            <w:tcW w:w="962" w:type="pct"/>
            <w:tcBorders>
              <w:top w:val="nil"/>
              <w:left w:val="nil"/>
              <w:bottom w:val="single" w:sz="8" w:space="0" w:color="000000"/>
              <w:right w:val="single" w:sz="8" w:space="0" w:color="000000"/>
            </w:tcBorders>
            <w:shd w:val="clear" w:color="auto" w:fill="auto"/>
            <w:vAlign w:val="center"/>
            <w:hideMark/>
          </w:tcPr>
          <w:p w14:paraId="427F45B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-0,036</w:t>
            </w:r>
          </w:p>
        </w:tc>
        <w:tc>
          <w:tcPr>
            <w:tcW w:w="685" w:type="pct"/>
            <w:tcBorders>
              <w:top w:val="nil"/>
              <w:left w:val="nil"/>
              <w:bottom w:val="single" w:sz="8" w:space="0" w:color="000000"/>
              <w:right w:val="single" w:sz="8" w:space="0" w:color="000000"/>
            </w:tcBorders>
            <w:shd w:val="clear" w:color="auto" w:fill="auto"/>
            <w:vAlign w:val="center"/>
            <w:hideMark/>
          </w:tcPr>
          <w:p w14:paraId="27A34AD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0,012</w:t>
            </w:r>
          </w:p>
        </w:tc>
        <w:tc>
          <w:tcPr>
            <w:tcW w:w="685" w:type="pct"/>
            <w:tcBorders>
              <w:top w:val="nil"/>
              <w:left w:val="nil"/>
              <w:bottom w:val="single" w:sz="8" w:space="0" w:color="000000"/>
              <w:right w:val="single" w:sz="8" w:space="0" w:color="000000"/>
            </w:tcBorders>
            <w:shd w:val="clear" w:color="auto" w:fill="auto"/>
            <w:vAlign w:val="center"/>
            <w:hideMark/>
          </w:tcPr>
          <w:p w14:paraId="3E7AD22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0,231</w:t>
            </w:r>
          </w:p>
        </w:tc>
        <w:tc>
          <w:tcPr>
            <w:tcW w:w="816" w:type="pct"/>
            <w:tcBorders>
              <w:top w:val="nil"/>
              <w:left w:val="nil"/>
              <w:bottom w:val="single" w:sz="8" w:space="0" w:color="000000"/>
              <w:right w:val="single" w:sz="8" w:space="0" w:color="000000"/>
            </w:tcBorders>
            <w:shd w:val="clear" w:color="auto" w:fill="auto"/>
            <w:vAlign w:val="center"/>
            <w:hideMark/>
          </w:tcPr>
          <w:p w14:paraId="08DCF6E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-1,118</w:t>
            </w:r>
          </w:p>
        </w:tc>
      </w:tr>
      <w:tr w:rsidR="009218F6" w:rsidRPr="00042924" w14:paraId="28AB88E0"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362DC3E1"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К5 (п. 6 / п. 5)</w:t>
            </w:r>
          </w:p>
        </w:tc>
        <w:tc>
          <w:tcPr>
            <w:tcW w:w="962" w:type="pct"/>
            <w:tcBorders>
              <w:top w:val="nil"/>
              <w:left w:val="nil"/>
              <w:bottom w:val="single" w:sz="8" w:space="0" w:color="000000"/>
              <w:right w:val="single" w:sz="8" w:space="0" w:color="000000"/>
            </w:tcBorders>
            <w:shd w:val="clear" w:color="auto" w:fill="auto"/>
            <w:vAlign w:val="center"/>
            <w:hideMark/>
          </w:tcPr>
          <w:p w14:paraId="14C069DB"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0,159</w:t>
            </w:r>
          </w:p>
        </w:tc>
        <w:tc>
          <w:tcPr>
            <w:tcW w:w="685" w:type="pct"/>
            <w:tcBorders>
              <w:top w:val="nil"/>
              <w:left w:val="nil"/>
              <w:bottom w:val="single" w:sz="8" w:space="0" w:color="000000"/>
              <w:right w:val="single" w:sz="8" w:space="0" w:color="000000"/>
            </w:tcBorders>
            <w:shd w:val="clear" w:color="auto" w:fill="auto"/>
            <w:vAlign w:val="center"/>
            <w:hideMark/>
          </w:tcPr>
          <w:p w14:paraId="34A9A53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0,117</w:t>
            </w:r>
          </w:p>
        </w:tc>
        <w:tc>
          <w:tcPr>
            <w:tcW w:w="685" w:type="pct"/>
            <w:tcBorders>
              <w:top w:val="nil"/>
              <w:left w:val="nil"/>
              <w:bottom w:val="single" w:sz="8" w:space="0" w:color="000000"/>
              <w:right w:val="single" w:sz="8" w:space="0" w:color="000000"/>
            </w:tcBorders>
            <w:shd w:val="clear" w:color="auto" w:fill="auto"/>
            <w:vAlign w:val="center"/>
            <w:hideMark/>
          </w:tcPr>
          <w:p w14:paraId="6B34F53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0,133</w:t>
            </w:r>
          </w:p>
        </w:tc>
        <w:tc>
          <w:tcPr>
            <w:tcW w:w="816" w:type="pct"/>
            <w:tcBorders>
              <w:top w:val="nil"/>
              <w:left w:val="nil"/>
              <w:bottom w:val="single" w:sz="8" w:space="0" w:color="000000"/>
              <w:right w:val="single" w:sz="8" w:space="0" w:color="000000"/>
            </w:tcBorders>
            <w:shd w:val="clear" w:color="auto" w:fill="auto"/>
            <w:vAlign w:val="center"/>
            <w:hideMark/>
          </w:tcPr>
          <w:p w14:paraId="69B039F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0,320</w:t>
            </w:r>
          </w:p>
        </w:tc>
      </w:tr>
      <w:tr w:rsidR="009218F6" w:rsidRPr="00042924" w14:paraId="7C3334AA" w14:textId="77777777" w:rsidTr="00BD1605">
        <w:trPr>
          <w:trHeight w:val="312"/>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57AEC74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К6 (п. 5 / п. 3)</w:t>
            </w:r>
          </w:p>
        </w:tc>
        <w:tc>
          <w:tcPr>
            <w:tcW w:w="962" w:type="pct"/>
            <w:tcBorders>
              <w:top w:val="nil"/>
              <w:left w:val="nil"/>
              <w:bottom w:val="single" w:sz="8" w:space="0" w:color="000000"/>
              <w:right w:val="single" w:sz="8" w:space="0" w:color="000000"/>
            </w:tcBorders>
            <w:shd w:val="clear" w:color="auto" w:fill="auto"/>
            <w:vAlign w:val="center"/>
            <w:hideMark/>
          </w:tcPr>
          <w:p w14:paraId="6720AB3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0,640</w:t>
            </w:r>
          </w:p>
        </w:tc>
        <w:tc>
          <w:tcPr>
            <w:tcW w:w="685" w:type="pct"/>
            <w:tcBorders>
              <w:top w:val="nil"/>
              <w:left w:val="nil"/>
              <w:bottom w:val="single" w:sz="8" w:space="0" w:color="000000"/>
              <w:right w:val="single" w:sz="8" w:space="0" w:color="000000"/>
            </w:tcBorders>
            <w:shd w:val="clear" w:color="auto" w:fill="auto"/>
            <w:vAlign w:val="center"/>
            <w:hideMark/>
          </w:tcPr>
          <w:p w14:paraId="6B553971"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0,719</w:t>
            </w:r>
          </w:p>
        </w:tc>
        <w:tc>
          <w:tcPr>
            <w:tcW w:w="685" w:type="pct"/>
            <w:tcBorders>
              <w:top w:val="nil"/>
              <w:left w:val="nil"/>
              <w:bottom w:val="single" w:sz="8" w:space="0" w:color="000000"/>
              <w:right w:val="single" w:sz="8" w:space="0" w:color="000000"/>
            </w:tcBorders>
            <w:shd w:val="clear" w:color="auto" w:fill="auto"/>
            <w:vAlign w:val="center"/>
            <w:hideMark/>
          </w:tcPr>
          <w:p w14:paraId="3F89836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1,033</w:t>
            </w:r>
          </w:p>
        </w:tc>
        <w:tc>
          <w:tcPr>
            <w:tcW w:w="816" w:type="pct"/>
            <w:tcBorders>
              <w:top w:val="nil"/>
              <w:left w:val="nil"/>
              <w:bottom w:val="single" w:sz="8" w:space="0" w:color="000000"/>
              <w:right w:val="single" w:sz="8" w:space="0" w:color="000000"/>
            </w:tcBorders>
            <w:shd w:val="clear" w:color="auto" w:fill="auto"/>
            <w:vAlign w:val="center"/>
            <w:hideMark/>
          </w:tcPr>
          <w:p w14:paraId="19841C02"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0,832</w:t>
            </w:r>
          </w:p>
        </w:tc>
      </w:tr>
      <w:tr w:rsidR="009218F6" w:rsidRPr="00042924" w14:paraId="4D85636C" w14:textId="77777777" w:rsidTr="009218F6">
        <w:trPr>
          <w:trHeight w:val="324"/>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7869F3" w14:textId="77777777" w:rsidR="009218F6" w:rsidRPr="00042924" w:rsidRDefault="009218F6" w:rsidP="0075618B">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Підсумковий показник моделі:</w:t>
            </w:r>
          </w:p>
        </w:tc>
      </w:tr>
      <w:tr w:rsidR="009218F6" w:rsidRPr="00042924" w14:paraId="1DAFA070" w14:textId="77777777" w:rsidTr="006A3D60">
        <w:trPr>
          <w:trHeight w:val="636"/>
        </w:trPr>
        <w:tc>
          <w:tcPr>
            <w:tcW w:w="1852" w:type="pct"/>
            <w:tcBorders>
              <w:top w:val="single" w:sz="4" w:space="0" w:color="auto"/>
              <w:left w:val="single" w:sz="8" w:space="0" w:color="000000"/>
              <w:bottom w:val="nil"/>
              <w:right w:val="single" w:sz="8" w:space="0" w:color="000000"/>
            </w:tcBorders>
            <w:shd w:val="clear" w:color="auto" w:fill="auto"/>
            <w:vAlign w:val="center"/>
            <w:hideMark/>
          </w:tcPr>
          <w:p w14:paraId="1143FF6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Z=1,5</w:t>
            </w:r>
            <w:r w:rsidR="003C00D4" w:rsidRPr="00042924">
              <w:rPr>
                <w:rFonts w:ascii="Times New Roman" w:eastAsia="Times New Roman" w:hAnsi="Times New Roman" w:cs="Times New Roman"/>
                <w:color w:val="000000"/>
                <w:kern w:val="0"/>
                <w:sz w:val="20"/>
                <w:szCs w:val="20"/>
                <w:lang w:val="uk-UA" w:eastAsia="uk-UA"/>
                <w14:ligatures w14:val="none"/>
              </w:rPr>
              <w:t>К</w:t>
            </w:r>
            <w:r w:rsidRPr="00042924">
              <w:rPr>
                <w:rFonts w:ascii="Times New Roman" w:eastAsia="Times New Roman" w:hAnsi="Times New Roman" w:cs="Times New Roman"/>
                <w:color w:val="000000"/>
                <w:kern w:val="0"/>
                <w:sz w:val="20"/>
                <w:szCs w:val="20"/>
                <w:lang w:val="uk-UA" w:eastAsia="uk-UA"/>
                <w14:ligatures w14:val="none"/>
              </w:rPr>
              <w:t>1+0,08</w:t>
            </w:r>
            <w:r w:rsidR="003C00D4" w:rsidRPr="00042924">
              <w:rPr>
                <w:rFonts w:ascii="Times New Roman" w:eastAsia="Times New Roman" w:hAnsi="Times New Roman" w:cs="Times New Roman"/>
                <w:color w:val="000000"/>
                <w:kern w:val="0"/>
                <w:sz w:val="20"/>
                <w:szCs w:val="20"/>
                <w:lang w:val="uk-UA" w:eastAsia="uk-UA"/>
                <w14:ligatures w14:val="none"/>
              </w:rPr>
              <w:t>К</w:t>
            </w:r>
            <w:r w:rsidRPr="00042924">
              <w:rPr>
                <w:rFonts w:ascii="Times New Roman" w:eastAsia="Times New Roman" w:hAnsi="Times New Roman" w:cs="Times New Roman"/>
                <w:color w:val="000000"/>
                <w:kern w:val="0"/>
                <w:sz w:val="20"/>
                <w:szCs w:val="20"/>
                <w:lang w:val="uk-UA" w:eastAsia="uk-UA"/>
                <w14:ligatures w14:val="none"/>
              </w:rPr>
              <w:t>2+10</w:t>
            </w:r>
            <w:r w:rsidR="003C00D4" w:rsidRPr="00042924">
              <w:rPr>
                <w:rFonts w:ascii="Times New Roman" w:eastAsia="Times New Roman" w:hAnsi="Times New Roman" w:cs="Times New Roman"/>
                <w:color w:val="000000"/>
                <w:kern w:val="0"/>
                <w:sz w:val="20"/>
                <w:szCs w:val="20"/>
                <w:lang w:val="uk-UA" w:eastAsia="uk-UA"/>
                <w14:ligatures w14:val="none"/>
              </w:rPr>
              <w:t>К</w:t>
            </w:r>
            <w:r w:rsidRPr="00042924">
              <w:rPr>
                <w:rFonts w:ascii="Times New Roman" w:eastAsia="Times New Roman" w:hAnsi="Times New Roman" w:cs="Times New Roman"/>
                <w:color w:val="000000"/>
                <w:kern w:val="0"/>
                <w:sz w:val="20"/>
                <w:szCs w:val="20"/>
                <w:lang w:val="uk-UA" w:eastAsia="uk-UA"/>
                <w14:ligatures w14:val="none"/>
              </w:rPr>
              <w:t>3+5</w:t>
            </w:r>
            <w:r w:rsidR="003C00D4" w:rsidRPr="00042924">
              <w:rPr>
                <w:rFonts w:ascii="Times New Roman" w:eastAsia="Times New Roman" w:hAnsi="Times New Roman" w:cs="Times New Roman"/>
                <w:color w:val="000000"/>
                <w:kern w:val="0"/>
                <w:sz w:val="20"/>
                <w:szCs w:val="20"/>
                <w:lang w:val="uk-UA" w:eastAsia="uk-UA"/>
                <w14:ligatures w14:val="none"/>
              </w:rPr>
              <w:t>К</w:t>
            </w:r>
            <w:r w:rsidRPr="00042924">
              <w:rPr>
                <w:rFonts w:ascii="Times New Roman" w:eastAsia="Times New Roman" w:hAnsi="Times New Roman" w:cs="Times New Roman"/>
                <w:color w:val="000000"/>
                <w:kern w:val="0"/>
                <w:sz w:val="20"/>
                <w:szCs w:val="20"/>
                <w:lang w:val="uk-UA" w:eastAsia="uk-UA"/>
                <w14:ligatures w14:val="none"/>
              </w:rPr>
              <w:t>4+ 0,3</w:t>
            </w:r>
            <w:r w:rsidR="003C00D4" w:rsidRPr="00042924">
              <w:rPr>
                <w:rFonts w:ascii="Times New Roman" w:eastAsia="Times New Roman" w:hAnsi="Times New Roman" w:cs="Times New Roman"/>
                <w:color w:val="000000"/>
                <w:kern w:val="0"/>
                <w:sz w:val="20"/>
                <w:szCs w:val="20"/>
                <w:lang w:val="uk-UA" w:eastAsia="uk-UA"/>
                <w14:ligatures w14:val="none"/>
              </w:rPr>
              <w:t>К</w:t>
            </w:r>
            <w:r w:rsidRPr="00042924">
              <w:rPr>
                <w:rFonts w:ascii="Times New Roman" w:eastAsia="Times New Roman" w:hAnsi="Times New Roman" w:cs="Times New Roman"/>
                <w:color w:val="000000"/>
                <w:kern w:val="0"/>
                <w:sz w:val="20"/>
                <w:szCs w:val="20"/>
                <w:lang w:val="uk-UA" w:eastAsia="uk-UA"/>
                <w14:ligatures w14:val="none"/>
              </w:rPr>
              <w:t>5+0,1</w:t>
            </w:r>
            <w:r w:rsidR="003C00D4" w:rsidRPr="00042924">
              <w:rPr>
                <w:rFonts w:ascii="Times New Roman" w:eastAsia="Times New Roman" w:hAnsi="Times New Roman" w:cs="Times New Roman"/>
                <w:color w:val="000000"/>
                <w:kern w:val="0"/>
                <w:sz w:val="20"/>
                <w:szCs w:val="20"/>
                <w:lang w:val="uk-UA" w:eastAsia="uk-UA"/>
                <w14:ligatures w14:val="none"/>
              </w:rPr>
              <w:t>К</w:t>
            </w:r>
            <w:r w:rsidRPr="00042924">
              <w:rPr>
                <w:rFonts w:ascii="Times New Roman" w:eastAsia="Times New Roman" w:hAnsi="Times New Roman" w:cs="Times New Roman"/>
                <w:color w:val="000000"/>
                <w:kern w:val="0"/>
                <w:sz w:val="20"/>
                <w:szCs w:val="20"/>
                <w:lang w:val="uk-UA" w:eastAsia="uk-UA"/>
                <w14:ligatures w14:val="none"/>
              </w:rPr>
              <w:t>6</w:t>
            </w:r>
          </w:p>
        </w:tc>
        <w:tc>
          <w:tcPr>
            <w:tcW w:w="962" w:type="pct"/>
            <w:tcBorders>
              <w:top w:val="single" w:sz="8" w:space="0" w:color="000000"/>
              <w:left w:val="nil"/>
              <w:bottom w:val="nil"/>
              <w:right w:val="single" w:sz="8" w:space="0" w:color="000000"/>
            </w:tcBorders>
            <w:shd w:val="clear" w:color="auto" w:fill="auto"/>
            <w:vAlign w:val="center"/>
            <w:hideMark/>
          </w:tcPr>
          <w:p w14:paraId="78A9CBB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1,316</w:t>
            </w:r>
          </w:p>
        </w:tc>
        <w:tc>
          <w:tcPr>
            <w:tcW w:w="685" w:type="pct"/>
            <w:tcBorders>
              <w:top w:val="single" w:sz="8" w:space="0" w:color="000000"/>
              <w:left w:val="nil"/>
              <w:bottom w:val="nil"/>
              <w:right w:val="single" w:sz="8" w:space="0" w:color="000000"/>
            </w:tcBorders>
            <w:shd w:val="clear" w:color="auto" w:fill="auto"/>
            <w:vAlign w:val="center"/>
            <w:hideMark/>
          </w:tcPr>
          <w:p w14:paraId="24F9E9C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2,188</w:t>
            </w:r>
          </w:p>
        </w:tc>
        <w:tc>
          <w:tcPr>
            <w:tcW w:w="685" w:type="pct"/>
            <w:tcBorders>
              <w:top w:val="single" w:sz="8" w:space="0" w:color="000000"/>
              <w:left w:val="nil"/>
              <w:bottom w:val="nil"/>
              <w:right w:val="single" w:sz="8" w:space="0" w:color="000000"/>
            </w:tcBorders>
            <w:shd w:val="clear" w:color="auto" w:fill="auto"/>
            <w:vAlign w:val="center"/>
            <w:hideMark/>
          </w:tcPr>
          <w:p w14:paraId="228A422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7,602</w:t>
            </w:r>
          </w:p>
        </w:tc>
        <w:tc>
          <w:tcPr>
            <w:tcW w:w="816" w:type="pct"/>
            <w:tcBorders>
              <w:top w:val="single" w:sz="8" w:space="0" w:color="000000"/>
              <w:left w:val="nil"/>
              <w:bottom w:val="nil"/>
              <w:right w:val="single" w:sz="8" w:space="0" w:color="000000"/>
            </w:tcBorders>
            <w:shd w:val="clear" w:color="auto" w:fill="auto"/>
            <w:vAlign w:val="center"/>
            <w:hideMark/>
          </w:tcPr>
          <w:p w14:paraId="2D1870E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-15,727</w:t>
            </w:r>
          </w:p>
        </w:tc>
      </w:tr>
      <w:tr w:rsidR="009218F6" w:rsidRPr="00042924" w14:paraId="29074372" w14:textId="77777777" w:rsidTr="001F7B7C">
        <w:trPr>
          <w:trHeight w:val="680"/>
        </w:trPr>
        <w:tc>
          <w:tcPr>
            <w:tcW w:w="185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AB8B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Ймовірність банкрутства: Z</w:t>
            </w:r>
          </w:p>
        </w:tc>
        <w:tc>
          <w:tcPr>
            <w:tcW w:w="962" w:type="pct"/>
            <w:tcBorders>
              <w:top w:val="single" w:sz="8" w:space="0" w:color="auto"/>
              <w:left w:val="nil"/>
              <w:bottom w:val="single" w:sz="8" w:space="0" w:color="auto"/>
              <w:right w:val="single" w:sz="8" w:space="0" w:color="000000"/>
            </w:tcBorders>
            <w:shd w:val="clear" w:color="auto" w:fill="auto"/>
            <w:vAlign w:val="center"/>
            <w:hideMark/>
          </w:tcPr>
          <w:p w14:paraId="317CF7A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Фінансова</w:t>
            </w:r>
            <w:r w:rsidRPr="00042924">
              <w:rPr>
                <w:rFonts w:ascii="Times New Roman" w:eastAsia="Times New Roman" w:hAnsi="Times New Roman" w:cs="Times New Roman"/>
                <w:color w:val="000000"/>
                <w:kern w:val="0"/>
                <w:sz w:val="20"/>
                <w:szCs w:val="20"/>
                <w:lang w:val="uk-UA" w:eastAsia="uk-UA"/>
                <w14:ligatures w14:val="none"/>
              </w:rPr>
              <w:br/>
              <w:t>рівновага порушена</w:t>
            </w:r>
          </w:p>
        </w:tc>
        <w:tc>
          <w:tcPr>
            <w:tcW w:w="685" w:type="pct"/>
            <w:tcBorders>
              <w:top w:val="single" w:sz="8" w:space="0" w:color="auto"/>
              <w:left w:val="nil"/>
              <w:bottom w:val="single" w:sz="8" w:space="0" w:color="auto"/>
              <w:right w:val="single" w:sz="8" w:space="0" w:color="000000"/>
            </w:tcBorders>
            <w:shd w:val="clear" w:color="auto" w:fill="auto"/>
            <w:vAlign w:val="center"/>
            <w:hideMark/>
          </w:tcPr>
          <w:p w14:paraId="2235C44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Не загрожує</w:t>
            </w:r>
            <w:r w:rsidRPr="00042924">
              <w:rPr>
                <w:rFonts w:ascii="Times New Roman" w:eastAsia="Times New Roman" w:hAnsi="Times New Roman" w:cs="Times New Roman"/>
                <w:color w:val="000000"/>
                <w:kern w:val="0"/>
                <w:sz w:val="20"/>
                <w:szCs w:val="20"/>
                <w:lang w:val="uk-UA" w:eastAsia="uk-UA"/>
                <w14:ligatures w14:val="none"/>
              </w:rPr>
              <w:br/>
              <w:t>банкрутство</w:t>
            </w:r>
          </w:p>
        </w:tc>
        <w:tc>
          <w:tcPr>
            <w:tcW w:w="685" w:type="pct"/>
            <w:tcBorders>
              <w:top w:val="single" w:sz="8" w:space="0" w:color="auto"/>
              <w:left w:val="nil"/>
              <w:bottom w:val="single" w:sz="8" w:space="0" w:color="auto"/>
              <w:right w:val="single" w:sz="8" w:space="0" w:color="000000"/>
            </w:tcBorders>
            <w:shd w:val="clear" w:color="auto" w:fill="auto"/>
            <w:vAlign w:val="center"/>
            <w:hideMark/>
          </w:tcPr>
          <w:p w14:paraId="03B7558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Не загрожує</w:t>
            </w:r>
            <w:r w:rsidRPr="00042924">
              <w:rPr>
                <w:rFonts w:ascii="Times New Roman" w:eastAsia="Times New Roman" w:hAnsi="Times New Roman" w:cs="Times New Roman"/>
                <w:color w:val="000000"/>
                <w:kern w:val="0"/>
                <w:sz w:val="20"/>
                <w:szCs w:val="20"/>
                <w:lang w:val="uk-UA" w:eastAsia="uk-UA"/>
                <w14:ligatures w14:val="none"/>
              </w:rPr>
              <w:br/>
              <w:t>банкрутство</w:t>
            </w:r>
          </w:p>
        </w:tc>
        <w:tc>
          <w:tcPr>
            <w:tcW w:w="816" w:type="pct"/>
            <w:tcBorders>
              <w:top w:val="single" w:sz="8" w:space="0" w:color="auto"/>
              <w:left w:val="nil"/>
              <w:bottom w:val="single" w:sz="8" w:space="0" w:color="auto"/>
              <w:right w:val="single" w:sz="8" w:space="0" w:color="auto"/>
            </w:tcBorders>
            <w:shd w:val="clear" w:color="auto" w:fill="auto"/>
            <w:vAlign w:val="center"/>
            <w:hideMark/>
          </w:tcPr>
          <w:p w14:paraId="2B59A47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Підприємство є напівбанкрутом</w:t>
            </w:r>
          </w:p>
        </w:tc>
      </w:tr>
    </w:tbl>
    <w:p w14:paraId="16B33A91" w14:textId="77777777" w:rsidR="009218F6" w:rsidRPr="00042924" w:rsidRDefault="009218F6" w:rsidP="009218F6">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0318AA" w:rsidRPr="00E32FFC">
        <w:rPr>
          <w:rFonts w:ascii="Times New Roman" w:hAnsi="Times New Roman" w:cs="Times New Roman"/>
          <w:sz w:val="28"/>
          <w:szCs w:val="28"/>
          <w:lang w:val="uk-UA"/>
        </w:rPr>
        <w:t>складено автором на основі</w:t>
      </w:r>
      <w:r w:rsidR="00F90A12" w:rsidRPr="00042924">
        <w:rPr>
          <w:rFonts w:ascii="Times New Roman" w:eastAsia="Times New Roman" w:hAnsi="Times New Roman" w:cs="Times New Roman"/>
          <w:sz w:val="28"/>
          <w:szCs w:val="28"/>
          <w:lang w:val="uk-UA"/>
        </w:rPr>
        <w:t xml:space="preserve"> [33]</w:t>
      </w:r>
    </w:p>
    <w:p w14:paraId="74DA9175" w14:textId="77777777" w:rsidR="00A9417D" w:rsidRPr="00042924" w:rsidRDefault="00A9417D" w:rsidP="00A9417D">
      <w:pPr>
        <w:spacing w:after="0" w:line="240" w:lineRule="auto"/>
        <w:ind w:firstLine="709"/>
        <w:jc w:val="center"/>
        <w:rPr>
          <w:rFonts w:ascii="Times New Roman" w:eastAsia="Times New Roman" w:hAnsi="Times New Roman" w:cs="Times New Roman"/>
          <w:sz w:val="28"/>
          <w:szCs w:val="28"/>
          <w:lang w:val="uk-UA"/>
        </w:rPr>
      </w:pPr>
    </w:p>
    <w:p w14:paraId="000B2BF8" w14:textId="77777777" w:rsidR="009218F6" w:rsidRPr="00042924" w:rsidRDefault="009218F6" w:rsidP="009218F6">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За результатами моделі </w:t>
      </w:r>
      <w:r w:rsidR="00380333" w:rsidRPr="00042924">
        <w:rPr>
          <w:rFonts w:ascii="Times New Roman" w:eastAsia="Times New Roman" w:hAnsi="Times New Roman" w:cs="Times New Roman"/>
          <w:sz w:val="28"/>
          <w:szCs w:val="28"/>
          <w:lang w:val="uk-UA"/>
        </w:rPr>
        <w:t xml:space="preserve">О. </w:t>
      </w:r>
      <w:r w:rsidRPr="00042924">
        <w:rPr>
          <w:rFonts w:ascii="Times New Roman" w:eastAsia="Times New Roman" w:hAnsi="Times New Roman" w:cs="Times New Roman"/>
          <w:sz w:val="28"/>
          <w:szCs w:val="28"/>
          <w:lang w:val="uk-UA"/>
        </w:rPr>
        <w:t>Терещенка у 2019 році фінансова рівновага підприємства була порушена, у 2020 та 2021 роках банкрутство не загрожувало, а у 2022 році підприємство стало напівбанкрутом. Ці результати узгоджуються з висновками за зарубіжними моделями та підтверджують нестабільність фінансового стану компанії.</w:t>
      </w:r>
    </w:p>
    <w:p w14:paraId="47A28350" w14:textId="77777777" w:rsidR="009218F6" w:rsidRPr="00042924" w:rsidRDefault="009218F6" w:rsidP="009218F6">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Останньою проаналізована семифакторна модель А.В. Матвійчука, яка враховує показники ліквідності, рентабельності, ділової активності та структури капіталу. Розрахунки наведені в таблиці 2.1</w:t>
      </w:r>
      <w:r w:rsidR="00EC7D5D" w:rsidRPr="00042924">
        <w:rPr>
          <w:rFonts w:ascii="Times New Roman" w:eastAsia="Times New Roman" w:hAnsi="Times New Roman" w:cs="Times New Roman"/>
          <w:sz w:val="28"/>
          <w:szCs w:val="28"/>
          <w:lang w:val="uk-UA"/>
        </w:rPr>
        <w:t>5</w:t>
      </w:r>
      <w:r w:rsidRPr="00042924">
        <w:rPr>
          <w:rFonts w:ascii="Times New Roman" w:eastAsia="Times New Roman" w:hAnsi="Times New Roman" w:cs="Times New Roman"/>
          <w:sz w:val="28"/>
          <w:szCs w:val="28"/>
          <w:lang w:val="uk-UA"/>
        </w:rPr>
        <w:t>.</w:t>
      </w:r>
    </w:p>
    <w:p w14:paraId="40947313" w14:textId="77777777" w:rsidR="009218F6" w:rsidRPr="00042924" w:rsidRDefault="009218F6" w:rsidP="00D60B58">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lastRenderedPageBreak/>
        <w:t>Таблиця 2.1</w:t>
      </w:r>
      <w:r w:rsidR="00EC7D5D" w:rsidRPr="00042924">
        <w:rPr>
          <w:rFonts w:ascii="Times New Roman" w:eastAsia="Times New Roman" w:hAnsi="Times New Roman" w:cs="Times New Roman"/>
          <w:sz w:val="28"/>
          <w:szCs w:val="28"/>
          <w:lang w:val="uk-UA"/>
        </w:rPr>
        <w:t>5</w:t>
      </w:r>
      <w:r w:rsidRPr="00042924">
        <w:rPr>
          <w:rFonts w:ascii="Times New Roman" w:eastAsia="Times New Roman" w:hAnsi="Times New Roman" w:cs="Times New Roman"/>
          <w:sz w:val="28"/>
          <w:szCs w:val="28"/>
          <w:lang w:val="uk-UA"/>
        </w:rPr>
        <w:t xml:space="preserve"> – Оцінка ймовірності банкрутства ПАТ </w:t>
      </w:r>
      <w:r w:rsidR="00B1406D">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за моделлю А.В. Матвійчука</w:t>
      </w:r>
    </w:p>
    <w:tbl>
      <w:tblPr>
        <w:tblW w:w="5000" w:type="pct"/>
        <w:tblCellMar>
          <w:left w:w="0" w:type="dxa"/>
          <w:right w:w="0" w:type="dxa"/>
        </w:tblCellMar>
        <w:tblLook w:val="04A0" w:firstRow="1" w:lastRow="0" w:firstColumn="1" w:lastColumn="0" w:noHBand="0" w:noVBand="1"/>
      </w:tblPr>
      <w:tblGrid>
        <w:gridCol w:w="3668"/>
        <w:gridCol w:w="1905"/>
        <w:gridCol w:w="1356"/>
        <w:gridCol w:w="1356"/>
        <w:gridCol w:w="1616"/>
      </w:tblGrid>
      <w:tr w:rsidR="009218F6" w:rsidRPr="00042924" w14:paraId="41F5BF34" w14:textId="77777777" w:rsidTr="001F7B7C">
        <w:trPr>
          <w:trHeight w:val="397"/>
        </w:trPr>
        <w:tc>
          <w:tcPr>
            <w:tcW w:w="1852" w:type="pct"/>
            <w:vMerge w:val="restart"/>
            <w:tcBorders>
              <w:top w:val="single" w:sz="4" w:space="0" w:color="auto"/>
              <w:left w:val="single" w:sz="8" w:space="0" w:color="000000"/>
              <w:bottom w:val="nil"/>
              <w:right w:val="single" w:sz="8" w:space="0" w:color="000000"/>
            </w:tcBorders>
            <w:shd w:val="clear" w:color="auto" w:fill="auto"/>
            <w:vAlign w:val="center"/>
            <w:hideMark/>
          </w:tcPr>
          <w:p w14:paraId="1A0F6D4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w:t>
            </w:r>
          </w:p>
        </w:tc>
        <w:tc>
          <w:tcPr>
            <w:tcW w:w="3148" w:type="pct"/>
            <w:gridSpan w:val="4"/>
            <w:tcBorders>
              <w:top w:val="single" w:sz="4" w:space="0" w:color="auto"/>
              <w:left w:val="nil"/>
              <w:bottom w:val="single" w:sz="8" w:space="0" w:color="000000"/>
              <w:right w:val="single" w:sz="8" w:space="0" w:color="000000"/>
            </w:tcBorders>
            <w:shd w:val="clear" w:color="auto" w:fill="auto"/>
            <w:vAlign w:val="center"/>
            <w:hideMark/>
          </w:tcPr>
          <w:p w14:paraId="5CE1152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Період, рік</w:t>
            </w:r>
          </w:p>
        </w:tc>
      </w:tr>
      <w:tr w:rsidR="009218F6" w:rsidRPr="00042924" w14:paraId="694FA27A" w14:textId="77777777" w:rsidTr="001F7B7C">
        <w:trPr>
          <w:trHeight w:val="397"/>
        </w:trPr>
        <w:tc>
          <w:tcPr>
            <w:tcW w:w="1852" w:type="pct"/>
            <w:vMerge/>
            <w:tcBorders>
              <w:top w:val="nil"/>
              <w:left w:val="single" w:sz="8" w:space="0" w:color="000000"/>
              <w:bottom w:val="nil"/>
              <w:right w:val="single" w:sz="8" w:space="0" w:color="000000"/>
            </w:tcBorders>
            <w:vAlign w:val="center"/>
            <w:hideMark/>
          </w:tcPr>
          <w:p w14:paraId="0BB50AA8" w14:textId="77777777" w:rsidR="009218F6" w:rsidRPr="00042924" w:rsidRDefault="009218F6" w:rsidP="0029174C">
            <w:pPr>
              <w:spacing w:after="0" w:line="240" w:lineRule="auto"/>
              <w:rPr>
                <w:rFonts w:ascii="Times New Roman" w:eastAsia="Times New Roman" w:hAnsi="Times New Roman" w:cs="Times New Roman"/>
                <w:color w:val="000000"/>
                <w:kern w:val="0"/>
                <w:sz w:val="20"/>
                <w:szCs w:val="20"/>
                <w:lang w:val="uk-UA" w:eastAsia="uk-UA"/>
                <w14:ligatures w14:val="none"/>
              </w:rPr>
            </w:pPr>
          </w:p>
        </w:tc>
        <w:tc>
          <w:tcPr>
            <w:tcW w:w="962" w:type="pct"/>
            <w:tcBorders>
              <w:top w:val="nil"/>
              <w:left w:val="nil"/>
              <w:bottom w:val="nil"/>
              <w:right w:val="single" w:sz="8" w:space="0" w:color="000000"/>
            </w:tcBorders>
            <w:shd w:val="clear" w:color="auto" w:fill="auto"/>
            <w:vAlign w:val="center"/>
            <w:hideMark/>
          </w:tcPr>
          <w:p w14:paraId="3B667D9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2019</w:t>
            </w:r>
          </w:p>
        </w:tc>
        <w:tc>
          <w:tcPr>
            <w:tcW w:w="685" w:type="pct"/>
            <w:tcBorders>
              <w:top w:val="nil"/>
              <w:left w:val="nil"/>
              <w:bottom w:val="nil"/>
              <w:right w:val="single" w:sz="8" w:space="0" w:color="000000"/>
            </w:tcBorders>
            <w:shd w:val="clear" w:color="auto" w:fill="auto"/>
            <w:vAlign w:val="center"/>
            <w:hideMark/>
          </w:tcPr>
          <w:p w14:paraId="65EBCF6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2020</w:t>
            </w:r>
          </w:p>
        </w:tc>
        <w:tc>
          <w:tcPr>
            <w:tcW w:w="685" w:type="pct"/>
            <w:tcBorders>
              <w:top w:val="nil"/>
              <w:left w:val="nil"/>
              <w:bottom w:val="nil"/>
              <w:right w:val="single" w:sz="8" w:space="0" w:color="000000"/>
            </w:tcBorders>
            <w:shd w:val="clear" w:color="auto" w:fill="auto"/>
            <w:vAlign w:val="center"/>
            <w:hideMark/>
          </w:tcPr>
          <w:p w14:paraId="2281B22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2021</w:t>
            </w:r>
          </w:p>
        </w:tc>
        <w:tc>
          <w:tcPr>
            <w:tcW w:w="816" w:type="pct"/>
            <w:tcBorders>
              <w:top w:val="nil"/>
              <w:left w:val="nil"/>
              <w:bottom w:val="nil"/>
              <w:right w:val="single" w:sz="8" w:space="0" w:color="000000"/>
            </w:tcBorders>
            <w:shd w:val="clear" w:color="auto" w:fill="auto"/>
            <w:vAlign w:val="center"/>
            <w:hideMark/>
          </w:tcPr>
          <w:p w14:paraId="649CAAC1"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2022</w:t>
            </w:r>
          </w:p>
        </w:tc>
      </w:tr>
      <w:tr w:rsidR="009218F6" w:rsidRPr="00042924" w14:paraId="6D0FDCBF" w14:textId="77777777" w:rsidTr="00B66B5A">
        <w:trPr>
          <w:trHeight w:val="397"/>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F18FF88" w14:textId="77777777" w:rsidR="009218F6" w:rsidRPr="00042924" w:rsidRDefault="009218F6" w:rsidP="0075618B">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Вихідні дані:</w:t>
            </w:r>
          </w:p>
        </w:tc>
      </w:tr>
      <w:tr w:rsidR="009218F6" w:rsidRPr="00042924" w14:paraId="5150980C" w14:textId="77777777" w:rsidTr="001F7B7C">
        <w:trPr>
          <w:trHeight w:val="397"/>
        </w:trPr>
        <w:tc>
          <w:tcPr>
            <w:tcW w:w="1852" w:type="pct"/>
            <w:tcBorders>
              <w:top w:val="nil"/>
              <w:left w:val="single" w:sz="8" w:space="0" w:color="000000"/>
              <w:bottom w:val="single" w:sz="8" w:space="0" w:color="000000"/>
              <w:right w:val="nil"/>
            </w:tcBorders>
            <w:shd w:val="clear" w:color="auto" w:fill="auto"/>
            <w:vAlign w:val="center"/>
            <w:hideMark/>
          </w:tcPr>
          <w:p w14:paraId="14946B26"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 Оборотні активи, тис. грн.</w:t>
            </w:r>
          </w:p>
        </w:tc>
        <w:tc>
          <w:tcPr>
            <w:tcW w:w="962" w:type="pct"/>
            <w:tcBorders>
              <w:top w:val="nil"/>
              <w:left w:val="single" w:sz="8" w:space="0" w:color="auto"/>
              <w:bottom w:val="single" w:sz="8" w:space="0" w:color="auto"/>
              <w:right w:val="single" w:sz="8" w:space="0" w:color="auto"/>
            </w:tcBorders>
            <w:shd w:val="clear" w:color="auto" w:fill="auto"/>
            <w:noWrap/>
            <w:vAlign w:val="center"/>
            <w:hideMark/>
          </w:tcPr>
          <w:p w14:paraId="1CDF49A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36881636</w:t>
            </w:r>
          </w:p>
        </w:tc>
        <w:tc>
          <w:tcPr>
            <w:tcW w:w="685" w:type="pct"/>
            <w:tcBorders>
              <w:top w:val="nil"/>
              <w:left w:val="nil"/>
              <w:bottom w:val="single" w:sz="8" w:space="0" w:color="auto"/>
              <w:right w:val="single" w:sz="8" w:space="0" w:color="auto"/>
            </w:tcBorders>
            <w:shd w:val="clear" w:color="auto" w:fill="auto"/>
            <w:noWrap/>
            <w:vAlign w:val="center"/>
            <w:hideMark/>
          </w:tcPr>
          <w:p w14:paraId="3D1A468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30045798</w:t>
            </w:r>
          </w:p>
        </w:tc>
        <w:tc>
          <w:tcPr>
            <w:tcW w:w="685" w:type="pct"/>
            <w:tcBorders>
              <w:top w:val="nil"/>
              <w:left w:val="nil"/>
              <w:bottom w:val="single" w:sz="8" w:space="0" w:color="auto"/>
              <w:right w:val="single" w:sz="8" w:space="0" w:color="auto"/>
            </w:tcBorders>
            <w:shd w:val="clear" w:color="auto" w:fill="auto"/>
            <w:noWrap/>
            <w:vAlign w:val="center"/>
            <w:hideMark/>
          </w:tcPr>
          <w:p w14:paraId="3410198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45613529</w:t>
            </w:r>
          </w:p>
        </w:tc>
        <w:tc>
          <w:tcPr>
            <w:tcW w:w="816" w:type="pct"/>
            <w:tcBorders>
              <w:top w:val="nil"/>
              <w:left w:val="nil"/>
              <w:bottom w:val="single" w:sz="8" w:space="0" w:color="auto"/>
              <w:right w:val="single" w:sz="8" w:space="0" w:color="auto"/>
            </w:tcBorders>
            <w:shd w:val="clear" w:color="auto" w:fill="auto"/>
            <w:noWrap/>
            <w:vAlign w:val="center"/>
            <w:hideMark/>
          </w:tcPr>
          <w:p w14:paraId="68B05F9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29703419</w:t>
            </w:r>
          </w:p>
        </w:tc>
      </w:tr>
      <w:tr w:rsidR="009218F6" w:rsidRPr="00042924" w14:paraId="2B37ACD0"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BE5DCED"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 Необоротні активи, тис. грн.</w:t>
            </w:r>
          </w:p>
        </w:tc>
        <w:tc>
          <w:tcPr>
            <w:tcW w:w="962" w:type="pct"/>
            <w:tcBorders>
              <w:top w:val="nil"/>
              <w:left w:val="nil"/>
              <w:bottom w:val="single" w:sz="8" w:space="0" w:color="auto"/>
              <w:right w:val="single" w:sz="8" w:space="0" w:color="auto"/>
            </w:tcBorders>
            <w:shd w:val="clear" w:color="auto" w:fill="auto"/>
            <w:noWrap/>
            <w:vAlign w:val="center"/>
            <w:hideMark/>
          </w:tcPr>
          <w:p w14:paraId="5C593E6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60 662 785</w:t>
            </w:r>
          </w:p>
        </w:tc>
        <w:tc>
          <w:tcPr>
            <w:tcW w:w="685" w:type="pct"/>
            <w:tcBorders>
              <w:top w:val="nil"/>
              <w:left w:val="nil"/>
              <w:bottom w:val="single" w:sz="8" w:space="0" w:color="auto"/>
              <w:right w:val="single" w:sz="8" w:space="0" w:color="auto"/>
            </w:tcBorders>
            <w:shd w:val="clear" w:color="auto" w:fill="auto"/>
            <w:noWrap/>
            <w:vAlign w:val="center"/>
            <w:hideMark/>
          </w:tcPr>
          <w:p w14:paraId="66BBA1C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58303758</w:t>
            </w:r>
          </w:p>
        </w:tc>
        <w:tc>
          <w:tcPr>
            <w:tcW w:w="685" w:type="pct"/>
            <w:tcBorders>
              <w:top w:val="nil"/>
              <w:left w:val="nil"/>
              <w:bottom w:val="single" w:sz="8" w:space="0" w:color="auto"/>
              <w:right w:val="single" w:sz="8" w:space="0" w:color="auto"/>
            </w:tcBorders>
            <w:shd w:val="clear" w:color="auto" w:fill="auto"/>
            <w:noWrap/>
            <w:vAlign w:val="center"/>
            <w:hideMark/>
          </w:tcPr>
          <w:p w14:paraId="473A172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60187446</w:t>
            </w:r>
          </w:p>
        </w:tc>
        <w:tc>
          <w:tcPr>
            <w:tcW w:w="816" w:type="pct"/>
            <w:tcBorders>
              <w:top w:val="nil"/>
              <w:left w:val="nil"/>
              <w:bottom w:val="single" w:sz="8" w:space="0" w:color="auto"/>
              <w:right w:val="single" w:sz="8" w:space="0" w:color="auto"/>
            </w:tcBorders>
            <w:shd w:val="clear" w:color="auto" w:fill="auto"/>
            <w:noWrap/>
            <w:vAlign w:val="center"/>
            <w:hideMark/>
          </w:tcPr>
          <w:p w14:paraId="1A96EE1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22979342</w:t>
            </w:r>
          </w:p>
        </w:tc>
      </w:tr>
      <w:tr w:rsidR="009218F6" w:rsidRPr="00042924" w14:paraId="600DE354"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1ED689A"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 Чистий дохід від реалізації, тис. грн.</w:t>
            </w:r>
          </w:p>
        </w:tc>
        <w:tc>
          <w:tcPr>
            <w:tcW w:w="962" w:type="pct"/>
            <w:tcBorders>
              <w:top w:val="nil"/>
              <w:left w:val="nil"/>
              <w:bottom w:val="single" w:sz="8" w:space="0" w:color="auto"/>
              <w:right w:val="single" w:sz="8" w:space="0" w:color="auto"/>
            </w:tcBorders>
            <w:shd w:val="clear" w:color="auto" w:fill="auto"/>
            <w:noWrap/>
            <w:vAlign w:val="center"/>
            <w:hideMark/>
          </w:tcPr>
          <w:p w14:paraId="5BD2A8E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62 409 226</w:t>
            </w:r>
          </w:p>
        </w:tc>
        <w:tc>
          <w:tcPr>
            <w:tcW w:w="685" w:type="pct"/>
            <w:tcBorders>
              <w:top w:val="nil"/>
              <w:left w:val="nil"/>
              <w:bottom w:val="single" w:sz="8" w:space="0" w:color="auto"/>
              <w:right w:val="single" w:sz="8" w:space="0" w:color="auto"/>
            </w:tcBorders>
            <w:shd w:val="clear" w:color="auto" w:fill="auto"/>
            <w:noWrap/>
            <w:vAlign w:val="center"/>
            <w:hideMark/>
          </w:tcPr>
          <w:p w14:paraId="3BA647F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63496684</w:t>
            </w:r>
          </w:p>
        </w:tc>
        <w:tc>
          <w:tcPr>
            <w:tcW w:w="685" w:type="pct"/>
            <w:tcBorders>
              <w:top w:val="nil"/>
              <w:left w:val="nil"/>
              <w:bottom w:val="single" w:sz="8" w:space="0" w:color="auto"/>
              <w:right w:val="single" w:sz="8" w:space="0" w:color="auto"/>
            </w:tcBorders>
            <w:shd w:val="clear" w:color="auto" w:fill="auto"/>
            <w:noWrap/>
            <w:vAlign w:val="center"/>
            <w:hideMark/>
          </w:tcPr>
          <w:p w14:paraId="7522877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109303155</w:t>
            </w:r>
          </w:p>
        </w:tc>
        <w:tc>
          <w:tcPr>
            <w:tcW w:w="816" w:type="pct"/>
            <w:tcBorders>
              <w:top w:val="nil"/>
              <w:left w:val="nil"/>
              <w:bottom w:val="single" w:sz="8" w:space="0" w:color="auto"/>
              <w:right w:val="single" w:sz="8" w:space="0" w:color="auto"/>
            </w:tcBorders>
            <w:shd w:val="clear" w:color="auto" w:fill="auto"/>
            <w:noWrap/>
            <w:vAlign w:val="center"/>
            <w:hideMark/>
          </w:tcPr>
          <w:p w14:paraId="48B4EDA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43818410</w:t>
            </w:r>
          </w:p>
        </w:tc>
      </w:tr>
      <w:tr w:rsidR="009218F6" w:rsidRPr="00042924" w14:paraId="5075D839" w14:textId="77777777" w:rsidTr="001F7B7C">
        <w:trPr>
          <w:trHeight w:val="397"/>
        </w:trPr>
        <w:tc>
          <w:tcPr>
            <w:tcW w:w="1852" w:type="pct"/>
            <w:tcBorders>
              <w:top w:val="nil"/>
              <w:left w:val="single" w:sz="8" w:space="0" w:color="000000"/>
              <w:bottom w:val="single" w:sz="8" w:space="0" w:color="000000"/>
              <w:right w:val="nil"/>
            </w:tcBorders>
            <w:shd w:val="clear" w:color="auto" w:fill="auto"/>
            <w:vAlign w:val="center"/>
            <w:hideMark/>
          </w:tcPr>
          <w:p w14:paraId="0FD6E82F"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 Поточні зобов’язання, тис. грн.</w:t>
            </w:r>
          </w:p>
        </w:tc>
        <w:tc>
          <w:tcPr>
            <w:tcW w:w="962" w:type="pct"/>
            <w:tcBorders>
              <w:top w:val="nil"/>
              <w:left w:val="single" w:sz="8" w:space="0" w:color="auto"/>
              <w:bottom w:val="single" w:sz="8" w:space="0" w:color="auto"/>
              <w:right w:val="single" w:sz="8" w:space="0" w:color="auto"/>
            </w:tcBorders>
            <w:shd w:val="clear" w:color="auto" w:fill="auto"/>
            <w:noWrap/>
            <w:vAlign w:val="center"/>
            <w:hideMark/>
          </w:tcPr>
          <w:p w14:paraId="4295FE4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26771781</w:t>
            </w:r>
          </w:p>
        </w:tc>
        <w:tc>
          <w:tcPr>
            <w:tcW w:w="685" w:type="pct"/>
            <w:tcBorders>
              <w:top w:val="nil"/>
              <w:left w:val="nil"/>
              <w:bottom w:val="single" w:sz="8" w:space="0" w:color="auto"/>
              <w:right w:val="single" w:sz="8" w:space="0" w:color="auto"/>
            </w:tcBorders>
            <w:shd w:val="clear" w:color="auto" w:fill="auto"/>
            <w:noWrap/>
            <w:vAlign w:val="center"/>
            <w:hideMark/>
          </w:tcPr>
          <w:p w14:paraId="0F49EF2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17865684</w:t>
            </w:r>
          </w:p>
        </w:tc>
        <w:tc>
          <w:tcPr>
            <w:tcW w:w="685" w:type="pct"/>
            <w:tcBorders>
              <w:top w:val="nil"/>
              <w:left w:val="nil"/>
              <w:bottom w:val="single" w:sz="8" w:space="0" w:color="auto"/>
              <w:right w:val="single" w:sz="8" w:space="0" w:color="auto"/>
            </w:tcBorders>
            <w:shd w:val="clear" w:color="auto" w:fill="auto"/>
            <w:noWrap/>
            <w:vAlign w:val="center"/>
            <w:hideMark/>
          </w:tcPr>
          <w:p w14:paraId="22674A9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21889735</w:t>
            </w:r>
          </w:p>
        </w:tc>
        <w:tc>
          <w:tcPr>
            <w:tcW w:w="816" w:type="pct"/>
            <w:tcBorders>
              <w:top w:val="nil"/>
              <w:left w:val="nil"/>
              <w:bottom w:val="single" w:sz="8" w:space="0" w:color="auto"/>
              <w:right w:val="single" w:sz="8" w:space="0" w:color="auto"/>
            </w:tcBorders>
            <w:shd w:val="clear" w:color="auto" w:fill="auto"/>
            <w:noWrap/>
            <w:vAlign w:val="center"/>
            <w:hideMark/>
          </w:tcPr>
          <w:p w14:paraId="6FA60E0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18423468</w:t>
            </w:r>
          </w:p>
        </w:tc>
      </w:tr>
      <w:tr w:rsidR="009218F6" w:rsidRPr="00042924" w14:paraId="21B83FCB" w14:textId="77777777" w:rsidTr="001F7B7C">
        <w:trPr>
          <w:trHeight w:val="397"/>
        </w:trPr>
        <w:tc>
          <w:tcPr>
            <w:tcW w:w="1852" w:type="pct"/>
            <w:tcBorders>
              <w:top w:val="nil"/>
              <w:left w:val="single" w:sz="8" w:space="0" w:color="000000"/>
              <w:bottom w:val="nil"/>
              <w:right w:val="single" w:sz="8" w:space="0" w:color="000000"/>
            </w:tcBorders>
            <w:shd w:val="clear" w:color="auto" w:fill="auto"/>
            <w:vAlign w:val="center"/>
            <w:hideMark/>
          </w:tcPr>
          <w:p w14:paraId="53F4D1E8"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 Власний капітал, тис.грн.</w:t>
            </w:r>
          </w:p>
        </w:tc>
        <w:tc>
          <w:tcPr>
            <w:tcW w:w="962" w:type="pct"/>
            <w:tcBorders>
              <w:top w:val="nil"/>
              <w:left w:val="nil"/>
              <w:bottom w:val="single" w:sz="8" w:space="0" w:color="auto"/>
              <w:right w:val="single" w:sz="8" w:space="0" w:color="auto"/>
            </w:tcBorders>
            <w:shd w:val="clear" w:color="auto" w:fill="auto"/>
            <w:noWrap/>
            <w:vAlign w:val="center"/>
            <w:hideMark/>
          </w:tcPr>
          <w:p w14:paraId="72258AE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60631140</w:t>
            </w:r>
          </w:p>
        </w:tc>
        <w:tc>
          <w:tcPr>
            <w:tcW w:w="685" w:type="pct"/>
            <w:tcBorders>
              <w:top w:val="nil"/>
              <w:left w:val="nil"/>
              <w:bottom w:val="single" w:sz="8" w:space="0" w:color="auto"/>
              <w:right w:val="single" w:sz="8" w:space="0" w:color="auto"/>
            </w:tcBorders>
            <w:shd w:val="clear" w:color="auto" w:fill="auto"/>
            <w:noWrap/>
            <w:vAlign w:val="center"/>
            <w:hideMark/>
          </w:tcPr>
          <w:p w14:paraId="254E5653"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60879286</w:t>
            </w:r>
          </w:p>
        </w:tc>
        <w:tc>
          <w:tcPr>
            <w:tcW w:w="685" w:type="pct"/>
            <w:tcBorders>
              <w:top w:val="nil"/>
              <w:left w:val="nil"/>
              <w:bottom w:val="single" w:sz="8" w:space="0" w:color="auto"/>
              <w:right w:val="single" w:sz="8" w:space="0" w:color="auto"/>
            </w:tcBorders>
            <w:shd w:val="clear" w:color="auto" w:fill="auto"/>
            <w:noWrap/>
            <w:vAlign w:val="center"/>
            <w:hideMark/>
          </w:tcPr>
          <w:p w14:paraId="49526D9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76552000</w:t>
            </w:r>
          </w:p>
        </w:tc>
        <w:tc>
          <w:tcPr>
            <w:tcW w:w="816" w:type="pct"/>
            <w:tcBorders>
              <w:top w:val="nil"/>
              <w:left w:val="nil"/>
              <w:bottom w:val="single" w:sz="8" w:space="0" w:color="auto"/>
              <w:right w:val="single" w:sz="8" w:space="0" w:color="auto"/>
            </w:tcBorders>
            <w:shd w:val="clear" w:color="auto" w:fill="auto"/>
            <w:noWrap/>
            <w:vAlign w:val="center"/>
            <w:hideMark/>
          </w:tcPr>
          <w:p w14:paraId="7A441A7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28212939</w:t>
            </w:r>
          </w:p>
        </w:tc>
      </w:tr>
      <w:tr w:rsidR="009218F6" w:rsidRPr="00042924" w14:paraId="7FA8E53C" w14:textId="77777777" w:rsidTr="001F7B7C">
        <w:trPr>
          <w:trHeight w:val="397"/>
        </w:trPr>
        <w:tc>
          <w:tcPr>
            <w:tcW w:w="1852"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34740C43"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6. Баланс, тис. грн.</w:t>
            </w:r>
          </w:p>
        </w:tc>
        <w:tc>
          <w:tcPr>
            <w:tcW w:w="962" w:type="pct"/>
            <w:tcBorders>
              <w:top w:val="nil"/>
              <w:left w:val="nil"/>
              <w:bottom w:val="single" w:sz="8" w:space="0" w:color="auto"/>
              <w:right w:val="single" w:sz="8" w:space="0" w:color="auto"/>
            </w:tcBorders>
            <w:shd w:val="clear" w:color="auto" w:fill="auto"/>
            <w:noWrap/>
            <w:vAlign w:val="center"/>
            <w:hideMark/>
          </w:tcPr>
          <w:p w14:paraId="6307450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97544421</w:t>
            </w:r>
          </w:p>
        </w:tc>
        <w:tc>
          <w:tcPr>
            <w:tcW w:w="685" w:type="pct"/>
            <w:tcBorders>
              <w:top w:val="nil"/>
              <w:left w:val="nil"/>
              <w:bottom w:val="single" w:sz="8" w:space="0" w:color="auto"/>
              <w:right w:val="single" w:sz="8" w:space="0" w:color="auto"/>
            </w:tcBorders>
            <w:shd w:val="clear" w:color="auto" w:fill="auto"/>
            <w:noWrap/>
            <w:vAlign w:val="center"/>
            <w:hideMark/>
          </w:tcPr>
          <w:p w14:paraId="28F0CDF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88349556</w:t>
            </w:r>
          </w:p>
        </w:tc>
        <w:tc>
          <w:tcPr>
            <w:tcW w:w="685" w:type="pct"/>
            <w:tcBorders>
              <w:top w:val="nil"/>
              <w:left w:val="nil"/>
              <w:bottom w:val="single" w:sz="8" w:space="0" w:color="auto"/>
              <w:right w:val="single" w:sz="8" w:space="0" w:color="auto"/>
            </w:tcBorders>
            <w:shd w:val="clear" w:color="auto" w:fill="auto"/>
            <w:noWrap/>
            <w:vAlign w:val="center"/>
            <w:hideMark/>
          </w:tcPr>
          <w:p w14:paraId="391AC9E3"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105800975</w:t>
            </w:r>
          </w:p>
        </w:tc>
        <w:tc>
          <w:tcPr>
            <w:tcW w:w="816" w:type="pct"/>
            <w:tcBorders>
              <w:top w:val="nil"/>
              <w:left w:val="nil"/>
              <w:bottom w:val="single" w:sz="8" w:space="0" w:color="auto"/>
              <w:right w:val="single" w:sz="8" w:space="0" w:color="auto"/>
            </w:tcBorders>
            <w:shd w:val="clear" w:color="auto" w:fill="auto"/>
            <w:noWrap/>
            <w:vAlign w:val="center"/>
            <w:hideMark/>
          </w:tcPr>
          <w:p w14:paraId="53BFC9A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52682761</w:t>
            </w:r>
          </w:p>
        </w:tc>
      </w:tr>
      <w:tr w:rsidR="009218F6" w:rsidRPr="00042924" w14:paraId="310F8C41"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0D6F2483" w14:textId="77777777" w:rsidR="009218F6" w:rsidRPr="00042924" w:rsidRDefault="009218F6" w:rsidP="00641366">
            <w:pPr>
              <w:spacing w:after="0" w:line="240" w:lineRule="auto"/>
              <w:ind w:left="57"/>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7. Позиковий капітал , тис. грн.</w:t>
            </w:r>
          </w:p>
        </w:tc>
        <w:tc>
          <w:tcPr>
            <w:tcW w:w="962" w:type="pct"/>
            <w:tcBorders>
              <w:top w:val="nil"/>
              <w:left w:val="nil"/>
              <w:bottom w:val="single" w:sz="8" w:space="0" w:color="auto"/>
              <w:right w:val="single" w:sz="8" w:space="0" w:color="auto"/>
            </w:tcBorders>
            <w:shd w:val="clear" w:color="auto" w:fill="auto"/>
            <w:noWrap/>
            <w:vAlign w:val="center"/>
            <w:hideMark/>
          </w:tcPr>
          <w:p w14:paraId="7BD876D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36913281</w:t>
            </w:r>
          </w:p>
        </w:tc>
        <w:tc>
          <w:tcPr>
            <w:tcW w:w="685" w:type="pct"/>
            <w:tcBorders>
              <w:top w:val="nil"/>
              <w:left w:val="nil"/>
              <w:bottom w:val="single" w:sz="8" w:space="0" w:color="auto"/>
              <w:right w:val="single" w:sz="8" w:space="0" w:color="auto"/>
            </w:tcBorders>
            <w:shd w:val="clear" w:color="auto" w:fill="auto"/>
            <w:noWrap/>
            <w:vAlign w:val="center"/>
            <w:hideMark/>
          </w:tcPr>
          <w:p w14:paraId="3A546B0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27470270</w:t>
            </w:r>
          </w:p>
        </w:tc>
        <w:tc>
          <w:tcPr>
            <w:tcW w:w="685" w:type="pct"/>
            <w:tcBorders>
              <w:top w:val="nil"/>
              <w:left w:val="nil"/>
              <w:bottom w:val="single" w:sz="8" w:space="0" w:color="auto"/>
              <w:right w:val="single" w:sz="8" w:space="0" w:color="auto"/>
            </w:tcBorders>
            <w:shd w:val="clear" w:color="auto" w:fill="auto"/>
            <w:noWrap/>
            <w:vAlign w:val="center"/>
            <w:hideMark/>
          </w:tcPr>
          <w:p w14:paraId="539BB441"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29248975</w:t>
            </w:r>
          </w:p>
        </w:tc>
        <w:tc>
          <w:tcPr>
            <w:tcW w:w="816" w:type="pct"/>
            <w:tcBorders>
              <w:top w:val="nil"/>
              <w:left w:val="nil"/>
              <w:bottom w:val="single" w:sz="8" w:space="0" w:color="auto"/>
              <w:right w:val="single" w:sz="8" w:space="0" w:color="auto"/>
            </w:tcBorders>
            <w:shd w:val="clear" w:color="auto" w:fill="auto"/>
            <w:noWrap/>
            <w:vAlign w:val="center"/>
            <w:hideMark/>
          </w:tcPr>
          <w:p w14:paraId="175EF5F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24469822</w:t>
            </w:r>
          </w:p>
        </w:tc>
      </w:tr>
      <w:tr w:rsidR="009218F6" w:rsidRPr="00042924" w14:paraId="3F53E610" w14:textId="77777777" w:rsidTr="001F7B7C">
        <w:trPr>
          <w:trHeight w:val="397"/>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846CEF" w14:textId="77777777" w:rsidR="009218F6" w:rsidRPr="00042924" w:rsidRDefault="009218F6" w:rsidP="0075618B">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Показники моделі:</w:t>
            </w:r>
          </w:p>
        </w:tc>
      </w:tr>
      <w:tr w:rsidR="009218F6" w:rsidRPr="00042924" w14:paraId="7C1AADC2"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0ADDA7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К1 (п. 1 / п. 2)</w:t>
            </w:r>
          </w:p>
        </w:tc>
        <w:tc>
          <w:tcPr>
            <w:tcW w:w="962" w:type="pct"/>
            <w:tcBorders>
              <w:top w:val="nil"/>
              <w:left w:val="nil"/>
              <w:bottom w:val="single" w:sz="8" w:space="0" w:color="000000"/>
              <w:right w:val="single" w:sz="8" w:space="0" w:color="000000"/>
            </w:tcBorders>
            <w:shd w:val="clear" w:color="auto" w:fill="auto"/>
            <w:vAlign w:val="center"/>
            <w:hideMark/>
          </w:tcPr>
          <w:p w14:paraId="78A2DB3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0,608</w:t>
            </w:r>
          </w:p>
        </w:tc>
        <w:tc>
          <w:tcPr>
            <w:tcW w:w="685" w:type="pct"/>
            <w:tcBorders>
              <w:top w:val="nil"/>
              <w:left w:val="nil"/>
              <w:bottom w:val="single" w:sz="8" w:space="0" w:color="000000"/>
              <w:right w:val="single" w:sz="8" w:space="0" w:color="000000"/>
            </w:tcBorders>
            <w:shd w:val="clear" w:color="auto" w:fill="auto"/>
            <w:vAlign w:val="center"/>
            <w:hideMark/>
          </w:tcPr>
          <w:p w14:paraId="1AC10B4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0,515</w:t>
            </w:r>
          </w:p>
        </w:tc>
        <w:tc>
          <w:tcPr>
            <w:tcW w:w="685" w:type="pct"/>
            <w:tcBorders>
              <w:top w:val="nil"/>
              <w:left w:val="nil"/>
              <w:bottom w:val="single" w:sz="8" w:space="0" w:color="000000"/>
              <w:right w:val="single" w:sz="8" w:space="0" w:color="000000"/>
            </w:tcBorders>
            <w:shd w:val="clear" w:color="auto" w:fill="auto"/>
            <w:vAlign w:val="center"/>
            <w:hideMark/>
          </w:tcPr>
          <w:p w14:paraId="7ADB4A8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0,758</w:t>
            </w:r>
          </w:p>
        </w:tc>
        <w:tc>
          <w:tcPr>
            <w:tcW w:w="816" w:type="pct"/>
            <w:tcBorders>
              <w:top w:val="nil"/>
              <w:left w:val="nil"/>
              <w:bottom w:val="single" w:sz="8" w:space="0" w:color="000000"/>
              <w:right w:val="single" w:sz="8" w:space="0" w:color="000000"/>
            </w:tcBorders>
            <w:shd w:val="clear" w:color="auto" w:fill="auto"/>
            <w:vAlign w:val="center"/>
            <w:hideMark/>
          </w:tcPr>
          <w:p w14:paraId="49C74123"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1,293</w:t>
            </w:r>
          </w:p>
        </w:tc>
      </w:tr>
      <w:tr w:rsidR="009218F6" w:rsidRPr="00042924" w14:paraId="62189591"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2688E7B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К2 (п. 3 / п. 4)</w:t>
            </w:r>
          </w:p>
        </w:tc>
        <w:tc>
          <w:tcPr>
            <w:tcW w:w="962" w:type="pct"/>
            <w:tcBorders>
              <w:top w:val="nil"/>
              <w:left w:val="nil"/>
              <w:bottom w:val="single" w:sz="8" w:space="0" w:color="000000"/>
              <w:right w:val="single" w:sz="8" w:space="0" w:color="000000"/>
            </w:tcBorders>
            <w:shd w:val="clear" w:color="auto" w:fill="auto"/>
            <w:vAlign w:val="center"/>
            <w:hideMark/>
          </w:tcPr>
          <w:p w14:paraId="6D2DEAE2"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2,331</w:t>
            </w:r>
          </w:p>
        </w:tc>
        <w:tc>
          <w:tcPr>
            <w:tcW w:w="685" w:type="pct"/>
            <w:tcBorders>
              <w:top w:val="nil"/>
              <w:left w:val="nil"/>
              <w:bottom w:val="single" w:sz="8" w:space="0" w:color="000000"/>
              <w:right w:val="single" w:sz="8" w:space="0" w:color="000000"/>
            </w:tcBorders>
            <w:shd w:val="clear" w:color="auto" w:fill="auto"/>
            <w:vAlign w:val="center"/>
            <w:hideMark/>
          </w:tcPr>
          <w:p w14:paraId="1598E20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3,554</w:t>
            </w:r>
          </w:p>
        </w:tc>
        <w:tc>
          <w:tcPr>
            <w:tcW w:w="685" w:type="pct"/>
            <w:tcBorders>
              <w:top w:val="nil"/>
              <w:left w:val="nil"/>
              <w:bottom w:val="single" w:sz="8" w:space="0" w:color="000000"/>
              <w:right w:val="single" w:sz="8" w:space="0" w:color="000000"/>
            </w:tcBorders>
            <w:shd w:val="clear" w:color="auto" w:fill="auto"/>
            <w:vAlign w:val="center"/>
            <w:hideMark/>
          </w:tcPr>
          <w:p w14:paraId="2523FF2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4,993</w:t>
            </w:r>
          </w:p>
        </w:tc>
        <w:tc>
          <w:tcPr>
            <w:tcW w:w="816" w:type="pct"/>
            <w:tcBorders>
              <w:top w:val="nil"/>
              <w:left w:val="nil"/>
              <w:bottom w:val="single" w:sz="8" w:space="0" w:color="000000"/>
              <w:right w:val="single" w:sz="8" w:space="0" w:color="000000"/>
            </w:tcBorders>
            <w:shd w:val="clear" w:color="auto" w:fill="auto"/>
            <w:vAlign w:val="center"/>
            <w:hideMark/>
          </w:tcPr>
          <w:p w14:paraId="7101835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2,378</w:t>
            </w:r>
          </w:p>
        </w:tc>
      </w:tr>
      <w:tr w:rsidR="009218F6" w:rsidRPr="00042924" w14:paraId="5AF20216"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642ECA5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К3 (п. 3 / п. 5)</w:t>
            </w:r>
          </w:p>
        </w:tc>
        <w:tc>
          <w:tcPr>
            <w:tcW w:w="962" w:type="pct"/>
            <w:tcBorders>
              <w:top w:val="nil"/>
              <w:left w:val="nil"/>
              <w:bottom w:val="single" w:sz="8" w:space="0" w:color="000000"/>
              <w:right w:val="single" w:sz="8" w:space="0" w:color="000000"/>
            </w:tcBorders>
            <w:shd w:val="clear" w:color="auto" w:fill="auto"/>
            <w:vAlign w:val="center"/>
            <w:hideMark/>
          </w:tcPr>
          <w:p w14:paraId="721576AB"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1,029</w:t>
            </w:r>
          </w:p>
        </w:tc>
        <w:tc>
          <w:tcPr>
            <w:tcW w:w="685" w:type="pct"/>
            <w:tcBorders>
              <w:top w:val="nil"/>
              <w:left w:val="nil"/>
              <w:bottom w:val="single" w:sz="8" w:space="0" w:color="000000"/>
              <w:right w:val="single" w:sz="8" w:space="0" w:color="000000"/>
            </w:tcBorders>
            <w:shd w:val="clear" w:color="auto" w:fill="auto"/>
            <w:vAlign w:val="center"/>
            <w:hideMark/>
          </w:tcPr>
          <w:p w14:paraId="3C76831F"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1,043</w:t>
            </w:r>
          </w:p>
        </w:tc>
        <w:tc>
          <w:tcPr>
            <w:tcW w:w="685" w:type="pct"/>
            <w:tcBorders>
              <w:top w:val="nil"/>
              <w:left w:val="nil"/>
              <w:bottom w:val="single" w:sz="8" w:space="0" w:color="000000"/>
              <w:right w:val="single" w:sz="8" w:space="0" w:color="000000"/>
            </w:tcBorders>
            <w:shd w:val="clear" w:color="auto" w:fill="auto"/>
            <w:vAlign w:val="center"/>
            <w:hideMark/>
          </w:tcPr>
          <w:p w14:paraId="2990FFA0"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1,428</w:t>
            </w:r>
          </w:p>
        </w:tc>
        <w:tc>
          <w:tcPr>
            <w:tcW w:w="816" w:type="pct"/>
            <w:tcBorders>
              <w:top w:val="nil"/>
              <w:left w:val="nil"/>
              <w:bottom w:val="single" w:sz="8" w:space="0" w:color="000000"/>
              <w:right w:val="single" w:sz="8" w:space="0" w:color="000000"/>
            </w:tcBorders>
            <w:shd w:val="clear" w:color="auto" w:fill="auto"/>
            <w:vAlign w:val="center"/>
            <w:hideMark/>
          </w:tcPr>
          <w:p w14:paraId="3AAB5BE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1,553</w:t>
            </w:r>
          </w:p>
        </w:tc>
      </w:tr>
      <w:tr w:rsidR="009218F6" w:rsidRPr="00042924" w14:paraId="21A92336"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1146FD48"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К4 (п. 6 / п. 3)</w:t>
            </w:r>
          </w:p>
        </w:tc>
        <w:tc>
          <w:tcPr>
            <w:tcW w:w="962" w:type="pct"/>
            <w:tcBorders>
              <w:top w:val="nil"/>
              <w:left w:val="nil"/>
              <w:bottom w:val="single" w:sz="8" w:space="0" w:color="000000"/>
              <w:right w:val="single" w:sz="8" w:space="0" w:color="000000"/>
            </w:tcBorders>
            <w:shd w:val="clear" w:color="auto" w:fill="auto"/>
            <w:vAlign w:val="center"/>
            <w:hideMark/>
          </w:tcPr>
          <w:p w14:paraId="6B6F6D3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1,563</w:t>
            </w:r>
          </w:p>
        </w:tc>
        <w:tc>
          <w:tcPr>
            <w:tcW w:w="685" w:type="pct"/>
            <w:tcBorders>
              <w:top w:val="nil"/>
              <w:left w:val="nil"/>
              <w:bottom w:val="single" w:sz="8" w:space="0" w:color="000000"/>
              <w:right w:val="single" w:sz="8" w:space="0" w:color="000000"/>
            </w:tcBorders>
            <w:shd w:val="clear" w:color="auto" w:fill="auto"/>
            <w:vAlign w:val="center"/>
            <w:hideMark/>
          </w:tcPr>
          <w:p w14:paraId="2CBE1B2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1,391</w:t>
            </w:r>
          </w:p>
        </w:tc>
        <w:tc>
          <w:tcPr>
            <w:tcW w:w="685" w:type="pct"/>
            <w:tcBorders>
              <w:top w:val="nil"/>
              <w:left w:val="nil"/>
              <w:bottom w:val="single" w:sz="8" w:space="0" w:color="000000"/>
              <w:right w:val="single" w:sz="8" w:space="0" w:color="000000"/>
            </w:tcBorders>
            <w:shd w:val="clear" w:color="auto" w:fill="auto"/>
            <w:vAlign w:val="center"/>
            <w:hideMark/>
          </w:tcPr>
          <w:p w14:paraId="1424229A"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0,968</w:t>
            </w:r>
          </w:p>
        </w:tc>
        <w:tc>
          <w:tcPr>
            <w:tcW w:w="816" w:type="pct"/>
            <w:tcBorders>
              <w:top w:val="nil"/>
              <w:left w:val="nil"/>
              <w:bottom w:val="single" w:sz="8" w:space="0" w:color="000000"/>
              <w:right w:val="single" w:sz="8" w:space="0" w:color="000000"/>
            </w:tcBorders>
            <w:shd w:val="clear" w:color="auto" w:fill="auto"/>
            <w:vAlign w:val="center"/>
            <w:hideMark/>
          </w:tcPr>
          <w:p w14:paraId="49501E5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1,202</w:t>
            </w:r>
          </w:p>
        </w:tc>
      </w:tr>
      <w:tr w:rsidR="009218F6" w:rsidRPr="00042924" w14:paraId="05E34784" w14:textId="77777777" w:rsidTr="001F7B7C">
        <w:trPr>
          <w:trHeight w:val="397"/>
        </w:trPr>
        <w:tc>
          <w:tcPr>
            <w:tcW w:w="1852" w:type="pct"/>
            <w:tcBorders>
              <w:top w:val="single" w:sz="4" w:space="0" w:color="auto"/>
              <w:left w:val="single" w:sz="8" w:space="0" w:color="000000"/>
              <w:bottom w:val="single" w:sz="8" w:space="0" w:color="000000"/>
              <w:right w:val="single" w:sz="8" w:space="0" w:color="000000"/>
            </w:tcBorders>
            <w:shd w:val="clear" w:color="auto" w:fill="auto"/>
            <w:vAlign w:val="center"/>
            <w:hideMark/>
          </w:tcPr>
          <w:p w14:paraId="70B8912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К5 ((п. 1 - п. 4) / п. 1)</w:t>
            </w:r>
          </w:p>
        </w:tc>
        <w:tc>
          <w:tcPr>
            <w:tcW w:w="962" w:type="pct"/>
            <w:tcBorders>
              <w:top w:val="single" w:sz="4" w:space="0" w:color="auto"/>
              <w:left w:val="nil"/>
              <w:bottom w:val="single" w:sz="8" w:space="0" w:color="000000"/>
              <w:right w:val="single" w:sz="8" w:space="0" w:color="000000"/>
            </w:tcBorders>
            <w:shd w:val="clear" w:color="auto" w:fill="auto"/>
            <w:vAlign w:val="center"/>
            <w:hideMark/>
          </w:tcPr>
          <w:p w14:paraId="73A56A6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0,274</w:t>
            </w:r>
          </w:p>
        </w:tc>
        <w:tc>
          <w:tcPr>
            <w:tcW w:w="685" w:type="pct"/>
            <w:tcBorders>
              <w:top w:val="single" w:sz="4" w:space="0" w:color="auto"/>
              <w:left w:val="nil"/>
              <w:bottom w:val="single" w:sz="8" w:space="0" w:color="000000"/>
              <w:right w:val="single" w:sz="8" w:space="0" w:color="000000"/>
            </w:tcBorders>
            <w:shd w:val="clear" w:color="auto" w:fill="auto"/>
            <w:vAlign w:val="center"/>
            <w:hideMark/>
          </w:tcPr>
          <w:p w14:paraId="2BEF8DD1"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0,405</w:t>
            </w:r>
          </w:p>
        </w:tc>
        <w:tc>
          <w:tcPr>
            <w:tcW w:w="685" w:type="pct"/>
            <w:tcBorders>
              <w:top w:val="single" w:sz="4" w:space="0" w:color="auto"/>
              <w:left w:val="nil"/>
              <w:bottom w:val="single" w:sz="8" w:space="0" w:color="000000"/>
              <w:right w:val="single" w:sz="8" w:space="0" w:color="000000"/>
            </w:tcBorders>
            <w:shd w:val="clear" w:color="auto" w:fill="auto"/>
            <w:vAlign w:val="center"/>
            <w:hideMark/>
          </w:tcPr>
          <w:p w14:paraId="20205EC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0,520</w:t>
            </w:r>
          </w:p>
        </w:tc>
        <w:tc>
          <w:tcPr>
            <w:tcW w:w="816" w:type="pct"/>
            <w:tcBorders>
              <w:top w:val="single" w:sz="4" w:space="0" w:color="auto"/>
              <w:left w:val="nil"/>
              <w:bottom w:val="single" w:sz="8" w:space="0" w:color="000000"/>
              <w:right w:val="single" w:sz="8" w:space="0" w:color="000000"/>
            </w:tcBorders>
            <w:shd w:val="clear" w:color="auto" w:fill="auto"/>
            <w:vAlign w:val="center"/>
            <w:hideMark/>
          </w:tcPr>
          <w:p w14:paraId="14E08F39"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0,380</w:t>
            </w:r>
          </w:p>
        </w:tc>
      </w:tr>
      <w:tr w:rsidR="009218F6" w:rsidRPr="00042924" w14:paraId="21D80412"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7B3B433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К6 (п. 7 / п. 6)</w:t>
            </w:r>
          </w:p>
        </w:tc>
        <w:tc>
          <w:tcPr>
            <w:tcW w:w="962" w:type="pct"/>
            <w:tcBorders>
              <w:top w:val="nil"/>
              <w:left w:val="nil"/>
              <w:bottom w:val="single" w:sz="8" w:space="0" w:color="000000"/>
              <w:right w:val="single" w:sz="8" w:space="0" w:color="000000"/>
            </w:tcBorders>
            <w:shd w:val="clear" w:color="auto" w:fill="auto"/>
            <w:vAlign w:val="center"/>
            <w:hideMark/>
          </w:tcPr>
          <w:p w14:paraId="2B8E2132"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0,378</w:t>
            </w:r>
          </w:p>
        </w:tc>
        <w:tc>
          <w:tcPr>
            <w:tcW w:w="685" w:type="pct"/>
            <w:tcBorders>
              <w:top w:val="nil"/>
              <w:left w:val="nil"/>
              <w:bottom w:val="single" w:sz="8" w:space="0" w:color="000000"/>
              <w:right w:val="single" w:sz="8" w:space="0" w:color="000000"/>
            </w:tcBorders>
            <w:shd w:val="clear" w:color="auto" w:fill="auto"/>
            <w:vAlign w:val="center"/>
            <w:hideMark/>
          </w:tcPr>
          <w:p w14:paraId="069C460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0,311</w:t>
            </w:r>
          </w:p>
        </w:tc>
        <w:tc>
          <w:tcPr>
            <w:tcW w:w="685" w:type="pct"/>
            <w:tcBorders>
              <w:top w:val="nil"/>
              <w:left w:val="nil"/>
              <w:bottom w:val="single" w:sz="8" w:space="0" w:color="000000"/>
              <w:right w:val="single" w:sz="8" w:space="0" w:color="000000"/>
            </w:tcBorders>
            <w:shd w:val="clear" w:color="auto" w:fill="auto"/>
            <w:vAlign w:val="center"/>
            <w:hideMark/>
          </w:tcPr>
          <w:p w14:paraId="3436F2E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0,276</w:t>
            </w:r>
          </w:p>
        </w:tc>
        <w:tc>
          <w:tcPr>
            <w:tcW w:w="816" w:type="pct"/>
            <w:tcBorders>
              <w:top w:val="nil"/>
              <w:left w:val="nil"/>
              <w:bottom w:val="single" w:sz="8" w:space="0" w:color="000000"/>
              <w:right w:val="single" w:sz="8" w:space="0" w:color="000000"/>
            </w:tcBorders>
            <w:shd w:val="clear" w:color="auto" w:fill="auto"/>
            <w:vAlign w:val="center"/>
            <w:hideMark/>
          </w:tcPr>
          <w:p w14:paraId="3B114D87"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0,464</w:t>
            </w:r>
          </w:p>
        </w:tc>
      </w:tr>
      <w:tr w:rsidR="009218F6" w:rsidRPr="00042924" w14:paraId="5E984F7C" w14:textId="77777777" w:rsidTr="001F7B7C">
        <w:trPr>
          <w:trHeight w:val="397"/>
        </w:trPr>
        <w:tc>
          <w:tcPr>
            <w:tcW w:w="1852" w:type="pct"/>
            <w:tcBorders>
              <w:top w:val="nil"/>
              <w:left w:val="single" w:sz="8" w:space="0" w:color="000000"/>
              <w:bottom w:val="single" w:sz="8" w:space="0" w:color="000000"/>
              <w:right w:val="single" w:sz="8" w:space="0" w:color="000000"/>
            </w:tcBorders>
            <w:shd w:val="clear" w:color="auto" w:fill="auto"/>
            <w:vAlign w:val="center"/>
            <w:hideMark/>
          </w:tcPr>
          <w:p w14:paraId="7720D9B6"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К7 (п. 5 / п. 7)</w:t>
            </w:r>
          </w:p>
        </w:tc>
        <w:tc>
          <w:tcPr>
            <w:tcW w:w="962" w:type="pct"/>
            <w:tcBorders>
              <w:top w:val="nil"/>
              <w:left w:val="nil"/>
              <w:bottom w:val="single" w:sz="8" w:space="0" w:color="000000"/>
              <w:right w:val="single" w:sz="8" w:space="0" w:color="000000"/>
            </w:tcBorders>
            <w:shd w:val="clear" w:color="auto" w:fill="auto"/>
            <w:vAlign w:val="center"/>
            <w:hideMark/>
          </w:tcPr>
          <w:p w14:paraId="424D1DA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1,643</w:t>
            </w:r>
          </w:p>
        </w:tc>
        <w:tc>
          <w:tcPr>
            <w:tcW w:w="685" w:type="pct"/>
            <w:tcBorders>
              <w:top w:val="nil"/>
              <w:left w:val="nil"/>
              <w:bottom w:val="single" w:sz="8" w:space="0" w:color="000000"/>
              <w:right w:val="single" w:sz="8" w:space="0" w:color="000000"/>
            </w:tcBorders>
            <w:shd w:val="clear" w:color="auto" w:fill="auto"/>
            <w:vAlign w:val="center"/>
            <w:hideMark/>
          </w:tcPr>
          <w:p w14:paraId="2377069B"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2,216</w:t>
            </w:r>
          </w:p>
        </w:tc>
        <w:tc>
          <w:tcPr>
            <w:tcW w:w="685" w:type="pct"/>
            <w:tcBorders>
              <w:top w:val="nil"/>
              <w:left w:val="nil"/>
              <w:bottom w:val="single" w:sz="8" w:space="0" w:color="000000"/>
              <w:right w:val="single" w:sz="8" w:space="0" w:color="000000"/>
            </w:tcBorders>
            <w:shd w:val="clear" w:color="auto" w:fill="auto"/>
            <w:vAlign w:val="center"/>
            <w:hideMark/>
          </w:tcPr>
          <w:p w14:paraId="28451C9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2,617</w:t>
            </w:r>
          </w:p>
        </w:tc>
        <w:tc>
          <w:tcPr>
            <w:tcW w:w="816" w:type="pct"/>
            <w:tcBorders>
              <w:top w:val="nil"/>
              <w:left w:val="nil"/>
              <w:bottom w:val="single" w:sz="8" w:space="0" w:color="000000"/>
              <w:right w:val="single" w:sz="8" w:space="0" w:color="000000"/>
            </w:tcBorders>
            <w:shd w:val="clear" w:color="auto" w:fill="auto"/>
            <w:vAlign w:val="center"/>
            <w:hideMark/>
          </w:tcPr>
          <w:p w14:paraId="7E675E44"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1,153</w:t>
            </w:r>
          </w:p>
        </w:tc>
      </w:tr>
      <w:tr w:rsidR="009218F6" w:rsidRPr="00042924" w14:paraId="4D771DDB" w14:textId="77777777" w:rsidTr="00B66B5A">
        <w:trPr>
          <w:trHeight w:val="397"/>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2E40C2" w14:textId="77777777" w:rsidR="009218F6" w:rsidRPr="00042924" w:rsidRDefault="009218F6" w:rsidP="0075618B">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Підсумковий показник моделі:</w:t>
            </w:r>
          </w:p>
        </w:tc>
      </w:tr>
      <w:tr w:rsidR="009218F6" w:rsidRPr="00042924" w14:paraId="57E84E58" w14:textId="77777777" w:rsidTr="00FA6B4E">
        <w:trPr>
          <w:trHeight w:val="567"/>
        </w:trPr>
        <w:tc>
          <w:tcPr>
            <w:tcW w:w="1852" w:type="pct"/>
            <w:tcBorders>
              <w:top w:val="nil"/>
              <w:left w:val="single" w:sz="8" w:space="0" w:color="000000"/>
              <w:bottom w:val="nil"/>
              <w:right w:val="single" w:sz="8" w:space="0" w:color="000000"/>
            </w:tcBorders>
            <w:shd w:val="clear" w:color="auto" w:fill="auto"/>
            <w:vAlign w:val="center"/>
            <w:hideMark/>
          </w:tcPr>
          <w:p w14:paraId="6DC12A0E"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Z = 0,33К1+0,268К2+0,045К3-0,018К4-0,004К5-0,015К6+0,702К7</w:t>
            </w:r>
          </w:p>
        </w:tc>
        <w:tc>
          <w:tcPr>
            <w:tcW w:w="962" w:type="pct"/>
            <w:tcBorders>
              <w:top w:val="single" w:sz="8" w:space="0" w:color="000000"/>
              <w:left w:val="nil"/>
              <w:bottom w:val="nil"/>
              <w:right w:val="single" w:sz="8" w:space="0" w:color="000000"/>
            </w:tcBorders>
            <w:shd w:val="clear" w:color="auto" w:fill="auto"/>
            <w:vAlign w:val="center"/>
            <w:hideMark/>
          </w:tcPr>
          <w:p w14:paraId="26775093"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1,990</w:t>
            </w:r>
          </w:p>
        </w:tc>
        <w:tc>
          <w:tcPr>
            <w:tcW w:w="685" w:type="pct"/>
            <w:tcBorders>
              <w:top w:val="single" w:sz="8" w:space="0" w:color="000000"/>
              <w:left w:val="nil"/>
              <w:bottom w:val="nil"/>
              <w:right w:val="single" w:sz="8" w:space="0" w:color="000000"/>
            </w:tcBorders>
            <w:shd w:val="clear" w:color="auto" w:fill="auto"/>
            <w:vAlign w:val="center"/>
            <w:hideMark/>
          </w:tcPr>
          <w:p w14:paraId="4A5AEA0C"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2,694</w:t>
            </w:r>
          </w:p>
        </w:tc>
        <w:tc>
          <w:tcPr>
            <w:tcW w:w="685" w:type="pct"/>
            <w:tcBorders>
              <w:top w:val="single" w:sz="8" w:space="0" w:color="000000"/>
              <w:left w:val="nil"/>
              <w:bottom w:val="nil"/>
              <w:right w:val="single" w:sz="8" w:space="0" w:color="000000"/>
            </w:tcBorders>
            <w:shd w:val="clear" w:color="auto" w:fill="auto"/>
            <w:vAlign w:val="center"/>
            <w:hideMark/>
          </w:tcPr>
          <w:p w14:paraId="1CD1B59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3,466</w:t>
            </w:r>
          </w:p>
        </w:tc>
        <w:tc>
          <w:tcPr>
            <w:tcW w:w="816" w:type="pct"/>
            <w:tcBorders>
              <w:top w:val="single" w:sz="8" w:space="0" w:color="000000"/>
              <w:left w:val="nil"/>
              <w:bottom w:val="nil"/>
              <w:right w:val="single" w:sz="8" w:space="0" w:color="000000"/>
            </w:tcBorders>
            <w:shd w:val="clear" w:color="auto" w:fill="auto"/>
            <w:vAlign w:val="center"/>
            <w:hideMark/>
          </w:tcPr>
          <w:p w14:paraId="3431070D"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1,913</w:t>
            </w:r>
          </w:p>
        </w:tc>
      </w:tr>
      <w:tr w:rsidR="009218F6" w:rsidRPr="00042924" w14:paraId="6824E878" w14:textId="77777777" w:rsidTr="001F7B7C">
        <w:trPr>
          <w:trHeight w:val="397"/>
        </w:trPr>
        <w:tc>
          <w:tcPr>
            <w:tcW w:w="185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1270E5"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Ймовірність банкрутства: Z</w:t>
            </w:r>
          </w:p>
        </w:tc>
        <w:tc>
          <w:tcPr>
            <w:tcW w:w="3148" w:type="pct"/>
            <w:gridSpan w:val="4"/>
            <w:tcBorders>
              <w:top w:val="single" w:sz="8" w:space="0" w:color="auto"/>
              <w:left w:val="nil"/>
              <w:bottom w:val="single" w:sz="8" w:space="0" w:color="auto"/>
              <w:right w:val="single" w:sz="8" w:space="0" w:color="000000"/>
            </w:tcBorders>
            <w:shd w:val="clear" w:color="auto" w:fill="auto"/>
            <w:vAlign w:val="center"/>
            <w:hideMark/>
          </w:tcPr>
          <w:p w14:paraId="0C81BC63" w14:textId="77777777" w:rsidR="009218F6" w:rsidRPr="00042924" w:rsidRDefault="009218F6" w:rsidP="0029174C">
            <w:pPr>
              <w:spacing w:after="0" w:line="240" w:lineRule="auto"/>
              <w:jc w:val="center"/>
              <w:rPr>
                <w:rFonts w:ascii="Times New Roman" w:eastAsia="Times New Roman" w:hAnsi="Times New Roman" w:cs="Times New Roman"/>
                <w:color w:val="000000"/>
                <w:kern w:val="0"/>
                <w:sz w:val="20"/>
                <w:szCs w:val="20"/>
                <w:lang w:val="uk-UA" w:eastAsia="uk-UA"/>
                <w14:ligatures w14:val="none"/>
              </w:rPr>
            </w:pPr>
            <w:r w:rsidRPr="00042924">
              <w:rPr>
                <w:rFonts w:ascii="Times New Roman" w:eastAsia="Times New Roman" w:hAnsi="Times New Roman" w:cs="Times New Roman"/>
                <w:color w:val="000000"/>
                <w:kern w:val="0"/>
                <w:sz w:val="20"/>
                <w:szCs w:val="20"/>
                <w:lang w:val="uk-UA" w:eastAsia="uk-UA"/>
                <w14:ligatures w14:val="none"/>
              </w:rPr>
              <w:t>Фінансовий стан задовільний і низька ймовірність банкрутства</w:t>
            </w:r>
          </w:p>
        </w:tc>
      </w:tr>
    </w:tbl>
    <w:p w14:paraId="6AF740DF" w14:textId="77777777" w:rsidR="00570D42" w:rsidRPr="00042924" w:rsidRDefault="00570D42" w:rsidP="00570D42">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w:t>
      </w:r>
      <w:r w:rsidR="000318AA" w:rsidRPr="00E32FFC">
        <w:rPr>
          <w:rFonts w:ascii="Times New Roman" w:hAnsi="Times New Roman" w:cs="Times New Roman"/>
          <w:sz w:val="28"/>
          <w:szCs w:val="28"/>
          <w:lang w:val="uk-UA"/>
        </w:rPr>
        <w:t>складено автором на основі</w:t>
      </w:r>
      <w:r w:rsidR="00F90A12" w:rsidRPr="00042924">
        <w:rPr>
          <w:rFonts w:ascii="Times New Roman" w:eastAsia="Times New Roman" w:hAnsi="Times New Roman" w:cs="Times New Roman"/>
          <w:sz w:val="28"/>
          <w:szCs w:val="28"/>
          <w:lang w:val="uk-UA"/>
        </w:rPr>
        <w:t xml:space="preserve"> [33]</w:t>
      </w:r>
    </w:p>
    <w:p w14:paraId="2A809FD4" w14:textId="77777777" w:rsidR="00CD00EF" w:rsidRPr="00042924" w:rsidRDefault="00CD00EF" w:rsidP="00570D42">
      <w:pPr>
        <w:spacing w:after="0" w:line="240" w:lineRule="auto"/>
        <w:ind w:firstLine="284"/>
        <w:jc w:val="both"/>
        <w:rPr>
          <w:rFonts w:ascii="Times New Roman" w:eastAsia="Times New Roman" w:hAnsi="Times New Roman" w:cs="Times New Roman"/>
          <w:sz w:val="28"/>
          <w:szCs w:val="28"/>
          <w:lang w:val="uk-UA"/>
        </w:rPr>
      </w:pPr>
    </w:p>
    <w:p w14:paraId="23804263" w14:textId="77777777" w:rsidR="00EE055A" w:rsidRPr="00042924" w:rsidRDefault="00EE055A" w:rsidP="006D5739">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За моделлю оцінки ймовірності банкрутства підприємств В. Матвійчука протягом 2019-2022 років фінансовий стан ПАТ </w:t>
      </w:r>
      <w:r w:rsidR="00B1406D">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оцінювався як задовільний, а ймовірність банкрутства - як низька. Проте ці результати дещо суперечать висновкам, отриманим за міжнародними моделями </w:t>
      </w:r>
      <w:r w:rsidR="00DE4F60" w:rsidRPr="00042924">
        <w:rPr>
          <w:rFonts w:ascii="Times New Roman" w:eastAsia="Times New Roman" w:hAnsi="Times New Roman" w:cs="Times New Roman"/>
          <w:sz w:val="28"/>
          <w:szCs w:val="28"/>
          <w:lang w:val="uk-UA"/>
        </w:rPr>
        <w:t xml:space="preserve">Е. </w:t>
      </w:r>
      <w:r w:rsidRPr="00042924">
        <w:rPr>
          <w:rFonts w:ascii="Times New Roman" w:eastAsia="Times New Roman" w:hAnsi="Times New Roman" w:cs="Times New Roman"/>
          <w:sz w:val="28"/>
          <w:szCs w:val="28"/>
          <w:lang w:val="uk-UA"/>
        </w:rPr>
        <w:t xml:space="preserve">Альтмана, </w:t>
      </w:r>
      <w:r w:rsidR="00DE4F60" w:rsidRPr="00042924">
        <w:rPr>
          <w:rFonts w:ascii="Times New Roman" w:eastAsia="Times New Roman" w:hAnsi="Times New Roman" w:cs="Times New Roman"/>
          <w:sz w:val="28"/>
          <w:szCs w:val="28"/>
          <w:lang w:val="uk-UA"/>
        </w:rPr>
        <w:t xml:space="preserve">Р. </w:t>
      </w:r>
      <w:r w:rsidRPr="00042924">
        <w:rPr>
          <w:rFonts w:ascii="Times New Roman" w:eastAsia="Times New Roman" w:hAnsi="Times New Roman" w:cs="Times New Roman"/>
          <w:sz w:val="28"/>
          <w:szCs w:val="28"/>
          <w:lang w:val="uk-UA"/>
        </w:rPr>
        <w:t xml:space="preserve">Спрінгейта, </w:t>
      </w:r>
      <w:r w:rsidR="00DE4F60" w:rsidRPr="00042924">
        <w:rPr>
          <w:rFonts w:ascii="Times New Roman" w:eastAsia="Times New Roman" w:hAnsi="Times New Roman" w:cs="Times New Roman"/>
          <w:sz w:val="28"/>
          <w:szCs w:val="28"/>
          <w:lang w:val="uk-UA"/>
        </w:rPr>
        <w:t xml:space="preserve">Р. </w:t>
      </w:r>
      <w:r w:rsidRPr="00042924">
        <w:rPr>
          <w:rFonts w:ascii="Times New Roman" w:eastAsia="Times New Roman" w:hAnsi="Times New Roman" w:cs="Times New Roman"/>
          <w:sz w:val="28"/>
          <w:szCs w:val="28"/>
          <w:lang w:val="uk-UA"/>
        </w:rPr>
        <w:t xml:space="preserve">Таффлера та </w:t>
      </w:r>
      <w:r w:rsidR="00DE4F60" w:rsidRPr="00042924">
        <w:rPr>
          <w:rFonts w:ascii="Times New Roman" w:eastAsia="Times New Roman" w:hAnsi="Times New Roman" w:cs="Times New Roman"/>
          <w:sz w:val="28"/>
          <w:szCs w:val="28"/>
          <w:lang w:val="uk-UA"/>
        </w:rPr>
        <w:t xml:space="preserve">Г. </w:t>
      </w:r>
      <w:r w:rsidRPr="00042924">
        <w:rPr>
          <w:rFonts w:ascii="Times New Roman" w:eastAsia="Times New Roman" w:hAnsi="Times New Roman" w:cs="Times New Roman"/>
          <w:sz w:val="28"/>
          <w:szCs w:val="28"/>
          <w:lang w:val="uk-UA"/>
        </w:rPr>
        <w:t>Ліса, а також за вітчизняною моделлю О. Терещенка. За цими п'ятьма моделями фінансовий стан підприємства оцінювався як нестійкий, а загроза банкрутства – як висока у 2019, 2020 та 2022 роках.</w:t>
      </w:r>
    </w:p>
    <w:p w14:paraId="0A7F968D" w14:textId="77777777" w:rsidR="006D5739" w:rsidRPr="00042924" w:rsidRDefault="0009540E" w:rsidP="006D5739">
      <w:pPr>
        <w:spacing w:after="0" w:line="240" w:lineRule="auto"/>
        <w:ind w:firstLine="709"/>
        <w:jc w:val="both"/>
        <w:rPr>
          <w:rFonts w:ascii="Times New Roman" w:eastAsia="Times New Roman" w:hAnsi="Times New Roman" w:cs="Times New Roman"/>
          <w:sz w:val="28"/>
          <w:szCs w:val="28"/>
          <w:lang w:val="uk-UA"/>
        </w:rPr>
      </w:pPr>
      <w:bookmarkStart w:id="25" w:name="_Hlk151984547"/>
      <w:r w:rsidRPr="00042924">
        <w:rPr>
          <w:rFonts w:ascii="Times New Roman" w:eastAsia="Times New Roman" w:hAnsi="Times New Roman" w:cs="Times New Roman"/>
          <w:sz w:val="28"/>
          <w:szCs w:val="28"/>
          <w:lang w:val="uk-UA"/>
        </w:rPr>
        <w:t>Для комплексної оцінки результатів, отриманих за допомогою різних вітчизняних методик прогнозування банкрутства, було складено узагальнюючу порівняльну таблицю 2.17.</w:t>
      </w:r>
    </w:p>
    <w:p w14:paraId="5BBF56BE" w14:textId="77777777" w:rsidR="00EE055A" w:rsidRDefault="00EE055A" w:rsidP="006D5739">
      <w:pPr>
        <w:spacing w:after="0" w:line="240" w:lineRule="auto"/>
        <w:ind w:firstLine="709"/>
        <w:jc w:val="center"/>
        <w:rPr>
          <w:rFonts w:ascii="Times New Roman" w:eastAsia="Times New Roman" w:hAnsi="Times New Roman" w:cs="Times New Roman"/>
          <w:sz w:val="28"/>
          <w:szCs w:val="28"/>
          <w:lang w:val="uk-UA"/>
        </w:rPr>
      </w:pPr>
    </w:p>
    <w:p w14:paraId="566FA7B7" w14:textId="77777777" w:rsidR="00F024C3" w:rsidRPr="00042924" w:rsidRDefault="00F024C3" w:rsidP="006D5739">
      <w:pPr>
        <w:spacing w:after="0" w:line="240" w:lineRule="auto"/>
        <w:ind w:firstLine="709"/>
        <w:jc w:val="center"/>
        <w:rPr>
          <w:rFonts w:ascii="Times New Roman" w:eastAsia="Times New Roman" w:hAnsi="Times New Roman" w:cs="Times New Roman"/>
          <w:sz w:val="28"/>
          <w:szCs w:val="28"/>
          <w:lang w:val="uk-UA"/>
        </w:rPr>
      </w:pPr>
    </w:p>
    <w:p w14:paraId="1481F884" w14:textId="77777777" w:rsidR="00570D42" w:rsidRPr="00042924" w:rsidRDefault="006D5739" w:rsidP="00CD00EF">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lastRenderedPageBreak/>
        <w:t xml:space="preserve">Таблиця 2.17 – Розрахунок ймовірності банкрутства ПАТ </w:t>
      </w:r>
      <w:r w:rsidR="00B1406D">
        <w:rPr>
          <w:rFonts w:ascii="Times New Roman" w:eastAsia="Times New Roman" w:hAnsi="Times New Roman" w:cs="Times New Roman"/>
          <w:kern w:val="0"/>
          <w:sz w:val="28"/>
          <w:szCs w:val="28"/>
          <w:lang w:val="uk-UA"/>
          <w14:ligatures w14:val="none"/>
        </w:rPr>
        <w:t>«АМКР»</w:t>
      </w:r>
      <w:r w:rsidRPr="00042924">
        <w:rPr>
          <w:rFonts w:ascii="Times New Roman" w:eastAsia="Times New Roman" w:hAnsi="Times New Roman" w:cs="Times New Roman"/>
          <w:sz w:val="28"/>
          <w:szCs w:val="28"/>
          <w:lang w:val="uk-UA"/>
        </w:rPr>
        <w:t xml:space="preserve"> за 2019 - 2022 роки за вітчизняними методиками</w:t>
      </w:r>
    </w:p>
    <w:tbl>
      <w:tblPr>
        <w:tblStyle w:val="a6"/>
        <w:tblW w:w="5000" w:type="pct"/>
        <w:tblCellMar>
          <w:top w:w="28" w:type="dxa"/>
          <w:left w:w="28" w:type="dxa"/>
          <w:bottom w:w="28" w:type="dxa"/>
          <w:right w:w="28" w:type="dxa"/>
        </w:tblCellMar>
        <w:tblLook w:val="04A0" w:firstRow="1" w:lastRow="0" w:firstColumn="1" w:lastColumn="0" w:noHBand="0" w:noVBand="1"/>
      </w:tblPr>
      <w:tblGrid>
        <w:gridCol w:w="897"/>
        <w:gridCol w:w="4506"/>
        <w:gridCol w:w="4508"/>
      </w:tblGrid>
      <w:tr w:rsidR="006D5739" w:rsidRPr="00042924" w14:paraId="3C7315AB" w14:textId="77777777" w:rsidTr="00EC5AB9">
        <w:trPr>
          <w:trHeight w:val="227"/>
        </w:trPr>
        <w:tc>
          <w:tcPr>
            <w:tcW w:w="453" w:type="pct"/>
            <w:vMerge w:val="restart"/>
            <w:vAlign w:val="center"/>
          </w:tcPr>
          <w:p w14:paraId="59279C0B"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Рік</w:t>
            </w:r>
          </w:p>
        </w:tc>
        <w:tc>
          <w:tcPr>
            <w:tcW w:w="4547" w:type="pct"/>
            <w:gridSpan w:val="2"/>
            <w:vAlign w:val="center"/>
          </w:tcPr>
          <w:p w14:paraId="5F9A45C2"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Вітчизняні моделі визначення ймовірності банкрутства</w:t>
            </w:r>
          </w:p>
        </w:tc>
      </w:tr>
      <w:tr w:rsidR="006D5739" w:rsidRPr="00042924" w14:paraId="1FF84815" w14:textId="77777777" w:rsidTr="00EC5AB9">
        <w:trPr>
          <w:trHeight w:val="227"/>
        </w:trPr>
        <w:tc>
          <w:tcPr>
            <w:tcW w:w="453" w:type="pct"/>
            <w:vMerge/>
            <w:vAlign w:val="center"/>
          </w:tcPr>
          <w:p w14:paraId="26131412" w14:textId="77777777" w:rsidR="006D5739" w:rsidRPr="00042924" w:rsidRDefault="006D5739" w:rsidP="0029174C">
            <w:pPr>
              <w:jc w:val="center"/>
              <w:rPr>
                <w:rFonts w:ascii="Times New Roman" w:hAnsi="Times New Roman" w:cs="Times New Roman"/>
                <w:sz w:val="20"/>
                <w:szCs w:val="20"/>
                <w:lang w:val="uk-UA"/>
              </w:rPr>
            </w:pPr>
          </w:p>
        </w:tc>
        <w:tc>
          <w:tcPr>
            <w:tcW w:w="4547" w:type="pct"/>
            <w:gridSpan w:val="2"/>
            <w:vAlign w:val="center"/>
          </w:tcPr>
          <w:p w14:paraId="44F5ACF0"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Україна</w:t>
            </w:r>
          </w:p>
        </w:tc>
      </w:tr>
      <w:tr w:rsidR="006D5739" w:rsidRPr="00042924" w14:paraId="37F17C36" w14:textId="77777777" w:rsidTr="00EC5AB9">
        <w:trPr>
          <w:trHeight w:val="227"/>
        </w:trPr>
        <w:tc>
          <w:tcPr>
            <w:tcW w:w="453" w:type="pct"/>
            <w:vMerge/>
            <w:vAlign w:val="center"/>
          </w:tcPr>
          <w:p w14:paraId="12F21FC1" w14:textId="77777777" w:rsidR="006D5739" w:rsidRPr="00042924" w:rsidRDefault="006D5739" w:rsidP="0029174C">
            <w:pPr>
              <w:jc w:val="center"/>
              <w:rPr>
                <w:rFonts w:ascii="Times New Roman" w:hAnsi="Times New Roman" w:cs="Times New Roman"/>
                <w:sz w:val="20"/>
                <w:szCs w:val="20"/>
                <w:lang w:val="uk-UA"/>
              </w:rPr>
            </w:pPr>
          </w:p>
        </w:tc>
        <w:tc>
          <w:tcPr>
            <w:tcW w:w="2273" w:type="pct"/>
            <w:vAlign w:val="center"/>
          </w:tcPr>
          <w:p w14:paraId="6DB8E595" w14:textId="77777777" w:rsidR="006D5739" w:rsidRPr="00042924" w:rsidRDefault="006D5739"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Модель О.О. Терещенка</w:t>
            </w:r>
          </w:p>
        </w:tc>
        <w:tc>
          <w:tcPr>
            <w:tcW w:w="2274" w:type="pct"/>
            <w:vAlign w:val="center"/>
          </w:tcPr>
          <w:p w14:paraId="694C875A" w14:textId="77777777" w:rsidR="006D5739" w:rsidRPr="00042924" w:rsidRDefault="006D5739" w:rsidP="0029174C">
            <w:pPr>
              <w:shd w:val="clear" w:color="auto" w:fill="FFFFFF"/>
              <w:jc w:val="center"/>
              <w:rPr>
                <w:rFonts w:ascii="Times New Roman" w:eastAsia="Times New Roman" w:hAnsi="Times New Roman" w:cs="Times New Roman"/>
                <w:color w:val="333333"/>
                <w:kern w:val="0"/>
                <w:sz w:val="20"/>
                <w:szCs w:val="20"/>
                <w:lang w:val="uk-UA" w:eastAsia="uk-UA"/>
                <w14:ligatures w14:val="none"/>
              </w:rPr>
            </w:pPr>
            <w:r w:rsidRPr="00042924">
              <w:rPr>
                <w:rFonts w:ascii="Times New Roman" w:eastAsia="Times New Roman" w:hAnsi="Times New Roman" w:cs="Times New Roman"/>
                <w:color w:val="333333"/>
                <w:kern w:val="0"/>
                <w:sz w:val="20"/>
                <w:szCs w:val="20"/>
                <w:lang w:val="uk-UA" w:eastAsia="uk-UA"/>
                <w14:ligatures w14:val="none"/>
              </w:rPr>
              <w:t>Модель А.В. Матвійчука</w:t>
            </w:r>
          </w:p>
        </w:tc>
      </w:tr>
      <w:tr w:rsidR="006D5739" w:rsidRPr="00042924" w14:paraId="42AD15C3" w14:textId="77777777" w:rsidTr="00EC5AB9">
        <w:tc>
          <w:tcPr>
            <w:tcW w:w="453" w:type="pct"/>
            <w:vAlign w:val="center"/>
          </w:tcPr>
          <w:p w14:paraId="4636E867"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2019</w:t>
            </w:r>
          </w:p>
        </w:tc>
        <w:tc>
          <w:tcPr>
            <w:tcW w:w="2273" w:type="pct"/>
            <w:vAlign w:val="center"/>
          </w:tcPr>
          <w:p w14:paraId="437E8784"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1,316</w:t>
            </w:r>
          </w:p>
          <w:p w14:paraId="6821B375"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 &lt; Z &lt; 2 – фінансова стійкість порушена</w:t>
            </w:r>
          </w:p>
        </w:tc>
        <w:tc>
          <w:tcPr>
            <w:tcW w:w="2274" w:type="pct"/>
            <w:vAlign w:val="center"/>
          </w:tcPr>
          <w:p w14:paraId="6FEE8DE8"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1,990</w:t>
            </w:r>
          </w:p>
          <w:p w14:paraId="2DC6E788"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&gt; 1,104 – фінансовий стан задовільний і низька ймовірність банкрутства.</w:t>
            </w:r>
          </w:p>
        </w:tc>
      </w:tr>
      <w:tr w:rsidR="006D5739" w:rsidRPr="00042924" w14:paraId="2AB4D26B" w14:textId="77777777" w:rsidTr="00EC5AB9">
        <w:tc>
          <w:tcPr>
            <w:tcW w:w="453" w:type="pct"/>
            <w:vAlign w:val="center"/>
          </w:tcPr>
          <w:p w14:paraId="0528AD04"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2020</w:t>
            </w:r>
          </w:p>
        </w:tc>
        <w:tc>
          <w:tcPr>
            <w:tcW w:w="2273" w:type="pct"/>
            <w:vAlign w:val="center"/>
          </w:tcPr>
          <w:p w14:paraId="04821766"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2,188</w:t>
            </w:r>
          </w:p>
          <w:p w14:paraId="0DC8463A"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&gt; 2 – банкрутство не загрожує</w:t>
            </w:r>
          </w:p>
        </w:tc>
        <w:tc>
          <w:tcPr>
            <w:tcW w:w="2274" w:type="pct"/>
            <w:vAlign w:val="center"/>
          </w:tcPr>
          <w:p w14:paraId="573ACBF4"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2,694</w:t>
            </w:r>
          </w:p>
          <w:p w14:paraId="05AF21EA"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&gt; 1,104 – фінансовий стан задовільний і низька ймовірність банкрутства.</w:t>
            </w:r>
          </w:p>
        </w:tc>
      </w:tr>
      <w:tr w:rsidR="006D5739" w:rsidRPr="00042924" w14:paraId="23FF0A5C" w14:textId="77777777" w:rsidTr="00EC5AB9">
        <w:tc>
          <w:tcPr>
            <w:tcW w:w="453" w:type="pct"/>
            <w:vAlign w:val="center"/>
          </w:tcPr>
          <w:p w14:paraId="75F9267D"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2021</w:t>
            </w:r>
          </w:p>
        </w:tc>
        <w:tc>
          <w:tcPr>
            <w:tcW w:w="2273" w:type="pct"/>
            <w:vAlign w:val="center"/>
          </w:tcPr>
          <w:p w14:paraId="72467E85"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7,602</w:t>
            </w:r>
          </w:p>
          <w:p w14:paraId="1570B0ED"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&gt; 2 – банкрутство не загрожує</w:t>
            </w:r>
          </w:p>
        </w:tc>
        <w:tc>
          <w:tcPr>
            <w:tcW w:w="2274" w:type="pct"/>
            <w:vAlign w:val="center"/>
          </w:tcPr>
          <w:p w14:paraId="1F402A46"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3,466</w:t>
            </w:r>
          </w:p>
          <w:p w14:paraId="7BA27F6A"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&gt; 1,104 – фінансовий стан задовільний і низька ймовірність банкрутства.</w:t>
            </w:r>
          </w:p>
        </w:tc>
      </w:tr>
      <w:tr w:rsidR="006D5739" w:rsidRPr="00042924" w14:paraId="7B594380" w14:textId="77777777" w:rsidTr="00EC5AB9">
        <w:tc>
          <w:tcPr>
            <w:tcW w:w="453" w:type="pct"/>
            <w:vAlign w:val="center"/>
          </w:tcPr>
          <w:p w14:paraId="0A3D20D9"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2022</w:t>
            </w:r>
          </w:p>
        </w:tc>
        <w:tc>
          <w:tcPr>
            <w:tcW w:w="2273" w:type="pct"/>
            <w:vAlign w:val="center"/>
          </w:tcPr>
          <w:p w14:paraId="6621EBDD"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-15,727</w:t>
            </w:r>
          </w:p>
          <w:p w14:paraId="3E625E9E"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&lt; 0 – підприємство є напівбанкрутом</w:t>
            </w:r>
          </w:p>
        </w:tc>
        <w:tc>
          <w:tcPr>
            <w:tcW w:w="2274" w:type="pct"/>
            <w:vAlign w:val="center"/>
          </w:tcPr>
          <w:p w14:paraId="5ED4AB5D"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1,913</w:t>
            </w:r>
          </w:p>
          <w:p w14:paraId="1FBEF211" w14:textId="77777777" w:rsidR="006D5739" w:rsidRPr="00042924" w:rsidRDefault="006D5739" w:rsidP="0029174C">
            <w:pPr>
              <w:jc w:val="center"/>
              <w:rPr>
                <w:rFonts w:ascii="Times New Roman" w:hAnsi="Times New Roman" w:cs="Times New Roman"/>
                <w:sz w:val="20"/>
                <w:szCs w:val="20"/>
                <w:lang w:val="uk-UA"/>
              </w:rPr>
            </w:pPr>
            <w:r w:rsidRPr="00042924">
              <w:rPr>
                <w:rFonts w:ascii="Times New Roman" w:hAnsi="Times New Roman" w:cs="Times New Roman"/>
                <w:sz w:val="20"/>
                <w:szCs w:val="20"/>
                <w:lang w:val="uk-UA"/>
              </w:rPr>
              <w:t>Z &gt; 1,104 – фінансовий стан задовільний і низька ймовірність банкрутства.</w:t>
            </w:r>
          </w:p>
        </w:tc>
      </w:tr>
    </w:tbl>
    <w:p w14:paraId="2A7F70B9" w14:textId="77777777" w:rsidR="00730045" w:rsidRPr="00042924" w:rsidRDefault="00730045" w:rsidP="00730045">
      <w:pPr>
        <w:spacing w:after="0" w:line="240" w:lineRule="auto"/>
        <w:ind w:firstLine="284"/>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Джерело: сформовано </w:t>
      </w:r>
      <w:r w:rsidR="00F90A12" w:rsidRPr="00042924">
        <w:rPr>
          <w:rFonts w:ascii="Times New Roman" w:eastAsia="Times New Roman" w:hAnsi="Times New Roman" w:cs="Times New Roman"/>
          <w:sz w:val="28"/>
          <w:szCs w:val="28"/>
          <w:lang w:val="uk-UA"/>
        </w:rPr>
        <w:t>за даними [33]</w:t>
      </w:r>
    </w:p>
    <w:p w14:paraId="76144058" w14:textId="77777777" w:rsidR="00790438" w:rsidRPr="00042924" w:rsidRDefault="00790438" w:rsidP="00730045">
      <w:pPr>
        <w:spacing w:after="0" w:line="240" w:lineRule="auto"/>
        <w:ind w:firstLine="284"/>
        <w:jc w:val="both"/>
        <w:rPr>
          <w:rFonts w:ascii="Times New Roman" w:eastAsia="Times New Roman" w:hAnsi="Times New Roman" w:cs="Times New Roman"/>
          <w:sz w:val="28"/>
          <w:szCs w:val="28"/>
          <w:lang w:val="uk-UA"/>
        </w:rPr>
      </w:pPr>
    </w:p>
    <w:p w14:paraId="01F579B1" w14:textId="77777777" w:rsidR="006B3A37" w:rsidRPr="00042924" w:rsidRDefault="006B3A37" w:rsidP="006B3A37">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 xml:space="preserve">Аналізуючи результати розрахунку ймовірності банкрутства ПАТ </w:t>
      </w:r>
      <w:r w:rsidR="00370C30">
        <w:rPr>
          <w:rFonts w:ascii="Times New Roman" w:eastAsia="Times New Roman" w:hAnsi="Times New Roman" w:cs="Times New Roman"/>
          <w:sz w:val="28"/>
          <w:szCs w:val="28"/>
          <w:lang w:val="uk-UA"/>
        </w:rPr>
        <w:t>«АМКР»</w:t>
      </w:r>
      <w:r w:rsidRPr="00042924">
        <w:rPr>
          <w:rFonts w:ascii="Times New Roman" w:eastAsia="Times New Roman" w:hAnsi="Times New Roman" w:cs="Times New Roman"/>
          <w:sz w:val="28"/>
          <w:szCs w:val="28"/>
          <w:lang w:val="uk-UA"/>
        </w:rPr>
        <w:t xml:space="preserve"> за двома вітчизняними методиками, можна зробити такі висновки що за моделлю О.О. Терещенка фінансовий стан підприємства оцінюється як нестабільний. У 2019 році спостерігалося порушення фінансової рівноваги, у 2022 році компанія стала напівбанкрутом. Це </w:t>
      </w:r>
      <w:r w:rsidR="00A505F4">
        <w:rPr>
          <w:rFonts w:ascii="Times New Roman" w:eastAsia="Times New Roman" w:hAnsi="Times New Roman" w:cs="Times New Roman"/>
          <w:sz w:val="28"/>
          <w:szCs w:val="28"/>
          <w:lang w:val="uk-UA"/>
        </w:rPr>
        <w:t>вказує на</w:t>
      </w:r>
      <w:r w:rsidRPr="00042924">
        <w:rPr>
          <w:rFonts w:ascii="Times New Roman" w:eastAsia="Times New Roman" w:hAnsi="Times New Roman" w:cs="Times New Roman"/>
          <w:sz w:val="28"/>
          <w:szCs w:val="28"/>
          <w:lang w:val="uk-UA"/>
        </w:rPr>
        <w:t xml:space="preserve"> періодично високі ризики втрати платоспроможності.</w:t>
      </w:r>
    </w:p>
    <w:p w14:paraId="414A2962" w14:textId="77777777" w:rsidR="006B3A37" w:rsidRPr="00042924" w:rsidRDefault="006B3A37" w:rsidP="006B3A37">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Модель А.В. Матвійчука дещо занижує рівень загрози банкрутства, оцінюючи фінансовий стан як задовільний протягом усього періоду. Проте ці результати суперечать висновкам за іншими методиками.</w:t>
      </w:r>
    </w:p>
    <w:p w14:paraId="55226347" w14:textId="77777777" w:rsidR="00923A07" w:rsidRPr="00042924" w:rsidRDefault="006B3A37" w:rsidP="006B3A37">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Отже, за вітчизняними моделями також підтверджується висновок про нестабільний характер фінансового стану та наявність значних ризиків втрати платоспроможності в окремі періоди.</w:t>
      </w:r>
    </w:p>
    <w:p w14:paraId="234780FF" w14:textId="77777777" w:rsidR="00923A07" w:rsidRPr="00042924" w:rsidRDefault="00E46953" w:rsidP="00923A07">
      <w:pPr>
        <w:spacing w:after="0" w:line="240" w:lineRule="auto"/>
        <w:ind w:firstLine="709"/>
        <w:jc w:val="both"/>
        <w:rPr>
          <w:rFonts w:ascii="Times New Roman" w:eastAsia="Times New Roman" w:hAnsi="Times New Roman" w:cs="Times New Roman"/>
          <w:sz w:val="28"/>
          <w:szCs w:val="28"/>
          <w:lang w:val="uk-UA"/>
        </w:rPr>
      </w:pPr>
      <w:bookmarkStart w:id="26" w:name="_Hlk152101235"/>
      <w:r w:rsidRPr="00042924">
        <w:rPr>
          <w:rFonts w:ascii="Times New Roman" w:eastAsia="Times New Roman" w:hAnsi="Times New Roman" w:cs="Times New Roman"/>
          <w:sz w:val="28"/>
          <w:szCs w:val="28"/>
          <w:lang w:val="uk-UA"/>
        </w:rPr>
        <w:t>Підводячи підсумок</w:t>
      </w:r>
      <w:r w:rsidR="00923A07" w:rsidRPr="00042924">
        <w:rPr>
          <w:rFonts w:ascii="Times New Roman" w:eastAsia="Times New Roman" w:hAnsi="Times New Roman" w:cs="Times New Roman"/>
          <w:sz w:val="28"/>
          <w:szCs w:val="28"/>
          <w:lang w:val="uk-UA"/>
        </w:rPr>
        <w:t xml:space="preserve"> результат</w:t>
      </w:r>
      <w:r w:rsidRPr="00042924">
        <w:rPr>
          <w:rFonts w:ascii="Times New Roman" w:eastAsia="Times New Roman" w:hAnsi="Times New Roman" w:cs="Times New Roman"/>
          <w:sz w:val="28"/>
          <w:szCs w:val="28"/>
          <w:lang w:val="uk-UA"/>
        </w:rPr>
        <w:t>ів</w:t>
      </w:r>
      <w:r w:rsidR="00923A07" w:rsidRPr="00042924">
        <w:rPr>
          <w:rFonts w:ascii="Times New Roman" w:eastAsia="Times New Roman" w:hAnsi="Times New Roman" w:cs="Times New Roman"/>
          <w:sz w:val="28"/>
          <w:szCs w:val="28"/>
          <w:lang w:val="uk-UA"/>
        </w:rPr>
        <w:t xml:space="preserve"> аналізу за шістьма моделями можна зробити висновок, що фінансовий стан ПАТ </w:t>
      </w:r>
      <w:r w:rsidR="00370C30">
        <w:rPr>
          <w:rFonts w:ascii="Times New Roman" w:eastAsia="Times New Roman" w:hAnsi="Times New Roman" w:cs="Times New Roman"/>
          <w:sz w:val="28"/>
          <w:szCs w:val="28"/>
          <w:lang w:val="uk-UA"/>
        </w:rPr>
        <w:t>«АМКР»</w:t>
      </w:r>
      <w:r w:rsidR="00923A07" w:rsidRPr="00042924">
        <w:rPr>
          <w:rFonts w:ascii="Times New Roman" w:eastAsia="Times New Roman" w:hAnsi="Times New Roman" w:cs="Times New Roman"/>
          <w:sz w:val="28"/>
          <w:szCs w:val="28"/>
          <w:lang w:val="uk-UA"/>
        </w:rPr>
        <w:t xml:space="preserve"> є нестабільним. За більшістю моделей спостерігалася висока ймовірність банкрутства у 2019, 2020 та 2022 роках, </w:t>
      </w:r>
      <w:r w:rsidR="00C94EA6" w:rsidRPr="00042924">
        <w:rPr>
          <w:rFonts w:ascii="Times New Roman" w:eastAsia="Times New Roman" w:hAnsi="Times New Roman" w:cs="Times New Roman"/>
          <w:sz w:val="28"/>
          <w:szCs w:val="28"/>
          <w:lang w:val="uk-UA"/>
        </w:rPr>
        <w:t>що вимагає додаткового поглибленого фінансово-господарського аналізу всіх показників з метою ідентифікації проблемних аспектів та подальшої розробки заходів для стабілізації фінансового стану підприємства.</w:t>
      </w:r>
    </w:p>
    <w:p w14:paraId="092C8730" w14:textId="77777777" w:rsidR="00951B16" w:rsidRPr="00042924" w:rsidRDefault="00951B16" w:rsidP="00923A07">
      <w:pPr>
        <w:spacing w:after="0" w:line="240" w:lineRule="auto"/>
        <w:ind w:firstLine="709"/>
        <w:jc w:val="both"/>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t>У зв'язку з цим</w:t>
      </w:r>
      <w:r w:rsidRPr="00042924">
        <w:rPr>
          <w:lang w:val="uk-UA"/>
        </w:rPr>
        <w:t xml:space="preserve"> </w:t>
      </w:r>
      <w:r w:rsidRPr="00042924">
        <w:rPr>
          <w:rFonts w:ascii="Times New Roman" w:eastAsia="Times New Roman" w:hAnsi="Times New Roman" w:cs="Times New Roman"/>
          <w:sz w:val="28"/>
          <w:szCs w:val="28"/>
          <w:lang w:val="uk-UA"/>
        </w:rPr>
        <w:t>наступним етапом є ретельний розгляд стану та ефективності використання основних засобів підприємства. Для цього передбачено проведення додаткового аналізу та оцінки відомостей, які відображені в Таблиці 2.18.</w:t>
      </w:r>
    </w:p>
    <w:p w14:paraId="0C4AFA08" w14:textId="77777777" w:rsidR="00167928" w:rsidRPr="00042924" w:rsidRDefault="00167928" w:rsidP="00951B16">
      <w:pPr>
        <w:spacing w:after="0" w:line="240" w:lineRule="auto"/>
        <w:jc w:val="center"/>
        <w:rPr>
          <w:rFonts w:ascii="Times New Roman" w:eastAsia="Times New Roman" w:hAnsi="Times New Roman" w:cs="Times New Roman"/>
          <w:sz w:val="28"/>
          <w:szCs w:val="28"/>
          <w:lang w:val="uk-UA"/>
        </w:rPr>
      </w:pPr>
    </w:p>
    <w:bookmarkEnd w:id="25"/>
    <w:p w14:paraId="3366C439" w14:textId="77777777" w:rsidR="008C346E" w:rsidRPr="00042924" w:rsidRDefault="00167928" w:rsidP="008C346E">
      <w:pPr>
        <w:spacing w:after="0" w:line="240" w:lineRule="auto"/>
        <w:ind w:firstLine="709"/>
        <w:jc w:val="both"/>
        <w:rPr>
          <w:rFonts w:ascii="Times New Roman" w:hAnsi="Times New Roman" w:cs="Times New Roman"/>
          <w:spacing w:val="-1"/>
          <w:sz w:val="28"/>
          <w:szCs w:val="36"/>
          <w:lang w:val="uk-UA" w:eastAsia="uk-UA"/>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Таблиця 2.18 - </w:t>
      </w:r>
      <w:r w:rsidR="005D401C" w:rsidRPr="00042924">
        <w:rPr>
          <w:rFonts w:ascii="Times New Roman" w:eastAsia="Times New Roman" w:hAnsi="Times New Roman" w:cs="Times New Roman"/>
          <w:color w:val="000000" w:themeColor="text1"/>
          <w:kern w:val="0"/>
          <w:sz w:val="28"/>
          <w:szCs w:val="28"/>
          <w:lang w:val="uk-UA" w:eastAsia="uk-UA"/>
          <w14:ligatures w14:val="none"/>
        </w:rPr>
        <w:t>Оцінювання стану та ефективності використання основних засобів</w:t>
      </w:r>
      <w:r w:rsidR="008C346E">
        <w:rPr>
          <w:rFonts w:ascii="Times New Roman" w:eastAsia="Times New Roman" w:hAnsi="Times New Roman" w:cs="Times New Roman"/>
          <w:color w:val="000000" w:themeColor="text1"/>
          <w:kern w:val="0"/>
          <w:sz w:val="28"/>
          <w:szCs w:val="28"/>
          <w:lang w:val="uk-UA" w:eastAsia="uk-UA"/>
          <w14:ligatures w14:val="none"/>
        </w:rPr>
        <w:t xml:space="preserve"> </w:t>
      </w:r>
      <w:r w:rsidR="008C346E" w:rsidRPr="00042924">
        <w:rPr>
          <w:rFonts w:ascii="Times New Roman" w:hAnsi="Times New Roman" w:cs="Times New Roman"/>
          <w:spacing w:val="-1"/>
          <w:sz w:val="28"/>
          <w:szCs w:val="36"/>
          <w:lang w:val="uk-UA" w:eastAsia="uk-UA"/>
        </w:rPr>
        <w:t>ПАТ «АМКР</w:t>
      </w:r>
      <w:r w:rsidR="008C346E">
        <w:rPr>
          <w:rFonts w:ascii="Times New Roman" w:hAnsi="Times New Roman" w:cs="Times New Roman"/>
          <w:spacing w:val="-1"/>
          <w:sz w:val="28"/>
          <w:szCs w:val="36"/>
          <w:lang w:val="uk-UA" w:eastAsia="uk-UA"/>
        </w:rPr>
        <w:t>»</w:t>
      </w:r>
    </w:p>
    <w:tbl>
      <w:tblPr>
        <w:tblStyle w:val="a6"/>
        <w:tblW w:w="5000" w:type="pct"/>
        <w:jc w:val="center"/>
        <w:tblCellMar>
          <w:top w:w="28" w:type="dxa"/>
          <w:left w:w="28" w:type="dxa"/>
          <w:bottom w:w="28" w:type="dxa"/>
          <w:right w:w="28" w:type="dxa"/>
        </w:tblCellMar>
        <w:tblLook w:val="04A0" w:firstRow="1" w:lastRow="0" w:firstColumn="1" w:lastColumn="0" w:noHBand="0" w:noVBand="1"/>
      </w:tblPr>
      <w:tblGrid>
        <w:gridCol w:w="440"/>
        <w:gridCol w:w="4345"/>
        <w:gridCol w:w="1281"/>
        <w:gridCol w:w="1282"/>
        <w:gridCol w:w="1281"/>
        <w:gridCol w:w="1282"/>
      </w:tblGrid>
      <w:tr w:rsidR="0049134E" w:rsidRPr="00042924" w14:paraId="4695EAF3" w14:textId="77777777" w:rsidTr="00F01276">
        <w:trPr>
          <w:trHeight w:val="144"/>
          <w:jc w:val="center"/>
        </w:trPr>
        <w:tc>
          <w:tcPr>
            <w:tcW w:w="222" w:type="pct"/>
            <w:vMerge w:val="restart"/>
            <w:vAlign w:val="center"/>
          </w:tcPr>
          <w:p w14:paraId="088284D8" w14:textId="77777777" w:rsidR="0049134E" w:rsidRPr="00042924"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bookmarkStart w:id="27" w:name="_Hlk152100991"/>
            <w:r w:rsidRPr="00042924">
              <w:rPr>
                <w:rFonts w:ascii="Times New Roman" w:eastAsia="Times New Roman" w:hAnsi="Times New Roman" w:cs="Times New Roman"/>
                <w:color w:val="000000" w:themeColor="text1"/>
                <w:kern w:val="0"/>
                <w:sz w:val="20"/>
                <w:szCs w:val="20"/>
                <w:lang w:val="uk-UA" w:eastAsia="uk-UA"/>
                <w14:ligatures w14:val="none"/>
              </w:rPr>
              <w:t>№</w:t>
            </w:r>
          </w:p>
        </w:tc>
        <w:tc>
          <w:tcPr>
            <w:tcW w:w="2192" w:type="pct"/>
            <w:vMerge w:val="restart"/>
            <w:vAlign w:val="center"/>
            <w:hideMark/>
          </w:tcPr>
          <w:p w14:paraId="122F068C" w14:textId="77777777" w:rsidR="0049134E" w:rsidRPr="00FF30FF"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Показник</w:t>
            </w:r>
          </w:p>
        </w:tc>
        <w:tc>
          <w:tcPr>
            <w:tcW w:w="1939" w:type="pct"/>
            <w:gridSpan w:val="3"/>
            <w:vAlign w:val="center"/>
          </w:tcPr>
          <w:p w14:paraId="311AE58D" w14:textId="77777777" w:rsidR="0049134E" w:rsidRPr="00FF30FF"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Рік</w:t>
            </w:r>
          </w:p>
        </w:tc>
        <w:tc>
          <w:tcPr>
            <w:tcW w:w="647" w:type="pct"/>
            <w:vAlign w:val="center"/>
          </w:tcPr>
          <w:p w14:paraId="6FE53101" w14:textId="77777777" w:rsidR="0049134E" w:rsidRPr="00FF30FF"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Абсолютн</w:t>
            </w:r>
            <w:r w:rsidRPr="00042924">
              <w:rPr>
                <w:rFonts w:ascii="Times New Roman" w:eastAsia="Times New Roman" w:hAnsi="Times New Roman" w:cs="Times New Roman"/>
                <w:color w:val="000000" w:themeColor="text1"/>
                <w:sz w:val="20"/>
                <w:szCs w:val="20"/>
                <w:lang w:val="uk-UA" w:eastAsia="uk-UA"/>
                <w14:ligatures w14:val="none"/>
              </w:rPr>
              <w:t xml:space="preserve">е </w:t>
            </w:r>
            <w:r w:rsidRPr="00DE6126">
              <w:rPr>
                <w:rFonts w:ascii="Times New Roman" w:eastAsia="Times New Roman" w:hAnsi="Times New Roman" w:cs="Times New Roman"/>
                <w:color w:val="000000" w:themeColor="text1"/>
                <w:sz w:val="20"/>
                <w:szCs w:val="20"/>
                <w:lang w:val="uk-UA" w:eastAsia="uk-UA"/>
                <w14:ligatures w14:val="none"/>
              </w:rPr>
              <w:t>відхилення</w:t>
            </w:r>
          </w:p>
        </w:tc>
      </w:tr>
      <w:tr w:rsidR="0049134E" w:rsidRPr="00042924" w14:paraId="1EADFA0B" w14:textId="77777777" w:rsidTr="007708FD">
        <w:trPr>
          <w:trHeight w:val="283"/>
          <w:jc w:val="center"/>
        </w:trPr>
        <w:tc>
          <w:tcPr>
            <w:tcW w:w="222" w:type="pct"/>
            <w:vMerge/>
            <w:vAlign w:val="center"/>
          </w:tcPr>
          <w:p w14:paraId="00634239" w14:textId="77777777" w:rsidR="0049134E" w:rsidRPr="00042924"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p>
        </w:tc>
        <w:tc>
          <w:tcPr>
            <w:tcW w:w="2192" w:type="pct"/>
            <w:vMerge/>
            <w:vAlign w:val="center"/>
          </w:tcPr>
          <w:p w14:paraId="7AF0454B" w14:textId="77777777" w:rsidR="0049134E" w:rsidRPr="00FF30FF"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p>
        </w:tc>
        <w:tc>
          <w:tcPr>
            <w:tcW w:w="646" w:type="pct"/>
            <w:vAlign w:val="center"/>
          </w:tcPr>
          <w:p w14:paraId="6E9F3E1D" w14:textId="77777777" w:rsidR="0049134E" w:rsidRPr="00FF30FF"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2020</w:t>
            </w:r>
          </w:p>
        </w:tc>
        <w:tc>
          <w:tcPr>
            <w:tcW w:w="647" w:type="pct"/>
            <w:vAlign w:val="center"/>
          </w:tcPr>
          <w:p w14:paraId="6E1ECE1A" w14:textId="77777777" w:rsidR="0049134E" w:rsidRPr="00FF30FF"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2021</w:t>
            </w:r>
          </w:p>
        </w:tc>
        <w:tc>
          <w:tcPr>
            <w:tcW w:w="646" w:type="pct"/>
            <w:vAlign w:val="center"/>
          </w:tcPr>
          <w:p w14:paraId="2ED5A71E" w14:textId="77777777" w:rsidR="0049134E" w:rsidRPr="00FF30FF"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2022</w:t>
            </w:r>
          </w:p>
        </w:tc>
        <w:tc>
          <w:tcPr>
            <w:tcW w:w="647" w:type="pct"/>
            <w:vAlign w:val="center"/>
          </w:tcPr>
          <w:p w14:paraId="5579047C" w14:textId="77777777" w:rsidR="0049134E" w:rsidRPr="00FF30FF"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2022 / 202</w:t>
            </w:r>
            <w:r>
              <w:rPr>
                <w:rFonts w:ascii="Times New Roman" w:eastAsia="Times New Roman" w:hAnsi="Times New Roman" w:cs="Times New Roman"/>
                <w:color w:val="000000" w:themeColor="text1"/>
                <w:sz w:val="20"/>
                <w:szCs w:val="20"/>
                <w:lang w:val="uk-UA" w:eastAsia="uk-UA"/>
                <w14:ligatures w14:val="none"/>
              </w:rPr>
              <w:t>0</w:t>
            </w:r>
          </w:p>
        </w:tc>
      </w:tr>
      <w:tr w:rsidR="00C56B3B" w:rsidRPr="00042924" w14:paraId="6DA39043" w14:textId="77777777" w:rsidTr="007708FD">
        <w:trPr>
          <w:trHeight w:val="283"/>
          <w:jc w:val="center"/>
        </w:trPr>
        <w:tc>
          <w:tcPr>
            <w:tcW w:w="222" w:type="pct"/>
            <w:vAlign w:val="center"/>
          </w:tcPr>
          <w:p w14:paraId="135E282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w:t>
            </w:r>
          </w:p>
        </w:tc>
        <w:tc>
          <w:tcPr>
            <w:tcW w:w="2192" w:type="pct"/>
            <w:vAlign w:val="center"/>
          </w:tcPr>
          <w:p w14:paraId="1E381852"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2</w:t>
            </w:r>
          </w:p>
        </w:tc>
        <w:tc>
          <w:tcPr>
            <w:tcW w:w="646" w:type="pct"/>
            <w:vAlign w:val="center"/>
          </w:tcPr>
          <w:p w14:paraId="6909D0B0"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3</w:t>
            </w:r>
          </w:p>
        </w:tc>
        <w:tc>
          <w:tcPr>
            <w:tcW w:w="647" w:type="pct"/>
            <w:vAlign w:val="center"/>
          </w:tcPr>
          <w:p w14:paraId="3897D40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4</w:t>
            </w:r>
          </w:p>
        </w:tc>
        <w:tc>
          <w:tcPr>
            <w:tcW w:w="646" w:type="pct"/>
            <w:vAlign w:val="center"/>
          </w:tcPr>
          <w:p w14:paraId="33AE7740"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5</w:t>
            </w:r>
          </w:p>
        </w:tc>
        <w:tc>
          <w:tcPr>
            <w:tcW w:w="647" w:type="pct"/>
            <w:vAlign w:val="center"/>
          </w:tcPr>
          <w:p w14:paraId="47219024" w14:textId="77777777" w:rsidR="00C56B3B" w:rsidRPr="00C56B3B"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C56B3B">
              <w:rPr>
                <w:rFonts w:ascii="Times New Roman" w:hAnsi="Times New Roman" w:cs="Times New Roman"/>
                <w:sz w:val="20"/>
                <w:szCs w:val="20"/>
              </w:rPr>
              <w:t>6</w:t>
            </w:r>
          </w:p>
        </w:tc>
      </w:tr>
      <w:tr w:rsidR="00C56B3B" w:rsidRPr="00042924" w14:paraId="310F944D" w14:textId="77777777" w:rsidTr="00F01276">
        <w:trPr>
          <w:trHeight w:val="283"/>
          <w:jc w:val="center"/>
        </w:trPr>
        <w:tc>
          <w:tcPr>
            <w:tcW w:w="222" w:type="pct"/>
            <w:vAlign w:val="center"/>
          </w:tcPr>
          <w:p w14:paraId="36E25CB7"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w:t>
            </w:r>
          </w:p>
        </w:tc>
        <w:tc>
          <w:tcPr>
            <w:tcW w:w="2192" w:type="pct"/>
            <w:vAlign w:val="center"/>
          </w:tcPr>
          <w:p w14:paraId="250BB46B"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Первісна в</w:t>
            </w:r>
            <w:r w:rsidRPr="006E791D">
              <w:rPr>
                <w:rFonts w:ascii="Times New Roman" w:eastAsia="Times New Roman" w:hAnsi="Times New Roman" w:cs="Times New Roman"/>
                <w:color w:val="000000" w:themeColor="text1"/>
                <w:kern w:val="0"/>
                <w:sz w:val="20"/>
                <w:szCs w:val="20"/>
                <w:lang w:val="uk-UA" w:eastAsia="uk-UA"/>
                <w14:ligatures w14:val="none"/>
              </w:rPr>
              <w:t>артість ОЗ, млн грн</w:t>
            </w:r>
          </w:p>
        </w:tc>
        <w:tc>
          <w:tcPr>
            <w:tcW w:w="646" w:type="pct"/>
          </w:tcPr>
          <w:p w14:paraId="4D1541D7"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118 482</w:t>
            </w:r>
          </w:p>
        </w:tc>
        <w:tc>
          <w:tcPr>
            <w:tcW w:w="647" w:type="pct"/>
          </w:tcPr>
          <w:p w14:paraId="438BAE32"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122 511</w:t>
            </w:r>
          </w:p>
        </w:tc>
        <w:tc>
          <w:tcPr>
            <w:tcW w:w="646" w:type="pct"/>
          </w:tcPr>
          <w:p w14:paraId="60A68CE1"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125 500</w:t>
            </w:r>
          </w:p>
        </w:tc>
        <w:tc>
          <w:tcPr>
            <w:tcW w:w="647" w:type="pct"/>
            <w:vAlign w:val="center"/>
          </w:tcPr>
          <w:p w14:paraId="70776FF9" w14:textId="77777777" w:rsidR="00C56B3B" w:rsidRPr="00C56B3B" w:rsidRDefault="00C56B3B" w:rsidP="00C56B3B">
            <w:pPr>
              <w:jc w:val="center"/>
              <w:rPr>
                <w:rFonts w:ascii="Times New Roman" w:hAnsi="Times New Roman" w:cs="Times New Roman"/>
                <w:sz w:val="20"/>
                <w:szCs w:val="20"/>
                <w:lang w:val="uk-UA"/>
              </w:rPr>
            </w:pPr>
            <w:r w:rsidRPr="00C56B3B">
              <w:rPr>
                <w:rFonts w:ascii="Times New Roman" w:hAnsi="Times New Roman" w:cs="Times New Roman"/>
                <w:sz w:val="20"/>
                <w:szCs w:val="20"/>
              </w:rPr>
              <w:t>7 018</w:t>
            </w:r>
          </w:p>
        </w:tc>
      </w:tr>
      <w:tr w:rsidR="00F01276" w:rsidRPr="00042924" w14:paraId="00A9C5BA" w14:textId="77777777" w:rsidTr="00F01276">
        <w:trPr>
          <w:trHeight w:val="283"/>
          <w:jc w:val="center"/>
        </w:trPr>
        <w:tc>
          <w:tcPr>
            <w:tcW w:w="5000" w:type="pct"/>
            <w:gridSpan w:val="6"/>
            <w:tcBorders>
              <w:top w:val="nil"/>
              <w:left w:val="nil"/>
              <w:right w:val="nil"/>
            </w:tcBorders>
          </w:tcPr>
          <w:p w14:paraId="3DB916BA" w14:textId="77777777" w:rsidR="00F01276" w:rsidRPr="00024A9C" w:rsidRDefault="00F01276" w:rsidP="00F024C3">
            <w:pPr>
              <w:ind w:firstLine="284"/>
              <w:jc w:val="right"/>
              <w:rPr>
                <w:rFonts w:ascii="Times New Roman" w:hAnsi="Times New Roman" w:cs="Times New Roman"/>
                <w:sz w:val="28"/>
                <w:szCs w:val="28"/>
                <w:lang w:val="uk-UA"/>
              </w:rPr>
            </w:pPr>
            <w:r w:rsidRPr="00024A9C">
              <w:rPr>
                <w:rFonts w:ascii="Times New Roman" w:hAnsi="Times New Roman" w:cs="Times New Roman"/>
                <w:sz w:val="28"/>
                <w:szCs w:val="28"/>
                <w:lang w:val="uk-UA"/>
              </w:rPr>
              <w:lastRenderedPageBreak/>
              <w:t>Продовження таблиці 2.18</w:t>
            </w:r>
          </w:p>
        </w:tc>
      </w:tr>
      <w:tr w:rsidR="00F01276" w:rsidRPr="00042924" w14:paraId="654BC35A" w14:textId="77777777" w:rsidTr="004D1ED8">
        <w:trPr>
          <w:trHeight w:val="227"/>
          <w:jc w:val="center"/>
        </w:trPr>
        <w:tc>
          <w:tcPr>
            <w:tcW w:w="222" w:type="pct"/>
            <w:vAlign w:val="center"/>
          </w:tcPr>
          <w:p w14:paraId="0C13101E" w14:textId="77777777" w:rsidR="00F01276" w:rsidRPr="00042924" w:rsidRDefault="00F01276" w:rsidP="00C56B3B">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1</w:t>
            </w:r>
          </w:p>
        </w:tc>
        <w:tc>
          <w:tcPr>
            <w:tcW w:w="2192" w:type="pct"/>
            <w:vAlign w:val="center"/>
          </w:tcPr>
          <w:p w14:paraId="525E146F" w14:textId="77777777" w:rsidR="00F01276" w:rsidRPr="006E791D" w:rsidRDefault="00F01276"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2</w:t>
            </w:r>
          </w:p>
        </w:tc>
        <w:tc>
          <w:tcPr>
            <w:tcW w:w="646" w:type="pct"/>
            <w:vAlign w:val="center"/>
          </w:tcPr>
          <w:p w14:paraId="7E42BAE1" w14:textId="77777777" w:rsidR="00F01276" w:rsidRPr="006E791D" w:rsidRDefault="00F01276" w:rsidP="00C56B3B">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3</w:t>
            </w:r>
          </w:p>
        </w:tc>
        <w:tc>
          <w:tcPr>
            <w:tcW w:w="647" w:type="pct"/>
            <w:vAlign w:val="center"/>
          </w:tcPr>
          <w:p w14:paraId="61083615" w14:textId="77777777" w:rsidR="00F01276" w:rsidRPr="006E791D" w:rsidRDefault="00F01276" w:rsidP="00C56B3B">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4</w:t>
            </w:r>
          </w:p>
        </w:tc>
        <w:tc>
          <w:tcPr>
            <w:tcW w:w="646" w:type="pct"/>
            <w:vAlign w:val="center"/>
          </w:tcPr>
          <w:p w14:paraId="130FB6A6" w14:textId="77777777" w:rsidR="00F01276" w:rsidRPr="006E791D" w:rsidRDefault="00F01276" w:rsidP="00C56B3B">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5</w:t>
            </w:r>
          </w:p>
        </w:tc>
        <w:tc>
          <w:tcPr>
            <w:tcW w:w="647" w:type="pct"/>
            <w:vAlign w:val="center"/>
          </w:tcPr>
          <w:p w14:paraId="5CDEAAD0" w14:textId="77777777" w:rsidR="00F01276" w:rsidRPr="00F01276" w:rsidRDefault="00F01276" w:rsidP="00C56B3B">
            <w:pPr>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C56B3B" w:rsidRPr="00042924" w14:paraId="6B09BF2D" w14:textId="77777777" w:rsidTr="00F01276">
        <w:trPr>
          <w:trHeight w:val="283"/>
          <w:jc w:val="center"/>
        </w:trPr>
        <w:tc>
          <w:tcPr>
            <w:tcW w:w="222" w:type="pct"/>
            <w:vAlign w:val="center"/>
          </w:tcPr>
          <w:p w14:paraId="26925313"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2</w:t>
            </w:r>
          </w:p>
        </w:tc>
        <w:tc>
          <w:tcPr>
            <w:tcW w:w="2192" w:type="pct"/>
            <w:vAlign w:val="center"/>
          </w:tcPr>
          <w:p w14:paraId="5689D1A6"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Знос ОЗ, млн грн</w:t>
            </w:r>
          </w:p>
        </w:tc>
        <w:tc>
          <w:tcPr>
            <w:tcW w:w="646" w:type="pct"/>
            <w:vAlign w:val="center"/>
          </w:tcPr>
          <w:p w14:paraId="003CADA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66 486</w:t>
            </w:r>
          </w:p>
        </w:tc>
        <w:tc>
          <w:tcPr>
            <w:tcW w:w="647" w:type="pct"/>
            <w:vAlign w:val="center"/>
          </w:tcPr>
          <w:p w14:paraId="32DF1CDD"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70 565</w:t>
            </w:r>
          </w:p>
        </w:tc>
        <w:tc>
          <w:tcPr>
            <w:tcW w:w="646" w:type="pct"/>
            <w:vAlign w:val="center"/>
          </w:tcPr>
          <w:p w14:paraId="3463166A"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106 503</w:t>
            </w:r>
          </w:p>
        </w:tc>
        <w:tc>
          <w:tcPr>
            <w:tcW w:w="647" w:type="pct"/>
            <w:vAlign w:val="center"/>
          </w:tcPr>
          <w:p w14:paraId="585FB759" w14:textId="77777777" w:rsidR="00C56B3B" w:rsidRPr="00C56B3B"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C56B3B">
              <w:rPr>
                <w:rFonts w:ascii="Times New Roman" w:hAnsi="Times New Roman" w:cs="Times New Roman"/>
                <w:sz w:val="20"/>
                <w:szCs w:val="20"/>
              </w:rPr>
              <w:t>40 017</w:t>
            </w:r>
          </w:p>
        </w:tc>
      </w:tr>
      <w:tr w:rsidR="00C56B3B" w:rsidRPr="00042924" w14:paraId="57EE40C2" w14:textId="77777777" w:rsidTr="00F01276">
        <w:trPr>
          <w:trHeight w:val="283"/>
          <w:jc w:val="center"/>
        </w:trPr>
        <w:tc>
          <w:tcPr>
            <w:tcW w:w="222" w:type="pct"/>
            <w:vAlign w:val="center"/>
          </w:tcPr>
          <w:p w14:paraId="6FF80620"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3</w:t>
            </w:r>
          </w:p>
        </w:tc>
        <w:tc>
          <w:tcPr>
            <w:tcW w:w="2192" w:type="pct"/>
            <w:vAlign w:val="center"/>
          </w:tcPr>
          <w:p w14:paraId="190FDF4E"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Чистий дохід, млн грн</w:t>
            </w:r>
          </w:p>
        </w:tc>
        <w:tc>
          <w:tcPr>
            <w:tcW w:w="646" w:type="pct"/>
            <w:vAlign w:val="center"/>
          </w:tcPr>
          <w:p w14:paraId="10F6798C"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63 497</w:t>
            </w:r>
          </w:p>
        </w:tc>
        <w:tc>
          <w:tcPr>
            <w:tcW w:w="647" w:type="pct"/>
            <w:vAlign w:val="center"/>
          </w:tcPr>
          <w:p w14:paraId="5AA1AAE7"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109 303</w:t>
            </w:r>
          </w:p>
        </w:tc>
        <w:tc>
          <w:tcPr>
            <w:tcW w:w="646" w:type="pct"/>
            <w:vAlign w:val="center"/>
          </w:tcPr>
          <w:p w14:paraId="07263ED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43 818</w:t>
            </w:r>
          </w:p>
        </w:tc>
        <w:tc>
          <w:tcPr>
            <w:tcW w:w="647" w:type="pct"/>
            <w:vAlign w:val="center"/>
          </w:tcPr>
          <w:p w14:paraId="6146105A" w14:textId="77777777" w:rsidR="00C56B3B" w:rsidRPr="00C56B3B"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C56B3B">
              <w:rPr>
                <w:rFonts w:ascii="Times New Roman" w:hAnsi="Times New Roman" w:cs="Times New Roman"/>
                <w:sz w:val="20"/>
                <w:szCs w:val="20"/>
              </w:rPr>
              <w:t>-19 679</w:t>
            </w:r>
          </w:p>
        </w:tc>
      </w:tr>
      <w:tr w:rsidR="00C56B3B" w:rsidRPr="00042924" w14:paraId="634C08BA" w14:textId="77777777" w:rsidTr="00F01276">
        <w:trPr>
          <w:trHeight w:val="283"/>
          <w:jc w:val="center"/>
        </w:trPr>
        <w:tc>
          <w:tcPr>
            <w:tcW w:w="222" w:type="pct"/>
            <w:vAlign w:val="center"/>
          </w:tcPr>
          <w:p w14:paraId="6A373A2D"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4</w:t>
            </w:r>
          </w:p>
        </w:tc>
        <w:tc>
          <w:tcPr>
            <w:tcW w:w="2192" w:type="pct"/>
            <w:vAlign w:val="center"/>
          </w:tcPr>
          <w:p w14:paraId="63BFB92C"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Середня вартість ОЗ, млн грн</w:t>
            </w:r>
          </w:p>
        </w:tc>
        <w:tc>
          <w:tcPr>
            <w:tcW w:w="646" w:type="pct"/>
          </w:tcPr>
          <w:p w14:paraId="4D2FAB3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color w:val="000000" w:themeColor="text1"/>
                <w:sz w:val="20"/>
                <w:szCs w:val="20"/>
                <w:lang w:val="uk-UA"/>
              </w:rPr>
              <w:t>49 877</w:t>
            </w:r>
          </w:p>
        </w:tc>
        <w:tc>
          <w:tcPr>
            <w:tcW w:w="647" w:type="pct"/>
          </w:tcPr>
          <w:p w14:paraId="38C956B2"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color w:val="000000" w:themeColor="text1"/>
                <w:sz w:val="20"/>
                <w:szCs w:val="20"/>
                <w:lang w:val="uk-UA"/>
              </w:rPr>
              <w:t>51 971</w:t>
            </w:r>
          </w:p>
        </w:tc>
        <w:tc>
          <w:tcPr>
            <w:tcW w:w="646" w:type="pct"/>
          </w:tcPr>
          <w:p w14:paraId="1F0FB718"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color w:val="000000" w:themeColor="text1"/>
                <w:sz w:val="20"/>
                <w:szCs w:val="20"/>
                <w:lang w:val="uk-UA"/>
              </w:rPr>
              <w:t>35 471</w:t>
            </w:r>
          </w:p>
        </w:tc>
        <w:tc>
          <w:tcPr>
            <w:tcW w:w="647" w:type="pct"/>
            <w:vAlign w:val="center"/>
          </w:tcPr>
          <w:p w14:paraId="38EFD1AF" w14:textId="77777777" w:rsidR="00C56B3B" w:rsidRPr="00C56B3B" w:rsidRDefault="00C56B3B" w:rsidP="00C56B3B">
            <w:pPr>
              <w:jc w:val="center"/>
              <w:rPr>
                <w:rFonts w:ascii="Times New Roman" w:hAnsi="Times New Roman" w:cs="Times New Roman"/>
                <w:color w:val="000000" w:themeColor="text1"/>
                <w:sz w:val="20"/>
                <w:szCs w:val="20"/>
                <w:lang w:val="uk-UA"/>
              </w:rPr>
            </w:pPr>
            <w:r w:rsidRPr="00C56B3B">
              <w:rPr>
                <w:rFonts w:ascii="Times New Roman" w:hAnsi="Times New Roman" w:cs="Times New Roman"/>
                <w:sz w:val="20"/>
                <w:szCs w:val="20"/>
              </w:rPr>
              <w:t>-14 406</w:t>
            </w:r>
          </w:p>
        </w:tc>
      </w:tr>
      <w:tr w:rsidR="00C56B3B" w:rsidRPr="00042924" w14:paraId="2E18E691" w14:textId="77777777" w:rsidTr="00F01276">
        <w:trPr>
          <w:trHeight w:val="283"/>
          <w:jc w:val="center"/>
        </w:trPr>
        <w:tc>
          <w:tcPr>
            <w:tcW w:w="222" w:type="pct"/>
            <w:vAlign w:val="center"/>
          </w:tcPr>
          <w:p w14:paraId="76F7C5D2"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5</w:t>
            </w:r>
          </w:p>
        </w:tc>
        <w:tc>
          <w:tcPr>
            <w:tcW w:w="2192" w:type="pct"/>
            <w:vAlign w:val="center"/>
          </w:tcPr>
          <w:p w14:paraId="1A6D0BF7"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Фондовіддача ОЗ</w:t>
            </w:r>
          </w:p>
        </w:tc>
        <w:tc>
          <w:tcPr>
            <w:tcW w:w="646" w:type="pct"/>
          </w:tcPr>
          <w:p w14:paraId="6470D42D"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1,22</w:t>
            </w:r>
          </w:p>
        </w:tc>
        <w:tc>
          <w:tcPr>
            <w:tcW w:w="647" w:type="pct"/>
          </w:tcPr>
          <w:p w14:paraId="5788AD32"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2,1</w:t>
            </w:r>
          </w:p>
        </w:tc>
        <w:tc>
          <w:tcPr>
            <w:tcW w:w="646" w:type="pct"/>
          </w:tcPr>
          <w:p w14:paraId="316931C1"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1,24</w:t>
            </w:r>
          </w:p>
        </w:tc>
        <w:tc>
          <w:tcPr>
            <w:tcW w:w="647" w:type="pct"/>
            <w:vAlign w:val="center"/>
          </w:tcPr>
          <w:p w14:paraId="2BA683BE" w14:textId="77777777" w:rsidR="00C56B3B" w:rsidRPr="00C56B3B" w:rsidRDefault="00C56B3B" w:rsidP="00C56B3B">
            <w:pPr>
              <w:jc w:val="center"/>
              <w:rPr>
                <w:rFonts w:ascii="Times New Roman" w:hAnsi="Times New Roman" w:cs="Times New Roman"/>
                <w:color w:val="000000" w:themeColor="text1"/>
                <w:sz w:val="20"/>
                <w:szCs w:val="20"/>
                <w:lang w:val="uk-UA"/>
              </w:rPr>
            </w:pPr>
            <w:r w:rsidRPr="00C56B3B">
              <w:rPr>
                <w:rFonts w:ascii="Times New Roman" w:hAnsi="Times New Roman" w:cs="Times New Roman"/>
                <w:sz w:val="20"/>
                <w:szCs w:val="20"/>
              </w:rPr>
              <w:t>0,020</w:t>
            </w:r>
          </w:p>
        </w:tc>
      </w:tr>
      <w:tr w:rsidR="00C56B3B" w:rsidRPr="00042924" w14:paraId="3EF4D6FE" w14:textId="77777777" w:rsidTr="00F01276">
        <w:trPr>
          <w:trHeight w:val="283"/>
          <w:jc w:val="center"/>
        </w:trPr>
        <w:tc>
          <w:tcPr>
            <w:tcW w:w="222" w:type="pct"/>
            <w:vAlign w:val="center"/>
          </w:tcPr>
          <w:p w14:paraId="0C521AA7"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6</w:t>
            </w:r>
          </w:p>
        </w:tc>
        <w:tc>
          <w:tcPr>
            <w:tcW w:w="2192" w:type="pct"/>
            <w:vAlign w:val="center"/>
          </w:tcPr>
          <w:p w14:paraId="44D52134"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977325">
              <w:rPr>
                <w:rFonts w:ascii="Times New Roman" w:eastAsia="Times New Roman" w:hAnsi="Times New Roman" w:cs="Times New Roman"/>
                <w:color w:val="000000" w:themeColor="text1"/>
                <w:kern w:val="0"/>
                <w:sz w:val="20"/>
                <w:szCs w:val="20"/>
                <w:lang w:val="uk-UA" w:eastAsia="uk-UA"/>
                <w14:ligatures w14:val="none"/>
              </w:rPr>
              <w:t>Фондомісткість, грн/грн</w:t>
            </w:r>
          </w:p>
        </w:tc>
        <w:tc>
          <w:tcPr>
            <w:tcW w:w="646" w:type="pct"/>
          </w:tcPr>
          <w:p w14:paraId="3F67ABFF"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0,82</w:t>
            </w:r>
          </w:p>
        </w:tc>
        <w:tc>
          <w:tcPr>
            <w:tcW w:w="647" w:type="pct"/>
          </w:tcPr>
          <w:p w14:paraId="073E22E4"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0,48</w:t>
            </w:r>
          </w:p>
        </w:tc>
        <w:tc>
          <w:tcPr>
            <w:tcW w:w="646" w:type="pct"/>
          </w:tcPr>
          <w:p w14:paraId="75CD42B7"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0,81</w:t>
            </w:r>
          </w:p>
        </w:tc>
        <w:tc>
          <w:tcPr>
            <w:tcW w:w="647" w:type="pct"/>
            <w:vAlign w:val="center"/>
          </w:tcPr>
          <w:p w14:paraId="5E856808" w14:textId="77777777" w:rsidR="00C56B3B" w:rsidRPr="00C56B3B" w:rsidRDefault="00C56B3B" w:rsidP="00C56B3B">
            <w:pPr>
              <w:jc w:val="center"/>
              <w:rPr>
                <w:rFonts w:ascii="Times New Roman" w:hAnsi="Times New Roman" w:cs="Times New Roman"/>
                <w:color w:val="000000" w:themeColor="text1"/>
                <w:sz w:val="20"/>
                <w:szCs w:val="20"/>
                <w:lang w:val="uk-UA"/>
              </w:rPr>
            </w:pPr>
            <w:r w:rsidRPr="00C56B3B">
              <w:rPr>
                <w:rFonts w:ascii="Times New Roman" w:hAnsi="Times New Roman" w:cs="Times New Roman"/>
                <w:sz w:val="20"/>
                <w:szCs w:val="20"/>
              </w:rPr>
              <w:t>-0,010</w:t>
            </w:r>
          </w:p>
        </w:tc>
      </w:tr>
      <w:tr w:rsidR="00C56B3B" w:rsidRPr="00042924" w14:paraId="5402D5C4" w14:textId="77777777" w:rsidTr="00F01276">
        <w:trPr>
          <w:trHeight w:val="283"/>
          <w:jc w:val="center"/>
        </w:trPr>
        <w:tc>
          <w:tcPr>
            <w:tcW w:w="222" w:type="pct"/>
            <w:vAlign w:val="center"/>
          </w:tcPr>
          <w:p w14:paraId="51E8B12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7</w:t>
            </w:r>
          </w:p>
        </w:tc>
        <w:tc>
          <w:tcPr>
            <w:tcW w:w="2192" w:type="pct"/>
            <w:vAlign w:val="center"/>
          </w:tcPr>
          <w:p w14:paraId="66E2028E"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977325">
              <w:rPr>
                <w:rFonts w:ascii="Times New Roman" w:eastAsia="Times New Roman" w:hAnsi="Times New Roman" w:cs="Times New Roman"/>
                <w:color w:val="000000" w:themeColor="text1"/>
                <w:kern w:val="0"/>
                <w:sz w:val="20"/>
                <w:szCs w:val="20"/>
                <w:lang w:val="uk-UA" w:eastAsia="uk-UA"/>
                <w14:ligatures w14:val="none"/>
              </w:rPr>
              <w:t>Фондоозброєність праці, тис.грн/чол.</w:t>
            </w:r>
          </w:p>
        </w:tc>
        <w:tc>
          <w:tcPr>
            <w:tcW w:w="646" w:type="pct"/>
          </w:tcPr>
          <w:p w14:paraId="0789016B"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2557,26</w:t>
            </w:r>
          </w:p>
        </w:tc>
        <w:tc>
          <w:tcPr>
            <w:tcW w:w="647" w:type="pct"/>
          </w:tcPr>
          <w:p w14:paraId="2E0814B4"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2797,29</w:t>
            </w:r>
          </w:p>
        </w:tc>
        <w:tc>
          <w:tcPr>
            <w:tcW w:w="646" w:type="pct"/>
          </w:tcPr>
          <w:p w14:paraId="070F0507" w14:textId="77777777" w:rsidR="00C56B3B" w:rsidRPr="00042924" w:rsidRDefault="00C56B3B" w:rsidP="00C56B3B">
            <w:pPr>
              <w:jc w:val="center"/>
              <w:rPr>
                <w:rFonts w:ascii="Times New Roman" w:hAnsi="Times New Roman" w:cs="Times New Roman"/>
                <w:color w:val="000000" w:themeColor="text1"/>
                <w:sz w:val="20"/>
                <w:szCs w:val="20"/>
                <w:lang w:val="uk-UA"/>
              </w:rPr>
            </w:pPr>
            <w:r w:rsidRPr="00042924">
              <w:rPr>
                <w:rFonts w:ascii="Times New Roman" w:hAnsi="Times New Roman" w:cs="Times New Roman"/>
                <w:color w:val="000000" w:themeColor="text1"/>
                <w:sz w:val="20"/>
                <w:szCs w:val="20"/>
                <w:lang w:val="uk-UA"/>
              </w:rPr>
              <w:t>2059,76</w:t>
            </w:r>
          </w:p>
        </w:tc>
        <w:tc>
          <w:tcPr>
            <w:tcW w:w="647" w:type="pct"/>
            <w:vAlign w:val="center"/>
          </w:tcPr>
          <w:p w14:paraId="66408388" w14:textId="77777777" w:rsidR="00C56B3B" w:rsidRPr="00C56B3B" w:rsidRDefault="00C56B3B" w:rsidP="00C56B3B">
            <w:pPr>
              <w:jc w:val="center"/>
              <w:rPr>
                <w:rFonts w:ascii="Times New Roman" w:hAnsi="Times New Roman" w:cs="Times New Roman"/>
                <w:color w:val="000000" w:themeColor="text1"/>
                <w:sz w:val="20"/>
                <w:szCs w:val="20"/>
                <w:lang w:val="uk-UA"/>
              </w:rPr>
            </w:pPr>
            <w:r w:rsidRPr="00C56B3B">
              <w:rPr>
                <w:rFonts w:ascii="Times New Roman" w:hAnsi="Times New Roman" w:cs="Times New Roman"/>
                <w:sz w:val="20"/>
                <w:szCs w:val="20"/>
              </w:rPr>
              <w:t>-497,5</w:t>
            </w:r>
          </w:p>
        </w:tc>
      </w:tr>
      <w:tr w:rsidR="00C56B3B" w:rsidRPr="00042924" w14:paraId="1B6D9CF6" w14:textId="77777777" w:rsidTr="00F01276">
        <w:trPr>
          <w:trHeight w:val="283"/>
          <w:jc w:val="center"/>
        </w:trPr>
        <w:tc>
          <w:tcPr>
            <w:tcW w:w="222" w:type="pct"/>
            <w:vAlign w:val="center"/>
          </w:tcPr>
          <w:p w14:paraId="0BCFA67C"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8</w:t>
            </w:r>
          </w:p>
        </w:tc>
        <w:tc>
          <w:tcPr>
            <w:tcW w:w="2192" w:type="pct"/>
            <w:vAlign w:val="center"/>
          </w:tcPr>
          <w:p w14:paraId="38329433"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Частка зносу в первісній вартості, %</w:t>
            </w:r>
          </w:p>
        </w:tc>
        <w:tc>
          <w:tcPr>
            <w:tcW w:w="646" w:type="pct"/>
          </w:tcPr>
          <w:p w14:paraId="076C485D"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56,11%</w:t>
            </w:r>
          </w:p>
        </w:tc>
        <w:tc>
          <w:tcPr>
            <w:tcW w:w="647" w:type="pct"/>
          </w:tcPr>
          <w:p w14:paraId="6020D779"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57,60%</w:t>
            </w:r>
          </w:p>
        </w:tc>
        <w:tc>
          <w:tcPr>
            <w:tcW w:w="646" w:type="pct"/>
          </w:tcPr>
          <w:p w14:paraId="66F725E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84,86%</w:t>
            </w:r>
          </w:p>
        </w:tc>
        <w:tc>
          <w:tcPr>
            <w:tcW w:w="647" w:type="pct"/>
            <w:vAlign w:val="center"/>
          </w:tcPr>
          <w:p w14:paraId="327707A9" w14:textId="77777777" w:rsidR="00C56B3B" w:rsidRPr="00C56B3B" w:rsidRDefault="00C56B3B" w:rsidP="00C56B3B">
            <w:pPr>
              <w:jc w:val="center"/>
              <w:rPr>
                <w:rFonts w:ascii="Times New Roman" w:hAnsi="Times New Roman" w:cs="Times New Roman"/>
                <w:sz w:val="20"/>
                <w:szCs w:val="20"/>
                <w:lang w:val="uk-UA"/>
              </w:rPr>
            </w:pPr>
            <w:r w:rsidRPr="00C56B3B">
              <w:rPr>
                <w:rFonts w:ascii="Times New Roman" w:hAnsi="Times New Roman" w:cs="Times New Roman"/>
                <w:sz w:val="20"/>
                <w:szCs w:val="20"/>
              </w:rPr>
              <w:t>0,288</w:t>
            </w:r>
          </w:p>
        </w:tc>
      </w:tr>
      <w:tr w:rsidR="00C56B3B" w:rsidRPr="00042924" w14:paraId="75810551" w14:textId="77777777" w:rsidTr="00F01276">
        <w:trPr>
          <w:trHeight w:val="283"/>
          <w:jc w:val="center"/>
        </w:trPr>
        <w:tc>
          <w:tcPr>
            <w:tcW w:w="222" w:type="pct"/>
            <w:vAlign w:val="center"/>
          </w:tcPr>
          <w:p w14:paraId="572B568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9</w:t>
            </w:r>
          </w:p>
        </w:tc>
        <w:tc>
          <w:tcPr>
            <w:tcW w:w="2192" w:type="pct"/>
            <w:vAlign w:val="center"/>
            <w:hideMark/>
          </w:tcPr>
          <w:p w14:paraId="34A3EFC8" w14:textId="77777777" w:rsidR="00C56B3B" w:rsidRPr="00FF30FF"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Коефіцієнт оновлення ОЗ, %</w:t>
            </w:r>
          </w:p>
        </w:tc>
        <w:tc>
          <w:tcPr>
            <w:tcW w:w="646" w:type="pct"/>
            <w:hideMark/>
          </w:tcPr>
          <w:p w14:paraId="1032AAF8"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9,52%</w:t>
            </w:r>
          </w:p>
        </w:tc>
        <w:tc>
          <w:tcPr>
            <w:tcW w:w="647" w:type="pct"/>
            <w:hideMark/>
          </w:tcPr>
          <w:p w14:paraId="02D5A15F"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3,29%</w:t>
            </w:r>
          </w:p>
        </w:tc>
        <w:tc>
          <w:tcPr>
            <w:tcW w:w="646" w:type="pct"/>
            <w:hideMark/>
          </w:tcPr>
          <w:p w14:paraId="589C729B"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2,38%</w:t>
            </w:r>
          </w:p>
        </w:tc>
        <w:tc>
          <w:tcPr>
            <w:tcW w:w="647" w:type="pct"/>
            <w:vAlign w:val="center"/>
          </w:tcPr>
          <w:p w14:paraId="04E58DE4" w14:textId="77777777" w:rsidR="00C56B3B" w:rsidRPr="00C56B3B" w:rsidRDefault="00C56B3B" w:rsidP="00C56B3B">
            <w:pPr>
              <w:jc w:val="center"/>
              <w:rPr>
                <w:rFonts w:ascii="Times New Roman" w:hAnsi="Times New Roman" w:cs="Times New Roman"/>
                <w:sz w:val="20"/>
                <w:szCs w:val="20"/>
                <w:lang w:val="uk-UA"/>
              </w:rPr>
            </w:pPr>
            <w:r w:rsidRPr="00C56B3B">
              <w:rPr>
                <w:rFonts w:ascii="Times New Roman" w:hAnsi="Times New Roman" w:cs="Times New Roman"/>
                <w:sz w:val="20"/>
                <w:szCs w:val="20"/>
              </w:rPr>
              <w:t>-0,071</w:t>
            </w:r>
          </w:p>
        </w:tc>
      </w:tr>
      <w:tr w:rsidR="00C56B3B" w:rsidRPr="00042924" w14:paraId="34BFB8A5" w14:textId="77777777" w:rsidTr="00F01276">
        <w:trPr>
          <w:trHeight w:val="283"/>
          <w:jc w:val="center"/>
        </w:trPr>
        <w:tc>
          <w:tcPr>
            <w:tcW w:w="222" w:type="pct"/>
            <w:vAlign w:val="center"/>
          </w:tcPr>
          <w:p w14:paraId="71B5FC0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10</w:t>
            </w:r>
          </w:p>
        </w:tc>
        <w:tc>
          <w:tcPr>
            <w:tcW w:w="2192" w:type="pct"/>
            <w:vAlign w:val="center"/>
            <w:hideMark/>
          </w:tcPr>
          <w:p w14:paraId="6D932981" w14:textId="77777777" w:rsidR="00C56B3B" w:rsidRPr="00FF30FF"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Коефіцієнт придатності ОЗ, %</w:t>
            </w:r>
          </w:p>
        </w:tc>
        <w:tc>
          <w:tcPr>
            <w:tcW w:w="646" w:type="pct"/>
            <w:hideMark/>
          </w:tcPr>
          <w:p w14:paraId="41AC2F47"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43,89%</w:t>
            </w:r>
          </w:p>
        </w:tc>
        <w:tc>
          <w:tcPr>
            <w:tcW w:w="647" w:type="pct"/>
            <w:hideMark/>
          </w:tcPr>
          <w:p w14:paraId="059E828D"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42,40%</w:t>
            </w:r>
          </w:p>
        </w:tc>
        <w:tc>
          <w:tcPr>
            <w:tcW w:w="646" w:type="pct"/>
            <w:hideMark/>
          </w:tcPr>
          <w:p w14:paraId="2D0300D7"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15,14%</w:t>
            </w:r>
          </w:p>
        </w:tc>
        <w:tc>
          <w:tcPr>
            <w:tcW w:w="647" w:type="pct"/>
            <w:vAlign w:val="center"/>
          </w:tcPr>
          <w:p w14:paraId="6743F29F" w14:textId="77777777" w:rsidR="00C56B3B" w:rsidRPr="00C56B3B" w:rsidRDefault="00C56B3B" w:rsidP="00C56B3B">
            <w:pPr>
              <w:jc w:val="center"/>
              <w:rPr>
                <w:rFonts w:ascii="Times New Roman" w:hAnsi="Times New Roman" w:cs="Times New Roman"/>
                <w:sz w:val="20"/>
                <w:szCs w:val="20"/>
                <w:lang w:val="uk-UA"/>
              </w:rPr>
            </w:pPr>
            <w:r w:rsidRPr="00C56B3B">
              <w:rPr>
                <w:rFonts w:ascii="Times New Roman" w:hAnsi="Times New Roman" w:cs="Times New Roman"/>
                <w:sz w:val="20"/>
                <w:szCs w:val="20"/>
              </w:rPr>
              <w:t>-0,288</w:t>
            </w:r>
          </w:p>
        </w:tc>
      </w:tr>
      <w:tr w:rsidR="00C56B3B" w:rsidRPr="00042924" w14:paraId="12710621" w14:textId="77777777" w:rsidTr="00F01276">
        <w:trPr>
          <w:trHeight w:val="283"/>
          <w:jc w:val="center"/>
        </w:trPr>
        <w:tc>
          <w:tcPr>
            <w:tcW w:w="222" w:type="pct"/>
            <w:vAlign w:val="center"/>
          </w:tcPr>
          <w:p w14:paraId="3A1B6796"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11</w:t>
            </w:r>
          </w:p>
        </w:tc>
        <w:tc>
          <w:tcPr>
            <w:tcW w:w="2192" w:type="pct"/>
            <w:vAlign w:val="center"/>
            <w:hideMark/>
          </w:tcPr>
          <w:p w14:paraId="4861B092" w14:textId="77777777" w:rsidR="00C56B3B" w:rsidRPr="00FF30FF"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Коефіцієнт зношеності ОЗ, %</w:t>
            </w:r>
          </w:p>
        </w:tc>
        <w:tc>
          <w:tcPr>
            <w:tcW w:w="646" w:type="pct"/>
            <w:hideMark/>
          </w:tcPr>
          <w:p w14:paraId="66BFAB07"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56,11%</w:t>
            </w:r>
          </w:p>
        </w:tc>
        <w:tc>
          <w:tcPr>
            <w:tcW w:w="647" w:type="pct"/>
            <w:hideMark/>
          </w:tcPr>
          <w:p w14:paraId="62110B26"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57,60%</w:t>
            </w:r>
          </w:p>
        </w:tc>
        <w:tc>
          <w:tcPr>
            <w:tcW w:w="646" w:type="pct"/>
            <w:hideMark/>
          </w:tcPr>
          <w:p w14:paraId="42E5A851"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84,86%</w:t>
            </w:r>
          </w:p>
        </w:tc>
        <w:tc>
          <w:tcPr>
            <w:tcW w:w="647" w:type="pct"/>
            <w:vAlign w:val="center"/>
          </w:tcPr>
          <w:p w14:paraId="7F76FA66" w14:textId="77777777" w:rsidR="00C56B3B" w:rsidRPr="00C56B3B" w:rsidRDefault="00C56B3B" w:rsidP="00C56B3B">
            <w:pPr>
              <w:jc w:val="center"/>
              <w:rPr>
                <w:rFonts w:ascii="Times New Roman" w:hAnsi="Times New Roman" w:cs="Times New Roman"/>
                <w:sz w:val="20"/>
                <w:szCs w:val="20"/>
                <w:lang w:val="uk-UA"/>
              </w:rPr>
            </w:pPr>
            <w:r w:rsidRPr="00C56B3B">
              <w:rPr>
                <w:rFonts w:ascii="Times New Roman" w:hAnsi="Times New Roman" w:cs="Times New Roman"/>
                <w:sz w:val="20"/>
                <w:szCs w:val="20"/>
              </w:rPr>
              <w:t>0,288</w:t>
            </w:r>
          </w:p>
        </w:tc>
      </w:tr>
      <w:tr w:rsidR="00C56B3B" w:rsidRPr="00042924" w14:paraId="3503C5C1" w14:textId="77777777" w:rsidTr="00F01276">
        <w:trPr>
          <w:trHeight w:val="283"/>
          <w:jc w:val="center"/>
        </w:trPr>
        <w:tc>
          <w:tcPr>
            <w:tcW w:w="222" w:type="pct"/>
            <w:vAlign w:val="center"/>
          </w:tcPr>
          <w:p w14:paraId="1504E932"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12</w:t>
            </w:r>
          </w:p>
        </w:tc>
        <w:tc>
          <w:tcPr>
            <w:tcW w:w="2192" w:type="pct"/>
            <w:vAlign w:val="center"/>
            <w:hideMark/>
          </w:tcPr>
          <w:p w14:paraId="7872E865" w14:textId="77777777" w:rsidR="00C56B3B" w:rsidRPr="00FF30FF"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FF30FF">
              <w:rPr>
                <w:rFonts w:ascii="Times New Roman" w:eastAsia="Times New Roman" w:hAnsi="Times New Roman" w:cs="Times New Roman"/>
                <w:color w:val="000000" w:themeColor="text1"/>
                <w:kern w:val="0"/>
                <w:sz w:val="20"/>
                <w:szCs w:val="20"/>
                <w:lang w:val="uk-UA" w:eastAsia="uk-UA"/>
                <w14:ligatures w14:val="none"/>
              </w:rPr>
              <w:t>Коефіцієнт вибуття ОЗ, %</w:t>
            </w:r>
          </w:p>
        </w:tc>
        <w:tc>
          <w:tcPr>
            <w:tcW w:w="646" w:type="pct"/>
            <w:hideMark/>
          </w:tcPr>
          <w:p w14:paraId="6B4A6499"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9,52%</w:t>
            </w:r>
          </w:p>
        </w:tc>
        <w:tc>
          <w:tcPr>
            <w:tcW w:w="647" w:type="pct"/>
            <w:hideMark/>
          </w:tcPr>
          <w:p w14:paraId="20022FCE"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3,29%</w:t>
            </w:r>
          </w:p>
        </w:tc>
        <w:tc>
          <w:tcPr>
            <w:tcW w:w="646" w:type="pct"/>
            <w:hideMark/>
          </w:tcPr>
          <w:p w14:paraId="0EF0ACCF" w14:textId="77777777" w:rsidR="00C56B3B" w:rsidRPr="00FF30FF"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2,38%</w:t>
            </w:r>
          </w:p>
        </w:tc>
        <w:tc>
          <w:tcPr>
            <w:tcW w:w="647" w:type="pct"/>
            <w:vAlign w:val="center"/>
          </w:tcPr>
          <w:p w14:paraId="422232CD" w14:textId="77777777" w:rsidR="00C56B3B" w:rsidRPr="00C56B3B" w:rsidRDefault="00C56B3B" w:rsidP="00C56B3B">
            <w:pPr>
              <w:jc w:val="center"/>
              <w:rPr>
                <w:rFonts w:ascii="Times New Roman" w:hAnsi="Times New Roman" w:cs="Times New Roman"/>
                <w:sz w:val="20"/>
                <w:szCs w:val="20"/>
                <w:lang w:val="uk-UA"/>
              </w:rPr>
            </w:pPr>
            <w:r w:rsidRPr="00C56B3B">
              <w:rPr>
                <w:rFonts w:ascii="Times New Roman" w:hAnsi="Times New Roman" w:cs="Times New Roman"/>
                <w:sz w:val="20"/>
                <w:szCs w:val="20"/>
              </w:rPr>
              <w:t>-0,071</w:t>
            </w:r>
          </w:p>
        </w:tc>
      </w:tr>
      <w:tr w:rsidR="00C56B3B" w:rsidRPr="00042924" w14:paraId="4AB343A6" w14:textId="77777777" w:rsidTr="00F01276">
        <w:trPr>
          <w:trHeight w:val="283"/>
          <w:jc w:val="center"/>
        </w:trPr>
        <w:tc>
          <w:tcPr>
            <w:tcW w:w="222" w:type="pct"/>
            <w:vAlign w:val="center"/>
          </w:tcPr>
          <w:p w14:paraId="6CC64A70"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13</w:t>
            </w:r>
          </w:p>
        </w:tc>
        <w:tc>
          <w:tcPr>
            <w:tcW w:w="2192" w:type="pct"/>
            <w:vAlign w:val="center"/>
          </w:tcPr>
          <w:p w14:paraId="0E2295EA" w14:textId="77777777" w:rsidR="00C56B3B" w:rsidRPr="00042924" w:rsidRDefault="00C56B3B" w:rsidP="00C56B3B">
            <w:pPr>
              <w:ind w:left="57"/>
              <w:jc w:val="center"/>
              <w:rPr>
                <w:rFonts w:ascii="Times New Roman" w:eastAsia="Times New Roman" w:hAnsi="Times New Roman" w:cs="Times New Roman"/>
                <w:color w:val="000000" w:themeColor="text1"/>
                <w:kern w:val="0"/>
                <w:sz w:val="20"/>
                <w:szCs w:val="20"/>
                <w:lang w:val="uk-UA" w:eastAsia="uk-UA"/>
                <w14:ligatures w14:val="none"/>
              </w:rPr>
            </w:pPr>
            <w:r w:rsidRPr="00977325">
              <w:rPr>
                <w:rFonts w:ascii="Times New Roman" w:eastAsia="Times New Roman" w:hAnsi="Times New Roman" w:cs="Times New Roman"/>
                <w:color w:val="000000" w:themeColor="text1"/>
                <w:kern w:val="0"/>
                <w:sz w:val="20"/>
                <w:szCs w:val="20"/>
                <w:lang w:val="uk-UA" w:eastAsia="uk-UA"/>
                <w14:ligatures w14:val="none"/>
              </w:rPr>
              <w:t>Коеф. інтенсивного оновлення ОЗ, %</w:t>
            </w:r>
          </w:p>
        </w:tc>
        <w:tc>
          <w:tcPr>
            <w:tcW w:w="646" w:type="pct"/>
          </w:tcPr>
          <w:p w14:paraId="5FDDE2C9" w14:textId="77777777" w:rsidR="00C56B3B" w:rsidRPr="00042924" w:rsidRDefault="00C56B3B" w:rsidP="00C56B3B">
            <w:pPr>
              <w:jc w:val="center"/>
              <w:rPr>
                <w:rFonts w:ascii="Times New Roman" w:hAnsi="Times New Roman" w:cs="Times New Roman"/>
                <w:sz w:val="20"/>
                <w:szCs w:val="20"/>
                <w:lang w:val="uk-UA"/>
              </w:rPr>
            </w:pPr>
            <w:r w:rsidRPr="00042924">
              <w:rPr>
                <w:rFonts w:ascii="Times New Roman" w:hAnsi="Times New Roman" w:cs="Times New Roman"/>
                <w:color w:val="000000" w:themeColor="text1"/>
                <w:sz w:val="20"/>
                <w:szCs w:val="20"/>
                <w:lang w:val="uk-UA"/>
              </w:rPr>
              <w:t>9,52%</w:t>
            </w:r>
          </w:p>
        </w:tc>
        <w:tc>
          <w:tcPr>
            <w:tcW w:w="647" w:type="pct"/>
          </w:tcPr>
          <w:p w14:paraId="5E521C5F" w14:textId="77777777" w:rsidR="00C56B3B" w:rsidRPr="00042924" w:rsidRDefault="00C56B3B" w:rsidP="00C56B3B">
            <w:pPr>
              <w:jc w:val="center"/>
              <w:rPr>
                <w:rFonts w:ascii="Times New Roman" w:hAnsi="Times New Roman" w:cs="Times New Roman"/>
                <w:sz w:val="20"/>
                <w:szCs w:val="20"/>
                <w:lang w:val="uk-UA"/>
              </w:rPr>
            </w:pPr>
            <w:r w:rsidRPr="00042924">
              <w:rPr>
                <w:rFonts w:ascii="Times New Roman" w:hAnsi="Times New Roman" w:cs="Times New Roman"/>
                <w:color w:val="000000" w:themeColor="text1"/>
                <w:sz w:val="20"/>
                <w:szCs w:val="20"/>
                <w:lang w:val="uk-UA"/>
              </w:rPr>
              <w:t>3,29%</w:t>
            </w:r>
          </w:p>
        </w:tc>
        <w:tc>
          <w:tcPr>
            <w:tcW w:w="646" w:type="pct"/>
          </w:tcPr>
          <w:p w14:paraId="0F17632C" w14:textId="77777777" w:rsidR="00C56B3B" w:rsidRPr="00042924" w:rsidRDefault="00C56B3B" w:rsidP="00C56B3B">
            <w:pPr>
              <w:jc w:val="center"/>
              <w:rPr>
                <w:rFonts w:ascii="Times New Roman" w:hAnsi="Times New Roman" w:cs="Times New Roman"/>
                <w:sz w:val="20"/>
                <w:szCs w:val="20"/>
                <w:lang w:val="uk-UA"/>
              </w:rPr>
            </w:pPr>
            <w:r w:rsidRPr="00042924">
              <w:rPr>
                <w:rFonts w:ascii="Times New Roman" w:hAnsi="Times New Roman" w:cs="Times New Roman"/>
                <w:color w:val="000000" w:themeColor="text1"/>
                <w:sz w:val="20"/>
                <w:szCs w:val="20"/>
                <w:lang w:val="uk-UA"/>
              </w:rPr>
              <w:t>2,38%</w:t>
            </w:r>
          </w:p>
        </w:tc>
        <w:tc>
          <w:tcPr>
            <w:tcW w:w="647" w:type="pct"/>
            <w:vAlign w:val="center"/>
          </w:tcPr>
          <w:p w14:paraId="0F444FBA" w14:textId="77777777" w:rsidR="00C56B3B" w:rsidRPr="00C56B3B" w:rsidRDefault="00C56B3B" w:rsidP="00C56B3B">
            <w:pPr>
              <w:jc w:val="center"/>
              <w:rPr>
                <w:rFonts w:ascii="Times New Roman" w:hAnsi="Times New Roman" w:cs="Times New Roman"/>
                <w:color w:val="000000" w:themeColor="text1"/>
                <w:sz w:val="20"/>
                <w:szCs w:val="20"/>
                <w:lang w:val="uk-UA"/>
              </w:rPr>
            </w:pPr>
            <w:r w:rsidRPr="00C56B3B">
              <w:rPr>
                <w:rFonts w:ascii="Times New Roman" w:hAnsi="Times New Roman" w:cs="Times New Roman"/>
                <w:sz w:val="20"/>
                <w:szCs w:val="20"/>
              </w:rPr>
              <w:t>-0,071</w:t>
            </w:r>
          </w:p>
        </w:tc>
      </w:tr>
    </w:tbl>
    <w:bookmarkEnd w:id="27"/>
    <w:p w14:paraId="5A37102B" w14:textId="77777777" w:rsidR="00FF30FF" w:rsidRPr="00042924" w:rsidRDefault="00A428C2" w:rsidP="00A428C2">
      <w:pPr>
        <w:spacing w:after="0" w:line="240" w:lineRule="auto"/>
        <w:ind w:firstLine="284"/>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Джерело:</w:t>
      </w:r>
      <w:r w:rsidRPr="00042924">
        <w:rPr>
          <w:rFonts w:ascii="Times New Roman" w:eastAsia="Times New Roman" w:hAnsi="Times New Roman" w:cs="Times New Roman"/>
          <w:kern w:val="0"/>
          <w:sz w:val="28"/>
          <w:szCs w:val="28"/>
          <w:lang w:val="uk-UA"/>
          <w14:ligatures w14:val="none"/>
        </w:rPr>
        <w:t xml:space="preserve"> сформовано</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 xml:space="preserve">автором за даними </w:t>
      </w:r>
      <w:r w:rsidRPr="00042924">
        <w:rPr>
          <w:rFonts w:ascii="Times New Roman" w:eastAsia="Times New Roman" w:hAnsi="Times New Roman" w:cs="Times New Roman"/>
          <w:sz w:val="28"/>
          <w:szCs w:val="28"/>
          <w:lang w:val="uk-UA"/>
        </w:rPr>
        <w:t>[33]</w:t>
      </w:r>
    </w:p>
    <w:p w14:paraId="0D742BCC" w14:textId="77777777" w:rsidR="00A428C2" w:rsidRPr="00042924" w:rsidRDefault="00A428C2" w:rsidP="00167928">
      <w:pPr>
        <w:spacing w:after="0" w:line="240" w:lineRule="auto"/>
        <w:jc w:val="center"/>
        <w:rPr>
          <w:rFonts w:ascii="Times New Roman" w:eastAsia="Times New Roman" w:hAnsi="Times New Roman" w:cs="Times New Roman"/>
          <w:color w:val="000000" w:themeColor="text1"/>
          <w:kern w:val="0"/>
          <w:sz w:val="28"/>
          <w:szCs w:val="28"/>
          <w:lang w:val="uk-UA" w:eastAsia="uk-UA"/>
          <w14:ligatures w14:val="none"/>
        </w:rPr>
      </w:pPr>
    </w:p>
    <w:p w14:paraId="3CC0F359"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Отже, у таблиці 2.18 наведено аналіз стану та ефективності використання основних засобів ПАТ </w:t>
      </w:r>
      <w:r w:rsidR="00370C30">
        <w:rPr>
          <w:rFonts w:ascii="Times New Roman" w:eastAsia="Times New Roman" w:hAnsi="Times New Roman" w:cs="Times New Roman"/>
          <w:color w:val="000000" w:themeColor="text1"/>
          <w:kern w:val="0"/>
          <w:sz w:val="28"/>
          <w:szCs w:val="28"/>
          <w:lang w:val="uk-UA" w:eastAsia="uk-UA"/>
          <w14:ligatures w14:val="none"/>
        </w:rPr>
        <w:t>«АМКР»</w:t>
      </w:r>
      <w:r w:rsidRPr="00042924">
        <w:rPr>
          <w:rFonts w:ascii="Times New Roman" w:eastAsia="Times New Roman" w:hAnsi="Times New Roman" w:cs="Times New Roman"/>
          <w:color w:val="000000" w:themeColor="text1"/>
          <w:kern w:val="0"/>
          <w:sz w:val="28"/>
          <w:szCs w:val="28"/>
          <w:lang w:val="uk-UA" w:eastAsia="uk-UA"/>
          <w14:ligatures w14:val="none"/>
        </w:rPr>
        <w:t>. За даними таблиці можна побачити, що у 2022 році порівняно з попередніми роками відбулося зниження більшості показників ефективності використання основних засобів.</w:t>
      </w:r>
    </w:p>
    <w:p w14:paraId="514466B0"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Зокрема, фондовіддача знизилася з 2,1 у 2021 році до 1,24 у 2022 році. Це свідчить про зниження ефективності використання основних засобів, оскільки обсяг випуску продукції на 1 гривню вартості основних засобів зменшився. Також значно знизилася фондоозброєність праці - з 2797,29 тис. грн/чол. у 2021 році до 2059,76 тис. грн/чол у 2022 році. Це означає, що забезпеченість працівників засобами праці погіршилася.</w:t>
      </w:r>
    </w:p>
    <w:p w14:paraId="4824411C"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Крім того, частка зносу основних засобів у їх первісній вартості у 2022 році склала 84,86%, що є досить високим показником. Відповідно, коефіцієнт придатності основних засобів знизився до 15,14%. Такі дані свідчать про зношеність основних засобів та необхідність їх оновлення. Проте коефіцієнт оновлення основних засобів у 2022 році становив лише 2,38%, що є недостатнім.</w:t>
      </w:r>
    </w:p>
    <w:p w14:paraId="31E29A7A" w14:textId="77777777" w:rsidR="006E791D"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Отже, за даними таблиці можна зробити висновок, що у 2022 році спостерігалося істотне погіршення показників ефективності використання та стану основних засобів підприємства, що вимагає вжиття заходів для поліпшення ситуації.</w:t>
      </w:r>
    </w:p>
    <w:p w14:paraId="5D4D02D9" w14:textId="77777777" w:rsidR="005D4A60" w:rsidRPr="006E791D" w:rsidRDefault="005D4A60"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Далі, для більш глибокого зрозуміння динаміки та впливу цих змін на фінансову стійкість підприємства, ми розглянемо показники в </w:t>
      </w:r>
      <w:r w:rsidR="00C8073C" w:rsidRPr="00042924">
        <w:rPr>
          <w:rFonts w:ascii="Times New Roman" w:eastAsia="Times New Roman" w:hAnsi="Times New Roman" w:cs="Times New Roman"/>
          <w:color w:val="000000" w:themeColor="text1"/>
          <w:kern w:val="0"/>
          <w:sz w:val="28"/>
          <w:szCs w:val="28"/>
          <w:lang w:val="uk-UA" w:eastAsia="uk-UA"/>
          <w14:ligatures w14:val="none"/>
        </w:rPr>
        <w:t>т</w:t>
      </w:r>
      <w:r w:rsidRPr="00042924">
        <w:rPr>
          <w:rFonts w:ascii="Times New Roman" w:eastAsia="Times New Roman" w:hAnsi="Times New Roman" w:cs="Times New Roman"/>
          <w:color w:val="000000" w:themeColor="text1"/>
          <w:kern w:val="0"/>
          <w:sz w:val="28"/>
          <w:szCs w:val="28"/>
          <w:lang w:val="uk-UA" w:eastAsia="uk-UA"/>
          <w14:ligatures w14:val="none"/>
        </w:rPr>
        <w:t>аблиці 2.19.</w:t>
      </w:r>
    </w:p>
    <w:p w14:paraId="6E733870" w14:textId="77777777" w:rsidR="00AF7F5D" w:rsidRPr="00042924" w:rsidRDefault="00AF7F5D" w:rsidP="00167928">
      <w:pPr>
        <w:spacing w:after="0" w:line="240" w:lineRule="auto"/>
        <w:jc w:val="both"/>
        <w:rPr>
          <w:rFonts w:ascii="Times New Roman" w:eastAsia="Times New Roman" w:hAnsi="Times New Roman" w:cs="Times New Roman"/>
          <w:color w:val="000000" w:themeColor="text1"/>
          <w:kern w:val="0"/>
          <w:sz w:val="28"/>
          <w:szCs w:val="28"/>
          <w:lang w:val="uk-UA" w:eastAsia="uk-UA"/>
          <w14:ligatures w14:val="none"/>
        </w:rPr>
      </w:pPr>
    </w:p>
    <w:p w14:paraId="55491952" w14:textId="77777777" w:rsidR="008C346E" w:rsidRPr="00042924" w:rsidRDefault="00AF7F5D" w:rsidP="008C346E">
      <w:pPr>
        <w:spacing w:after="0" w:line="240" w:lineRule="auto"/>
        <w:ind w:firstLine="709"/>
        <w:jc w:val="both"/>
        <w:rPr>
          <w:rFonts w:ascii="Times New Roman" w:hAnsi="Times New Roman" w:cs="Times New Roman"/>
          <w:spacing w:val="-1"/>
          <w:sz w:val="28"/>
          <w:szCs w:val="36"/>
          <w:lang w:val="uk-UA" w:eastAsia="uk-UA"/>
        </w:rPr>
      </w:pPr>
      <w:r w:rsidRPr="00042924">
        <w:rPr>
          <w:rFonts w:ascii="Times New Roman" w:eastAsia="Times New Roman" w:hAnsi="Times New Roman" w:cs="Times New Roman"/>
          <w:color w:val="000000" w:themeColor="text1"/>
          <w:kern w:val="0"/>
          <w:sz w:val="28"/>
          <w:szCs w:val="28"/>
          <w:lang w:val="uk-UA" w:eastAsia="uk-UA"/>
          <w14:ligatures w14:val="none"/>
        </w:rPr>
        <w:t>Таблиця 2.</w:t>
      </w:r>
      <w:r w:rsidR="005F3999" w:rsidRPr="00042924">
        <w:rPr>
          <w:rFonts w:ascii="Times New Roman" w:eastAsia="Times New Roman" w:hAnsi="Times New Roman" w:cs="Times New Roman"/>
          <w:color w:val="000000" w:themeColor="text1"/>
          <w:kern w:val="0"/>
          <w:sz w:val="28"/>
          <w:szCs w:val="28"/>
          <w:lang w:val="uk-UA" w:eastAsia="uk-UA"/>
          <w14:ligatures w14:val="none"/>
        </w:rPr>
        <w:t>19</w:t>
      </w:r>
      <w:r w:rsidRPr="00042924">
        <w:rPr>
          <w:rFonts w:ascii="Times New Roman" w:eastAsia="Times New Roman" w:hAnsi="Times New Roman" w:cs="Times New Roman"/>
          <w:color w:val="000000" w:themeColor="text1"/>
          <w:kern w:val="0"/>
          <w:sz w:val="28"/>
          <w:szCs w:val="28"/>
          <w:lang w:val="uk-UA" w:eastAsia="uk-UA"/>
          <w14:ligatures w14:val="none"/>
        </w:rPr>
        <w:t xml:space="preserve"> - </w:t>
      </w:r>
      <w:r w:rsidR="00D55387" w:rsidRPr="00042924">
        <w:rPr>
          <w:rFonts w:ascii="Times New Roman" w:eastAsia="Times New Roman" w:hAnsi="Times New Roman" w:cs="Times New Roman"/>
          <w:color w:val="000000" w:themeColor="text1"/>
          <w:kern w:val="0"/>
          <w:sz w:val="28"/>
          <w:szCs w:val="28"/>
          <w:lang w:val="uk-UA" w:eastAsia="uk-UA"/>
          <w14:ligatures w14:val="none"/>
        </w:rPr>
        <w:t>Динаміка показників фінансової стійкості</w:t>
      </w:r>
      <w:r w:rsidR="008C346E">
        <w:rPr>
          <w:rFonts w:ascii="Times New Roman" w:eastAsia="Times New Roman" w:hAnsi="Times New Roman" w:cs="Times New Roman"/>
          <w:color w:val="000000" w:themeColor="text1"/>
          <w:kern w:val="0"/>
          <w:sz w:val="28"/>
          <w:szCs w:val="28"/>
          <w:lang w:val="uk-UA" w:eastAsia="uk-UA"/>
          <w14:ligatures w14:val="none"/>
        </w:rPr>
        <w:t xml:space="preserve"> </w:t>
      </w:r>
      <w:r w:rsidR="008C346E" w:rsidRPr="00042924">
        <w:rPr>
          <w:rFonts w:ascii="Times New Roman" w:hAnsi="Times New Roman" w:cs="Times New Roman"/>
          <w:spacing w:val="-1"/>
          <w:sz w:val="28"/>
          <w:szCs w:val="36"/>
          <w:lang w:val="uk-UA" w:eastAsia="uk-UA"/>
        </w:rPr>
        <w:t>ПАТ «АМКР</w:t>
      </w:r>
      <w:r w:rsidR="008C346E">
        <w:rPr>
          <w:rFonts w:ascii="Times New Roman" w:hAnsi="Times New Roman" w:cs="Times New Roman"/>
          <w:spacing w:val="-1"/>
          <w:sz w:val="28"/>
          <w:szCs w:val="36"/>
          <w:lang w:val="uk-UA" w:eastAsia="uk-UA"/>
        </w:rPr>
        <w:t>»</w:t>
      </w:r>
    </w:p>
    <w:tbl>
      <w:tblPr>
        <w:tblStyle w:val="a6"/>
        <w:tblW w:w="5000" w:type="pct"/>
        <w:jc w:val="center"/>
        <w:tblCellMar>
          <w:top w:w="28" w:type="dxa"/>
          <w:left w:w="28" w:type="dxa"/>
          <w:bottom w:w="28" w:type="dxa"/>
          <w:right w:w="28" w:type="dxa"/>
        </w:tblCellMar>
        <w:tblLook w:val="04A0" w:firstRow="1" w:lastRow="0" w:firstColumn="1" w:lastColumn="0" w:noHBand="0" w:noVBand="1"/>
      </w:tblPr>
      <w:tblGrid>
        <w:gridCol w:w="356"/>
        <w:gridCol w:w="4884"/>
        <w:gridCol w:w="1168"/>
        <w:gridCol w:w="1168"/>
        <w:gridCol w:w="1169"/>
        <w:gridCol w:w="1166"/>
      </w:tblGrid>
      <w:tr w:rsidR="0049134E" w:rsidRPr="00042924" w14:paraId="1EA4F534" w14:textId="77777777" w:rsidTr="00F01276">
        <w:trPr>
          <w:trHeight w:val="144"/>
          <w:jc w:val="center"/>
        </w:trPr>
        <w:tc>
          <w:tcPr>
            <w:tcW w:w="180" w:type="pct"/>
            <w:vMerge w:val="restart"/>
            <w:vAlign w:val="center"/>
          </w:tcPr>
          <w:p w14:paraId="705D49B6" w14:textId="77777777" w:rsidR="0049134E" w:rsidRPr="00042924"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w:t>
            </w:r>
          </w:p>
        </w:tc>
        <w:tc>
          <w:tcPr>
            <w:tcW w:w="2464" w:type="pct"/>
            <w:vMerge w:val="restart"/>
            <w:vAlign w:val="center"/>
            <w:hideMark/>
          </w:tcPr>
          <w:p w14:paraId="45E1ACAC" w14:textId="77777777" w:rsidR="0049134E" w:rsidRPr="00CF6EBA"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Показник</w:t>
            </w:r>
          </w:p>
        </w:tc>
        <w:tc>
          <w:tcPr>
            <w:tcW w:w="1768" w:type="pct"/>
            <w:gridSpan w:val="3"/>
            <w:vAlign w:val="center"/>
          </w:tcPr>
          <w:p w14:paraId="7DAA2F80" w14:textId="77777777" w:rsidR="0049134E" w:rsidRPr="00CF6EBA"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Рік</w:t>
            </w:r>
          </w:p>
        </w:tc>
        <w:tc>
          <w:tcPr>
            <w:tcW w:w="588" w:type="pct"/>
            <w:vAlign w:val="center"/>
          </w:tcPr>
          <w:p w14:paraId="04ED4CB9" w14:textId="77777777" w:rsidR="0049134E" w:rsidRPr="00CF6EBA" w:rsidRDefault="0049134E" w:rsidP="00D151BA">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Абсолютн</w:t>
            </w:r>
            <w:r w:rsidRPr="00042924">
              <w:rPr>
                <w:rFonts w:ascii="Times New Roman" w:eastAsia="Times New Roman" w:hAnsi="Times New Roman" w:cs="Times New Roman"/>
                <w:color w:val="000000" w:themeColor="text1"/>
                <w:sz w:val="20"/>
                <w:szCs w:val="20"/>
                <w:lang w:val="uk-UA" w:eastAsia="uk-UA"/>
                <w14:ligatures w14:val="none"/>
              </w:rPr>
              <w:t xml:space="preserve">е </w:t>
            </w:r>
            <w:r w:rsidRPr="00DE6126">
              <w:rPr>
                <w:rFonts w:ascii="Times New Roman" w:eastAsia="Times New Roman" w:hAnsi="Times New Roman" w:cs="Times New Roman"/>
                <w:color w:val="000000" w:themeColor="text1"/>
                <w:sz w:val="20"/>
                <w:szCs w:val="20"/>
                <w:lang w:val="uk-UA" w:eastAsia="uk-UA"/>
                <w14:ligatures w14:val="none"/>
              </w:rPr>
              <w:t>відхилення</w:t>
            </w:r>
          </w:p>
        </w:tc>
      </w:tr>
      <w:tr w:rsidR="0049134E" w:rsidRPr="00042924" w14:paraId="6DBC44C1" w14:textId="77777777" w:rsidTr="00F01276">
        <w:trPr>
          <w:trHeight w:val="144"/>
          <w:jc w:val="center"/>
        </w:trPr>
        <w:tc>
          <w:tcPr>
            <w:tcW w:w="180" w:type="pct"/>
            <w:vMerge/>
            <w:vAlign w:val="center"/>
          </w:tcPr>
          <w:p w14:paraId="395F94DF" w14:textId="77777777" w:rsidR="0049134E" w:rsidRPr="00042924" w:rsidRDefault="0049134E" w:rsidP="0049134E">
            <w:pPr>
              <w:jc w:val="center"/>
              <w:rPr>
                <w:rFonts w:ascii="Times New Roman" w:hAnsi="Times New Roman" w:cs="Times New Roman"/>
                <w:sz w:val="20"/>
                <w:szCs w:val="20"/>
                <w:lang w:val="uk-UA"/>
              </w:rPr>
            </w:pPr>
          </w:p>
        </w:tc>
        <w:tc>
          <w:tcPr>
            <w:tcW w:w="2464" w:type="pct"/>
            <w:vMerge/>
            <w:vAlign w:val="center"/>
          </w:tcPr>
          <w:p w14:paraId="22DF05B5" w14:textId="77777777" w:rsidR="0049134E" w:rsidRPr="00CF6EBA"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p>
        </w:tc>
        <w:tc>
          <w:tcPr>
            <w:tcW w:w="589" w:type="pct"/>
            <w:vAlign w:val="center"/>
          </w:tcPr>
          <w:p w14:paraId="60EAAA4C" w14:textId="77777777" w:rsidR="0049134E" w:rsidRPr="00CF6EBA"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2020</w:t>
            </w:r>
          </w:p>
        </w:tc>
        <w:tc>
          <w:tcPr>
            <w:tcW w:w="589" w:type="pct"/>
            <w:vAlign w:val="center"/>
          </w:tcPr>
          <w:p w14:paraId="259412A2" w14:textId="77777777" w:rsidR="0049134E" w:rsidRPr="00CF6EBA"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2021</w:t>
            </w:r>
          </w:p>
        </w:tc>
        <w:tc>
          <w:tcPr>
            <w:tcW w:w="590" w:type="pct"/>
            <w:vAlign w:val="center"/>
          </w:tcPr>
          <w:p w14:paraId="3C9B8F58" w14:textId="77777777" w:rsidR="0049134E" w:rsidRPr="00CF6EBA"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2022</w:t>
            </w:r>
          </w:p>
        </w:tc>
        <w:tc>
          <w:tcPr>
            <w:tcW w:w="588" w:type="pct"/>
            <w:vAlign w:val="center"/>
          </w:tcPr>
          <w:p w14:paraId="36D6E92D" w14:textId="77777777" w:rsidR="0049134E" w:rsidRPr="00CF6EBA" w:rsidRDefault="0049134E" w:rsidP="0049134E">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2022 / 202</w:t>
            </w:r>
            <w:r>
              <w:rPr>
                <w:rFonts w:ascii="Times New Roman" w:eastAsia="Times New Roman" w:hAnsi="Times New Roman" w:cs="Times New Roman"/>
                <w:color w:val="000000" w:themeColor="text1"/>
                <w:sz w:val="20"/>
                <w:szCs w:val="20"/>
                <w:lang w:val="uk-UA" w:eastAsia="uk-UA"/>
                <w14:ligatures w14:val="none"/>
              </w:rPr>
              <w:t>0</w:t>
            </w:r>
          </w:p>
        </w:tc>
      </w:tr>
      <w:tr w:rsidR="004D1ED8" w:rsidRPr="00042924" w14:paraId="1ED87E7C" w14:textId="77777777" w:rsidTr="004D1ED8">
        <w:trPr>
          <w:trHeight w:val="227"/>
          <w:jc w:val="center"/>
        </w:trPr>
        <w:tc>
          <w:tcPr>
            <w:tcW w:w="180" w:type="pct"/>
            <w:vAlign w:val="center"/>
          </w:tcPr>
          <w:p w14:paraId="6AA67F0C" w14:textId="77777777" w:rsidR="004D1ED8" w:rsidRPr="00042924" w:rsidRDefault="004D1ED8" w:rsidP="004D1ED8">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464" w:type="pct"/>
            <w:vAlign w:val="center"/>
          </w:tcPr>
          <w:p w14:paraId="1064CE99" w14:textId="77777777" w:rsidR="004D1ED8" w:rsidRPr="006E791D" w:rsidRDefault="004D1ED8" w:rsidP="004D1ED8">
            <w:pPr>
              <w:ind w:left="57"/>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2</w:t>
            </w:r>
          </w:p>
        </w:tc>
        <w:tc>
          <w:tcPr>
            <w:tcW w:w="589" w:type="pct"/>
            <w:vAlign w:val="center"/>
          </w:tcPr>
          <w:p w14:paraId="065671E4" w14:textId="77777777" w:rsidR="004D1ED8" w:rsidRPr="006E791D" w:rsidRDefault="004D1ED8" w:rsidP="004D1ED8">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3</w:t>
            </w:r>
          </w:p>
        </w:tc>
        <w:tc>
          <w:tcPr>
            <w:tcW w:w="589" w:type="pct"/>
            <w:vAlign w:val="center"/>
          </w:tcPr>
          <w:p w14:paraId="3D5BF50C" w14:textId="77777777" w:rsidR="004D1ED8" w:rsidRPr="006E791D" w:rsidRDefault="004D1ED8" w:rsidP="004D1ED8">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4</w:t>
            </w:r>
          </w:p>
        </w:tc>
        <w:tc>
          <w:tcPr>
            <w:tcW w:w="590" w:type="pct"/>
            <w:vAlign w:val="center"/>
          </w:tcPr>
          <w:p w14:paraId="0BD49033" w14:textId="77777777" w:rsidR="004D1ED8" w:rsidRPr="006E791D" w:rsidRDefault="004D1ED8" w:rsidP="004D1ED8">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5</w:t>
            </w:r>
          </w:p>
        </w:tc>
        <w:tc>
          <w:tcPr>
            <w:tcW w:w="588" w:type="pct"/>
            <w:vAlign w:val="center"/>
          </w:tcPr>
          <w:p w14:paraId="74ACA8E6" w14:textId="77777777" w:rsidR="004D1ED8" w:rsidRPr="004D1ED8" w:rsidRDefault="004D1ED8" w:rsidP="004D1ED8">
            <w:pPr>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C56B3B" w:rsidRPr="00042924" w14:paraId="2B8039AD" w14:textId="77777777" w:rsidTr="00F01276">
        <w:trPr>
          <w:trHeight w:val="283"/>
          <w:jc w:val="center"/>
        </w:trPr>
        <w:tc>
          <w:tcPr>
            <w:tcW w:w="180" w:type="pct"/>
            <w:vAlign w:val="center"/>
          </w:tcPr>
          <w:p w14:paraId="7279297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1</w:t>
            </w:r>
          </w:p>
        </w:tc>
        <w:tc>
          <w:tcPr>
            <w:tcW w:w="2464" w:type="pct"/>
            <w:vAlign w:val="center"/>
          </w:tcPr>
          <w:p w14:paraId="2D39CDCC"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Власний капітал, млн грн</w:t>
            </w:r>
          </w:p>
        </w:tc>
        <w:tc>
          <w:tcPr>
            <w:tcW w:w="589" w:type="pct"/>
            <w:vAlign w:val="center"/>
          </w:tcPr>
          <w:p w14:paraId="1D98CAE0"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60 879</w:t>
            </w:r>
          </w:p>
        </w:tc>
        <w:tc>
          <w:tcPr>
            <w:tcW w:w="589" w:type="pct"/>
            <w:vAlign w:val="center"/>
          </w:tcPr>
          <w:p w14:paraId="09ABBCF5"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76 552</w:t>
            </w:r>
          </w:p>
        </w:tc>
        <w:tc>
          <w:tcPr>
            <w:tcW w:w="590" w:type="pct"/>
            <w:vAlign w:val="center"/>
          </w:tcPr>
          <w:p w14:paraId="1C7CC4B8"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28 213</w:t>
            </w:r>
          </w:p>
        </w:tc>
        <w:tc>
          <w:tcPr>
            <w:tcW w:w="588" w:type="pct"/>
            <w:vAlign w:val="center"/>
          </w:tcPr>
          <w:p w14:paraId="799385C8" w14:textId="77777777" w:rsidR="00C56B3B" w:rsidRPr="00C56B3B"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C56B3B">
              <w:rPr>
                <w:rFonts w:ascii="Times New Roman" w:hAnsi="Times New Roman" w:cs="Times New Roman"/>
                <w:sz w:val="20"/>
                <w:szCs w:val="20"/>
              </w:rPr>
              <w:t>-32 666</w:t>
            </w:r>
          </w:p>
        </w:tc>
      </w:tr>
      <w:tr w:rsidR="004D1ED8" w:rsidRPr="00042924" w14:paraId="0FD37E19" w14:textId="77777777" w:rsidTr="002200FB">
        <w:trPr>
          <w:trHeight w:val="283"/>
          <w:jc w:val="center"/>
        </w:trPr>
        <w:tc>
          <w:tcPr>
            <w:tcW w:w="5000" w:type="pct"/>
            <w:gridSpan w:val="6"/>
            <w:tcBorders>
              <w:top w:val="nil"/>
              <w:left w:val="nil"/>
              <w:right w:val="nil"/>
            </w:tcBorders>
          </w:tcPr>
          <w:p w14:paraId="71316A9A" w14:textId="77777777" w:rsidR="004D1ED8" w:rsidRPr="00024A9C" w:rsidRDefault="004D1ED8" w:rsidP="00936BB2">
            <w:pPr>
              <w:ind w:firstLine="284"/>
              <w:jc w:val="right"/>
              <w:rPr>
                <w:rFonts w:ascii="Times New Roman" w:hAnsi="Times New Roman" w:cs="Times New Roman"/>
                <w:sz w:val="28"/>
                <w:szCs w:val="28"/>
                <w:lang w:val="uk-UA"/>
              </w:rPr>
            </w:pPr>
            <w:r w:rsidRPr="00024A9C">
              <w:rPr>
                <w:rFonts w:ascii="Times New Roman" w:hAnsi="Times New Roman" w:cs="Times New Roman"/>
                <w:sz w:val="28"/>
                <w:szCs w:val="28"/>
                <w:lang w:val="uk-UA"/>
              </w:rPr>
              <w:lastRenderedPageBreak/>
              <w:t xml:space="preserve">Продовження таблиці </w:t>
            </w:r>
            <w:r w:rsidR="002200FB" w:rsidRPr="00024A9C">
              <w:rPr>
                <w:rFonts w:ascii="Times New Roman" w:hAnsi="Times New Roman" w:cs="Times New Roman"/>
                <w:sz w:val="28"/>
                <w:szCs w:val="28"/>
                <w:lang w:val="uk-UA"/>
              </w:rPr>
              <w:t>2.19</w:t>
            </w:r>
          </w:p>
        </w:tc>
      </w:tr>
      <w:tr w:rsidR="004D1ED8" w:rsidRPr="00042924" w14:paraId="756F34B7" w14:textId="77777777" w:rsidTr="00DA02C3">
        <w:trPr>
          <w:trHeight w:val="283"/>
          <w:jc w:val="center"/>
        </w:trPr>
        <w:tc>
          <w:tcPr>
            <w:tcW w:w="180" w:type="pct"/>
            <w:vAlign w:val="center"/>
          </w:tcPr>
          <w:p w14:paraId="3F994B24" w14:textId="77777777" w:rsidR="004D1ED8" w:rsidRPr="00042924" w:rsidRDefault="004D1ED8" w:rsidP="00DA02C3">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464" w:type="pct"/>
            <w:vAlign w:val="center"/>
          </w:tcPr>
          <w:p w14:paraId="76E4778C" w14:textId="77777777" w:rsidR="004D1ED8" w:rsidRPr="006E791D" w:rsidRDefault="004D1ED8" w:rsidP="00DA02C3">
            <w:pPr>
              <w:ind w:left="57"/>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2</w:t>
            </w:r>
          </w:p>
        </w:tc>
        <w:tc>
          <w:tcPr>
            <w:tcW w:w="589" w:type="pct"/>
            <w:vAlign w:val="center"/>
          </w:tcPr>
          <w:p w14:paraId="35CB1D09" w14:textId="77777777" w:rsidR="004D1ED8" w:rsidRPr="006E791D" w:rsidRDefault="004D1ED8" w:rsidP="00DA02C3">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3</w:t>
            </w:r>
          </w:p>
        </w:tc>
        <w:tc>
          <w:tcPr>
            <w:tcW w:w="589" w:type="pct"/>
            <w:vAlign w:val="center"/>
          </w:tcPr>
          <w:p w14:paraId="4C25C0C1" w14:textId="77777777" w:rsidR="004D1ED8" w:rsidRPr="006E791D" w:rsidRDefault="004D1ED8" w:rsidP="00DA02C3">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4</w:t>
            </w:r>
          </w:p>
        </w:tc>
        <w:tc>
          <w:tcPr>
            <w:tcW w:w="590" w:type="pct"/>
            <w:vAlign w:val="center"/>
          </w:tcPr>
          <w:p w14:paraId="5F6087D3" w14:textId="77777777" w:rsidR="004D1ED8" w:rsidRPr="006E791D" w:rsidRDefault="004D1ED8" w:rsidP="00DA02C3">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5</w:t>
            </w:r>
          </w:p>
        </w:tc>
        <w:tc>
          <w:tcPr>
            <w:tcW w:w="588" w:type="pct"/>
            <w:vAlign w:val="center"/>
          </w:tcPr>
          <w:p w14:paraId="15479015" w14:textId="77777777" w:rsidR="004D1ED8" w:rsidRPr="004D1ED8" w:rsidRDefault="004D1ED8" w:rsidP="00DA02C3">
            <w:pPr>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C56B3B" w:rsidRPr="00042924" w14:paraId="6521D79B" w14:textId="77777777" w:rsidTr="00F01276">
        <w:trPr>
          <w:trHeight w:val="283"/>
          <w:jc w:val="center"/>
        </w:trPr>
        <w:tc>
          <w:tcPr>
            <w:tcW w:w="180" w:type="pct"/>
            <w:vAlign w:val="center"/>
          </w:tcPr>
          <w:p w14:paraId="46464E6F"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2</w:t>
            </w:r>
          </w:p>
        </w:tc>
        <w:tc>
          <w:tcPr>
            <w:tcW w:w="2464" w:type="pct"/>
            <w:vAlign w:val="center"/>
          </w:tcPr>
          <w:p w14:paraId="123BDF34"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Позиковий капітал, млн грн</w:t>
            </w:r>
          </w:p>
        </w:tc>
        <w:tc>
          <w:tcPr>
            <w:tcW w:w="589" w:type="pct"/>
            <w:vAlign w:val="center"/>
          </w:tcPr>
          <w:p w14:paraId="1DEE906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26 765</w:t>
            </w:r>
          </w:p>
        </w:tc>
        <w:tc>
          <w:tcPr>
            <w:tcW w:w="589" w:type="pct"/>
            <w:vAlign w:val="center"/>
          </w:tcPr>
          <w:p w14:paraId="64278AD3"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29 249</w:t>
            </w:r>
          </w:p>
        </w:tc>
        <w:tc>
          <w:tcPr>
            <w:tcW w:w="590" w:type="pct"/>
            <w:vAlign w:val="center"/>
          </w:tcPr>
          <w:p w14:paraId="5C05A9B3"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6E791D">
              <w:rPr>
                <w:rFonts w:ascii="Times New Roman" w:eastAsia="Times New Roman" w:hAnsi="Times New Roman" w:cs="Times New Roman"/>
                <w:color w:val="000000" w:themeColor="text1"/>
                <w:kern w:val="0"/>
                <w:sz w:val="20"/>
                <w:szCs w:val="20"/>
                <w:lang w:val="uk-UA" w:eastAsia="uk-UA"/>
                <w14:ligatures w14:val="none"/>
              </w:rPr>
              <w:t>24 470</w:t>
            </w:r>
          </w:p>
        </w:tc>
        <w:tc>
          <w:tcPr>
            <w:tcW w:w="588" w:type="pct"/>
            <w:vAlign w:val="center"/>
          </w:tcPr>
          <w:p w14:paraId="604C2B31" w14:textId="77777777" w:rsidR="00C56B3B" w:rsidRPr="00C56B3B"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C56B3B">
              <w:rPr>
                <w:rFonts w:ascii="Times New Roman" w:hAnsi="Times New Roman" w:cs="Times New Roman"/>
                <w:sz w:val="20"/>
                <w:szCs w:val="20"/>
              </w:rPr>
              <w:t>-2 295</w:t>
            </w:r>
          </w:p>
        </w:tc>
      </w:tr>
      <w:tr w:rsidR="00C56B3B" w:rsidRPr="00042924" w14:paraId="6FCD9893" w14:textId="77777777" w:rsidTr="00F01276">
        <w:trPr>
          <w:trHeight w:val="283"/>
          <w:jc w:val="center"/>
        </w:trPr>
        <w:tc>
          <w:tcPr>
            <w:tcW w:w="180" w:type="pct"/>
            <w:vAlign w:val="center"/>
          </w:tcPr>
          <w:p w14:paraId="5E594939"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3</w:t>
            </w:r>
          </w:p>
        </w:tc>
        <w:tc>
          <w:tcPr>
            <w:tcW w:w="2464" w:type="pct"/>
            <w:vAlign w:val="center"/>
          </w:tcPr>
          <w:p w14:paraId="225AE979"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 xml:space="preserve">Власні обігові кошти, </w:t>
            </w:r>
            <w:r w:rsidRPr="00042924">
              <w:rPr>
                <w:rFonts w:ascii="Times New Roman" w:eastAsia="Times New Roman" w:hAnsi="Times New Roman" w:cs="Times New Roman"/>
                <w:color w:val="000000" w:themeColor="text1"/>
                <w:sz w:val="20"/>
                <w:szCs w:val="20"/>
                <w:lang w:val="uk-UA" w:eastAsia="uk-UA"/>
                <w14:ligatures w14:val="none"/>
              </w:rPr>
              <w:t>млн</w:t>
            </w:r>
            <w:r w:rsidRPr="00DE6126">
              <w:rPr>
                <w:rFonts w:ascii="Times New Roman" w:eastAsia="Times New Roman" w:hAnsi="Times New Roman" w:cs="Times New Roman"/>
                <w:color w:val="000000" w:themeColor="text1"/>
                <w:sz w:val="20"/>
                <w:szCs w:val="20"/>
                <w:lang w:val="uk-UA" w:eastAsia="uk-UA"/>
                <w14:ligatures w14:val="none"/>
              </w:rPr>
              <w:t>. грн.</w:t>
            </w:r>
          </w:p>
        </w:tc>
        <w:tc>
          <w:tcPr>
            <w:tcW w:w="589" w:type="pct"/>
            <w:vAlign w:val="center"/>
          </w:tcPr>
          <w:p w14:paraId="14BB91AA"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2 57</w:t>
            </w:r>
            <w:r w:rsidRPr="00042924">
              <w:rPr>
                <w:rFonts w:ascii="Times New Roman" w:eastAsia="Times New Roman" w:hAnsi="Times New Roman" w:cs="Times New Roman"/>
                <w:color w:val="000000" w:themeColor="text1"/>
                <w:sz w:val="20"/>
                <w:szCs w:val="20"/>
                <w:lang w:val="uk-UA" w:eastAsia="uk-UA"/>
                <w14:ligatures w14:val="none"/>
              </w:rPr>
              <w:t>6</w:t>
            </w:r>
          </w:p>
        </w:tc>
        <w:tc>
          <w:tcPr>
            <w:tcW w:w="589" w:type="pct"/>
            <w:vAlign w:val="center"/>
          </w:tcPr>
          <w:p w14:paraId="7ACFDDE7"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16 36</w:t>
            </w:r>
            <w:r w:rsidRPr="00042924">
              <w:rPr>
                <w:rFonts w:ascii="Times New Roman" w:eastAsia="Times New Roman" w:hAnsi="Times New Roman" w:cs="Times New Roman"/>
                <w:color w:val="000000" w:themeColor="text1"/>
                <w:sz w:val="20"/>
                <w:szCs w:val="20"/>
                <w:lang w:val="uk-UA" w:eastAsia="uk-UA"/>
                <w14:ligatures w14:val="none"/>
              </w:rPr>
              <w:t>5</w:t>
            </w:r>
          </w:p>
        </w:tc>
        <w:tc>
          <w:tcPr>
            <w:tcW w:w="590" w:type="pct"/>
            <w:vAlign w:val="center"/>
          </w:tcPr>
          <w:p w14:paraId="1380DB23"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5 23</w:t>
            </w:r>
            <w:r w:rsidRPr="00042924">
              <w:rPr>
                <w:rFonts w:ascii="Times New Roman" w:eastAsia="Times New Roman" w:hAnsi="Times New Roman" w:cs="Times New Roman"/>
                <w:color w:val="000000" w:themeColor="text1"/>
                <w:sz w:val="20"/>
                <w:szCs w:val="20"/>
                <w:lang w:val="uk-UA" w:eastAsia="uk-UA"/>
                <w14:ligatures w14:val="none"/>
              </w:rPr>
              <w:t>4</w:t>
            </w:r>
          </w:p>
        </w:tc>
        <w:tc>
          <w:tcPr>
            <w:tcW w:w="588" w:type="pct"/>
            <w:vAlign w:val="center"/>
          </w:tcPr>
          <w:p w14:paraId="516376B3"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2 658</w:t>
            </w:r>
          </w:p>
        </w:tc>
      </w:tr>
      <w:tr w:rsidR="00C56B3B" w:rsidRPr="00042924" w14:paraId="6141F373" w14:textId="77777777" w:rsidTr="00F01276">
        <w:trPr>
          <w:trHeight w:val="283"/>
          <w:jc w:val="center"/>
        </w:trPr>
        <w:tc>
          <w:tcPr>
            <w:tcW w:w="180" w:type="pct"/>
            <w:vAlign w:val="center"/>
          </w:tcPr>
          <w:p w14:paraId="3D6340A7"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4</w:t>
            </w:r>
          </w:p>
        </w:tc>
        <w:tc>
          <w:tcPr>
            <w:tcW w:w="2464" w:type="pct"/>
            <w:vAlign w:val="center"/>
          </w:tcPr>
          <w:p w14:paraId="23B42D3F"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забезпечення оборотних активів власними коштами</w:t>
            </w:r>
          </w:p>
        </w:tc>
        <w:tc>
          <w:tcPr>
            <w:tcW w:w="589" w:type="pct"/>
            <w:vAlign w:val="center"/>
          </w:tcPr>
          <w:p w14:paraId="523896EA"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0,09</w:t>
            </w:r>
          </w:p>
        </w:tc>
        <w:tc>
          <w:tcPr>
            <w:tcW w:w="589" w:type="pct"/>
            <w:vAlign w:val="center"/>
          </w:tcPr>
          <w:p w14:paraId="60025E5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0,36</w:t>
            </w:r>
          </w:p>
        </w:tc>
        <w:tc>
          <w:tcPr>
            <w:tcW w:w="590" w:type="pct"/>
            <w:vAlign w:val="center"/>
          </w:tcPr>
          <w:p w14:paraId="55EAB09C"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0,18</w:t>
            </w:r>
          </w:p>
        </w:tc>
        <w:tc>
          <w:tcPr>
            <w:tcW w:w="588" w:type="pct"/>
            <w:vAlign w:val="center"/>
          </w:tcPr>
          <w:p w14:paraId="27862B90"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0,090</w:t>
            </w:r>
          </w:p>
        </w:tc>
      </w:tr>
      <w:tr w:rsidR="00C56B3B" w:rsidRPr="00042924" w14:paraId="76E999FA" w14:textId="77777777" w:rsidTr="00F01276">
        <w:trPr>
          <w:trHeight w:val="283"/>
          <w:jc w:val="center"/>
        </w:trPr>
        <w:tc>
          <w:tcPr>
            <w:tcW w:w="180" w:type="pct"/>
            <w:vAlign w:val="center"/>
          </w:tcPr>
          <w:p w14:paraId="3A256F33"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5</w:t>
            </w:r>
          </w:p>
        </w:tc>
        <w:tc>
          <w:tcPr>
            <w:tcW w:w="2464" w:type="pct"/>
            <w:vAlign w:val="center"/>
          </w:tcPr>
          <w:p w14:paraId="4927CAFF" w14:textId="77777777" w:rsidR="00C56B3B" w:rsidRPr="00CF6EBA"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Маневреність власних оборотних коштів</w:t>
            </w:r>
          </w:p>
        </w:tc>
        <w:tc>
          <w:tcPr>
            <w:tcW w:w="589" w:type="pct"/>
            <w:vAlign w:val="center"/>
          </w:tcPr>
          <w:p w14:paraId="16A37FD1"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0,34</w:t>
            </w:r>
          </w:p>
        </w:tc>
        <w:tc>
          <w:tcPr>
            <w:tcW w:w="589" w:type="pct"/>
            <w:vAlign w:val="center"/>
          </w:tcPr>
          <w:p w14:paraId="196B2CFA"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0,08</w:t>
            </w:r>
          </w:p>
        </w:tc>
        <w:tc>
          <w:tcPr>
            <w:tcW w:w="590" w:type="pct"/>
            <w:vAlign w:val="center"/>
          </w:tcPr>
          <w:p w14:paraId="3FA92134"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0,18</w:t>
            </w:r>
          </w:p>
        </w:tc>
        <w:tc>
          <w:tcPr>
            <w:tcW w:w="588" w:type="pct"/>
            <w:vAlign w:val="center"/>
          </w:tcPr>
          <w:p w14:paraId="566B8C13"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-0,160</w:t>
            </w:r>
          </w:p>
        </w:tc>
      </w:tr>
      <w:tr w:rsidR="00C56B3B" w:rsidRPr="00042924" w14:paraId="0041FF09" w14:textId="77777777" w:rsidTr="00F01276">
        <w:trPr>
          <w:trHeight w:val="283"/>
          <w:jc w:val="center"/>
        </w:trPr>
        <w:tc>
          <w:tcPr>
            <w:tcW w:w="180" w:type="pct"/>
            <w:vAlign w:val="center"/>
          </w:tcPr>
          <w:p w14:paraId="7AC50D4B"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6</w:t>
            </w:r>
          </w:p>
        </w:tc>
        <w:tc>
          <w:tcPr>
            <w:tcW w:w="2464" w:type="pct"/>
            <w:vAlign w:val="center"/>
          </w:tcPr>
          <w:p w14:paraId="749BF1A6" w14:textId="77777777" w:rsidR="00C56B3B" w:rsidRPr="00CF6EBA"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забезпечення власними оборотними засобами запасів</w:t>
            </w:r>
          </w:p>
        </w:tc>
        <w:tc>
          <w:tcPr>
            <w:tcW w:w="589" w:type="pct"/>
            <w:vAlign w:val="center"/>
          </w:tcPr>
          <w:p w14:paraId="1D9273CE"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0,35</w:t>
            </w:r>
          </w:p>
        </w:tc>
        <w:tc>
          <w:tcPr>
            <w:tcW w:w="589" w:type="pct"/>
            <w:vAlign w:val="center"/>
          </w:tcPr>
          <w:p w14:paraId="16715B1D"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1,13</w:t>
            </w:r>
          </w:p>
        </w:tc>
        <w:tc>
          <w:tcPr>
            <w:tcW w:w="590" w:type="pct"/>
            <w:vAlign w:val="center"/>
          </w:tcPr>
          <w:p w14:paraId="15C120A2"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0,37</w:t>
            </w:r>
          </w:p>
        </w:tc>
        <w:tc>
          <w:tcPr>
            <w:tcW w:w="588" w:type="pct"/>
            <w:vAlign w:val="center"/>
          </w:tcPr>
          <w:p w14:paraId="2D0DAA10"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0,020</w:t>
            </w:r>
          </w:p>
        </w:tc>
      </w:tr>
      <w:tr w:rsidR="00C56B3B" w:rsidRPr="00042924" w14:paraId="05D9BBA6" w14:textId="77777777" w:rsidTr="00F01276">
        <w:trPr>
          <w:trHeight w:val="283"/>
          <w:jc w:val="center"/>
        </w:trPr>
        <w:tc>
          <w:tcPr>
            <w:tcW w:w="180" w:type="pct"/>
            <w:vAlign w:val="center"/>
          </w:tcPr>
          <w:p w14:paraId="7EE199DD"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7</w:t>
            </w:r>
          </w:p>
        </w:tc>
        <w:tc>
          <w:tcPr>
            <w:tcW w:w="2464" w:type="pct"/>
            <w:vAlign w:val="center"/>
          </w:tcPr>
          <w:p w14:paraId="2FD8A9D3" w14:textId="77777777" w:rsidR="00C56B3B" w:rsidRPr="00CF6EBA"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фінансової автономії</w:t>
            </w:r>
          </w:p>
        </w:tc>
        <w:tc>
          <w:tcPr>
            <w:tcW w:w="589" w:type="pct"/>
            <w:vAlign w:val="center"/>
          </w:tcPr>
          <w:p w14:paraId="25F7D327"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0,69</w:t>
            </w:r>
          </w:p>
        </w:tc>
        <w:tc>
          <w:tcPr>
            <w:tcW w:w="589" w:type="pct"/>
            <w:vAlign w:val="center"/>
          </w:tcPr>
          <w:p w14:paraId="2F6C4E4B"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0,72</w:t>
            </w:r>
          </w:p>
        </w:tc>
        <w:tc>
          <w:tcPr>
            <w:tcW w:w="590" w:type="pct"/>
            <w:vAlign w:val="center"/>
          </w:tcPr>
          <w:p w14:paraId="690465E4" w14:textId="77777777" w:rsidR="00C56B3B" w:rsidRPr="00CF6EBA"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0,54</w:t>
            </w:r>
          </w:p>
        </w:tc>
        <w:tc>
          <w:tcPr>
            <w:tcW w:w="588" w:type="pct"/>
            <w:vAlign w:val="center"/>
          </w:tcPr>
          <w:p w14:paraId="68C5C314"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-0,150</w:t>
            </w:r>
          </w:p>
        </w:tc>
      </w:tr>
      <w:tr w:rsidR="00C56B3B" w:rsidRPr="00042924" w14:paraId="785864AB" w14:textId="77777777" w:rsidTr="00F01276">
        <w:trPr>
          <w:trHeight w:val="283"/>
          <w:jc w:val="center"/>
        </w:trPr>
        <w:tc>
          <w:tcPr>
            <w:tcW w:w="180" w:type="pct"/>
            <w:vAlign w:val="center"/>
          </w:tcPr>
          <w:p w14:paraId="0D007991"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8</w:t>
            </w:r>
          </w:p>
        </w:tc>
        <w:tc>
          <w:tcPr>
            <w:tcW w:w="2464" w:type="pct"/>
            <w:vAlign w:val="center"/>
          </w:tcPr>
          <w:p w14:paraId="6644743C"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фінансової залежності</w:t>
            </w:r>
          </w:p>
        </w:tc>
        <w:tc>
          <w:tcPr>
            <w:tcW w:w="589" w:type="pct"/>
            <w:vAlign w:val="center"/>
          </w:tcPr>
          <w:p w14:paraId="6B2C035A"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1,45</w:t>
            </w:r>
          </w:p>
        </w:tc>
        <w:tc>
          <w:tcPr>
            <w:tcW w:w="589" w:type="pct"/>
            <w:vAlign w:val="center"/>
          </w:tcPr>
          <w:p w14:paraId="12898092"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1,38</w:t>
            </w:r>
          </w:p>
        </w:tc>
        <w:tc>
          <w:tcPr>
            <w:tcW w:w="590" w:type="pct"/>
            <w:vAlign w:val="center"/>
          </w:tcPr>
          <w:p w14:paraId="401611A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1,87</w:t>
            </w:r>
          </w:p>
        </w:tc>
        <w:tc>
          <w:tcPr>
            <w:tcW w:w="588" w:type="pct"/>
            <w:vAlign w:val="center"/>
          </w:tcPr>
          <w:p w14:paraId="29B0A28B"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0,420</w:t>
            </w:r>
          </w:p>
        </w:tc>
      </w:tr>
      <w:tr w:rsidR="00C56B3B" w:rsidRPr="00042924" w14:paraId="028DBC40" w14:textId="77777777" w:rsidTr="00F01276">
        <w:trPr>
          <w:trHeight w:val="283"/>
          <w:jc w:val="center"/>
        </w:trPr>
        <w:tc>
          <w:tcPr>
            <w:tcW w:w="180" w:type="pct"/>
            <w:vAlign w:val="center"/>
          </w:tcPr>
          <w:p w14:paraId="721ADA78"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9</w:t>
            </w:r>
          </w:p>
        </w:tc>
        <w:tc>
          <w:tcPr>
            <w:tcW w:w="2464" w:type="pct"/>
            <w:vAlign w:val="center"/>
          </w:tcPr>
          <w:p w14:paraId="0B3C3298"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фінансового левериджу</w:t>
            </w:r>
          </w:p>
        </w:tc>
        <w:tc>
          <w:tcPr>
            <w:tcW w:w="589" w:type="pct"/>
            <w:vAlign w:val="center"/>
          </w:tcPr>
          <w:p w14:paraId="1F6DB495"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0,45</w:t>
            </w:r>
          </w:p>
        </w:tc>
        <w:tc>
          <w:tcPr>
            <w:tcW w:w="589" w:type="pct"/>
            <w:vAlign w:val="center"/>
          </w:tcPr>
          <w:p w14:paraId="4EB576EB"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0,38</w:t>
            </w:r>
          </w:p>
        </w:tc>
        <w:tc>
          <w:tcPr>
            <w:tcW w:w="590" w:type="pct"/>
            <w:vAlign w:val="center"/>
          </w:tcPr>
          <w:p w14:paraId="229FF774"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0,87</w:t>
            </w:r>
          </w:p>
        </w:tc>
        <w:tc>
          <w:tcPr>
            <w:tcW w:w="588" w:type="pct"/>
            <w:vAlign w:val="center"/>
          </w:tcPr>
          <w:p w14:paraId="6DE4EE10"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0,420</w:t>
            </w:r>
          </w:p>
        </w:tc>
      </w:tr>
      <w:tr w:rsidR="00C56B3B" w:rsidRPr="00042924" w14:paraId="187914C7" w14:textId="77777777" w:rsidTr="00F01276">
        <w:trPr>
          <w:trHeight w:val="283"/>
          <w:jc w:val="center"/>
        </w:trPr>
        <w:tc>
          <w:tcPr>
            <w:tcW w:w="180" w:type="pct"/>
            <w:vAlign w:val="center"/>
          </w:tcPr>
          <w:p w14:paraId="127B8E0A"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10</w:t>
            </w:r>
          </w:p>
        </w:tc>
        <w:tc>
          <w:tcPr>
            <w:tcW w:w="2464" w:type="pct"/>
            <w:vAlign w:val="center"/>
          </w:tcPr>
          <w:p w14:paraId="2904BE3F"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маневреності власного капіталу</w:t>
            </w:r>
          </w:p>
        </w:tc>
        <w:tc>
          <w:tcPr>
            <w:tcW w:w="589" w:type="pct"/>
            <w:vAlign w:val="center"/>
          </w:tcPr>
          <w:p w14:paraId="3603529A"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0,04</w:t>
            </w:r>
          </w:p>
        </w:tc>
        <w:tc>
          <w:tcPr>
            <w:tcW w:w="589" w:type="pct"/>
            <w:vAlign w:val="center"/>
          </w:tcPr>
          <w:p w14:paraId="38849E03"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0,21</w:t>
            </w:r>
          </w:p>
        </w:tc>
        <w:tc>
          <w:tcPr>
            <w:tcW w:w="590" w:type="pct"/>
            <w:vAlign w:val="center"/>
          </w:tcPr>
          <w:p w14:paraId="52AE982E"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0,19</w:t>
            </w:r>
          </w:p>
        </w:tc>
        <w:tc>
          <w:tcPr>
            <w:tcW w:w="588" w:type="pct"/>
            <w:vAlign w:val="center"/>
          </w:tcPr>
          <w:p w14:paraId="0F10F44E"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0,150</w:t>
            </w:r>
          </w:p>
        </w:tc>
      </w:tr>
      <w:tr w:rsidR="00C56B3B" w:rsidRPr="00042924" w14:paraId="34208BE7" w14:textId="77777777" w:rsidTr="00F01276">
        <w:trPr>
          <w:trHeight w:val="283"/>
          <w:jc w:val="center"/>
        </w:trPr>
        <w:tc>
          <w:tcPr>
            <w:tcW w:w="180" w:type="pct"/>
            <w:vAlign w:val="center"/>
          </w:tcPr>
          <w:p w14:paraId="781ED1DC"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11</w:t>
            </w:r>
          </w:p>
        </w:tc>
        <w:tc>
          <w:tcPr>
            <w:tcW w:w="2464" w:type="pct"/>
            <w:vAlign w:val="center"/>
          </w:tcPr>
          <w:p w14:paraId="5165CE45"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короткострокової заборгованості</w:t>
            </w:r>
          </w:p>
        </w:tc>
        <w:tc>
          <w:tcPr>
            <w:tcW w:w="589" w:type="pct"/>
            <w:vAlign w:val="center"/>
          </w:tcPr>
          <w:p w14:paraId="49A715E4"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0,65</w:t>
            </w:r>
          </w:p>
        </w:tc>
        <w:tc>
          <w:tcPr>
            <w:tcW w:w="589" w:type="pct"/>
            <w:vAlign w:val="center"/>
          </w:tcPr>
          <w:p w14:paraId="29FFAA17"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0,75</w:t>
            </w:r>
          </w:p>
        </w:tc>
        <w:tc>
          <w:tcPr>
            <w:tcW w:w="590" w:type="pct"/>
            <w:vAlign w:val="center"/>
          </w:tcPr>
          <w:p w14:paraId="502CFB29"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0,75</w:t>
            </w:r>
          </w:p>
        </w:tc>
        <w:tc>
          <w:tcPr>
            <w:tcW w:w="588" w:type="pct"/>
            <w:vAlign w:val="center"/>
          </w:tcPr>
          <w:p w14:paraId="68AC46AF"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0,100</w:t>
            </w:r>
          </w:p>
        </w:tc>
      </w:tr>
      <w:tr w:rsidR="00C56B3B" w:rsidRPr="00042924" w14:paraId="641D1269" w14:textId="77777777" w:rsidTr="00F01276">
        <w:trPr>
          <w:trHeight w:val="283"/>
          <w:jc w:val="center"/>
        </w:trPr>
        <w:tc>
          <w:tcPr>
            <w:tcW w:w="180" w:type="pct"/>
            <w:vAlign w:val="center"/>
          </w:tcPr>
          <w:p w14:paraId="5FA3FF13"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12</w:t>
            </w:r>
          </w:p>
        </w:tc>
        <w:tc>
          <w:tcPr>
            <w:tcW w:w="2464" w:type="pct"/>
            <w:vAlign w:val="center"/>
          </w:tcPr>
          <w:p w14:paraId="317D53CB"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фінансової стійкості (покриття інвестицій)</w:t>
            </w:r>
          </w:p>
        </w:tc>
        <w:tc>
          <w:tcPr>
            <w:tcW w:w="589" w:type="pct"/>
            <w:vAlign w:val="center"/>
          </w:tcPr>
          <w:p w14:paraId="30046F0F"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0,8</w:t>
            </w:r>
          </w:p>
        </w:tc>
        <w:tc>
          <w:tcPr>
            <w:tcW w:w="589" w:type="pct"/>
            <w:vAlign w:val="center"/>
          </w:tcPr>
          <w:p w14:paraId="352563E6"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0,79</w:t>
            </w:r>
          </w:p>
        </w:tc>
        <w:tc>
          <w:tcPr>
            <w:tcW w:w="590" w:type="pct"/>
            <w:vAlign w:val="center"/>
          </w:tcPr>
          <w:p w14:paraId="76763309"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0,65</w:t>
            </w:r>
          </w:p>
        </w:tc>
        <w:tc>
          <w:tcPr>
            <w:tcW w:w="588" w:type="pct"/>
            <w:vAlign w:val="center"/>
          </w:tcPr>
          <w:p w14:paraId="2F90E139"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-0,150</w:t>
            </w:r>
          </w:p>
        </w:tc>
      </w:tr>
      <w:tr w:rsidR="00C56B3B" w:rsidRPr="00042924" w14:paraId="054FAF6D" w14:textId="77777777" w:rsidTr="00F01276">
        <w:trPr>
          <w:trHeight w:val="283"/>
          <w:jc w:val="center"/>
        </w:trPr>
        <w:tc>
          <w:tcPr>
            <w:tcW w:w="180" w:type="pct"/>
            <w:vAlign w:val="center"/>
          </w:tcPr>
          <w:p w14:paraId="4A5823A8" w14:textId="77777777" w:rsidR="00C56B3B" w:rsidRPr="00042924"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13</w:t>
            </w:r>
          </w:p>
        </w:tc>
        <w:tc>
          <w:tcPr>
            <w:tcW w:w="2464" w:type="pct"/>
            <w:vAlign w:val="center"/>
          </w:tcPr>
          <w:p w14:paraId="325CB1E2" w14:textId="77777777" w:rsidR="00C56B3B" w:rsidRPr="00042924" w:rsidRDefault="00C56B3B" w:rsidP="00C56B3B">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мобільності активів</w:t>
            </w:r>
          </w:p>
        </w:tc>
        <w:tc>
          <w:tcPr>
            <w:tcW w:w="589" w:type="pct"/>
            <w:vAlign w:val="center"/>
          </w:tcPr>
          <w:p w14:paraId="2920FA61"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0,52</w:t>
            </w:r>
          </w:p>
        </w:tc>
        <w:tc>
          <w:tcPr>
            <w:tcW w:w="589" w:type="pct"/>
            <w:vAlign w:val="center"/>
          </w:tcPr>
          <w:p w14:paraId="71321574"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0,76</w:t>
            </w:r>
          </w:p>
        </w:tc>
        <w:tc>
          <w:tcPr>
            <w:tcW w:w="590" w:type="pct"/>
            <w:vAlign w:val="center"/>
          </w:tcPr>
          <w:p w14:paraId="296E0884" w14:textId="77777777" w:rsidR="00C56B3B" w:rsidRPr="00042924" w:rsidRDefault="00C56B3B" w:rsidP="00C56B3B">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1,29</w:t>
            </w:r>
          </w:p>
        </w:tc>
        <w:tc>
          <w:tcPr>
            <w:tcW w:w="588" w:type="pct"/>
            <w:vAlign w:val="center"/>
          </w:tcPr>
          <w:p w14:paraId="7D496FB7" w14:textId="77777777" w:rsidR="00C56B3B" w:rsidRPr="00C56B3B" w:rsidRDefault="00C56B3B" w:rsidP="00C56B3B">
            <w:pPr>
              <w:jc w:val="center"/>
              <w:rPr>
                <w:rFonts w:ascii="Times New Roman" w:eastAsia="Times New Roman" w:hAnsi="Times New Roman" w:cs="Times New Roman"/>
                <w:color w:val="000000" w:themeColor="text1"/>
                <w:sz w:val="20"/>
                <w:szCs w:val="20"/>
                <w:lang w:val="uk-UA" w:eastAsia="uk-UA"/>
                <w14:ligatures w14:val="none"/>
              </w:rPr>
            </w:pPr>
            <w:r w:rsidRPr="00C56B3B">
              <w:rPr>
                <w:rFonts w:ascii="Times New Roman" w:hAnsi="Times New Roman" w:cs="Times New Roman"/>
                <w:sz w:val="20"/>
                <w:szCs w:val="20"/>
              </w:rPr>
              <w:t>0,770</w:t>
            </w:r>
          </w:p>
        </w:tc>
      </w:tr>
    </w:tbl>
    <w:p w14:paraId="5D09AA75" w14:textId="77777777" w:rsidR="00A428C2" w:rsidRPr="00042924" w:rsidRDefault="00A428C2" w:rsidP="00A428C2">
      <w:pPr>
        <w:spacing w:after="0" w:line="240" w:lineRule="auto"/>
        <w:ind w:firstLine="284"/>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Джерело:</w:t>
      </w:r>
      <w:r w:rsidRPr="00042924">
        <w:rPr>
          <w:rFonts w:ascii="Times New Roman" w:eastAsia="Times New Roman" w:hAnsi="Times New Roman" w:cs="Times New Roman"/>
          <w:kern w:val="0"/>
          <w:sz w:val="28"/>
          <w:szCs w:val="28"/>
          <w:lang w:val="uk-UA"/>
          <w14:ligatures w14:val="none"/>
        </w:rPr>
        <w:t xml:space="preserve"> сформовано</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 xml:space="preserve">автором за даними </w:t>
      </w:r>
      <w:r w:rsidRPr="00042924">
        <w:rPr>
          <w:rFonts w:ascii="Times New Roman" w:eastAsia="Times New Roman" w:hAnsi="Times New Roman" w:cs="Times New Roman"/>
          <w:sz w:val="28"/>
          <w:szCs w:val="28"/>
          <w:lang w:val="uk-UA"/>
        </w:rPr>
        <w:t>[33]</w:t>
      </w:r>
    </w:p>
    <w:p w14:paraId="56DD3DBE" w14:textId="77777777" w:rsidR="00CF6EBA" w:rsidRPr="00042924" w:rsidRDefault="00CF6EBA" w:rsidP="00AF7F5D">
      <w:pPr>
        <w:spacing w:after="0" w:line="240" w:lineRule="auto"/>
        <w:jc w:val="center"/>
        <w:rPr>
          <w:rFonts w:ascii="Times New Roman" w:eastAsia="Times New Roman" w:hAnsi="Times New Roman" w:cs="Times New Roman"/>
          <w:color w:val="000000" w:themeColor="text1"/>
          <w:kern w:val="0"/>
          <w:sz w:val="28"/>
          <w:szCs w:val="28"/>
          <w:lang w:val="uk-UA" w:eastAsia="uk-UA"/>
          <w14:ligatures w14:val="none"/>
        </w:rPr>
      </w:pPr>
    </w:p>
    <w:p w14:paraId="009689CE"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У таблиці 2.</w:t>
      </w:r>
      <w:r w:rsidR="005F3999" w:rsidRPr="00042924">
        <w:rPr>
          <w:rFonts w:ascii="Times New Roman" w:eastAsia="Times New Roman" w:hAnsi="Times New Roman" w:cs="Times New Roman"/>
          <w:color w:val="000000" w:themeColor="text1"/>
          <w:kern w:val="0"/>
          <w:sz w:val="28"/>
          <w:szCs w:val="28"/>
          <w:lang w:val="uk-UA" w:eastAsia="uk-UA"/>
          <w14:ligatures w14:val="none"/>
        </w:rPr>
        <w:t>19</w:t>
      </w:r>
      <w:r w:rsidRPr="00042924">
        <w:rPr>
          <w:rFonts w:ascii="Times New Roman" w:eastAsia="Times New Roman" w:hAnsi="Times New Roman" w:cs="Times New Roman"/>
          <w:color w:val="000000" w:themeColor="text1"/>
          <w:kern w:val="0"/>
          <w:sz w:val="28"/>
          <w:szCs w:val="28"/>
          <w:lang w:val="uk-UA" w:eastAsia="uk-UA"/>
          <w14:ligatures w14:val="none"/>
        </w:rPr>
        <w:t xml:space="preserve"> наведено динаміку показників фінансової стійкості ПАТ </w:t>
      </w:r>
      <w:r w:rsidR="00370C30">
        <w:rPr>
          <w:rFonts w:ascii="Times New Roman" w:eastAsia="Times New Roman" w:hAnsi="Times New Roman" w:cs="Times New Roman"/>
          <w:color w:val="000000" w:themeColor="text1"/>
          <w:kern w:val="0"/>
          <w:sz w:val="28"/>
          <w:szCs w:val="28"/>
          <w:lang w:val="uk-UA" w:eastAsia="uk-UA"/>
          <w14:ligatures w14:val="none"/>
        </w:rPr>
        <w:t>«АМКР»</w:t>
      </w:r>
      <w:r w:rsidRPr="00042924">
        <w:rPr>
          <w:rFonts w:ascii="Times New Roman" w:eastAsia="Times New Roman" w:hAnsi="Times New Roman" w:cs="Times New Roman"/>
          <w:color w:val="000000" w:themeColor="text1"/>
          <w:kern w:val="0"/>
          <w:sz w:val="28"/>
          <w:szCs w:val="28"/>
          <w:lang w:val="uk-UA" w:eastAsia="uk-UA"/>
          <w14:ligatures w14:val="none"/>
        </w:rPr>
        <w:t xml:space="preserve">. Аналіз даних таблиці </w:t>
      </w:r>
      <w:r w:rsidR="003808AA">
        <w:rPr>
          <w:rFonts w:ascii="Times New Roman" w:eastAsia="Times New Roman" w:hAnsi="Times New Roman" w:cs="Times New Roman"/>
          <w:color w:val="000000" w:themeColor="text1"/>
          <w:kern w:val="0"/>
          <w:sz w:val="28"/>
          <w:szCs w:val="28"/>
          <w:lang w:val="uk-UA" w:eastAsia="uk-UA"/>
          <w14:ligatures w14:val="none"/>
        </w:rPr>
        <w:t>демонструє</w:t>
      </w:r>
      <w:r w:rsidRPr="00042924">
        <w:rPr>
          <w:rFonts w:ascii="Times New Roman" w:eastAsia="Times New Roman" w:hAnsi="Times New Roman" w:cs="Times New Roman"/>
          <w:color w:val="000000" w:themeColor="text1"/>
          <w:kern w:val="0"/>
          <w:sz w:val="28"/>
          <w:szCs w:val="28"/>
          <w:lang w:val="uk-UA" w:eastAsia="uk-UA"/>
          <w14:ligatures w14:val="none"/>
        </w:rPr>
        <w:t xml:space="preserve"> погіршення фінансової стійкості підприємства у 2022 році порівняно з попередніми роками.</w:t>
      </w:r>
    </w:p>
    <w:p w14:paraId="2A3146E7"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Зокрема, коефіцієнт фінансової автономії, що показує питому вагу власного капіталу в загальній сумі коштів, у 2022 році знизився до 0,54. Це означає зростання частки позикових коштів у джерелах фінансування. Відповідно збільшився коефіцієнт фінансової залежності до 1,87. Такі тенденції </w:t>
      </w:r>
      <w:r w:rsidR="00C306E4">
        <w:rPr>
          <w:rFonts w:ascii="Times New Roman" w:eastAsia="Times New Roman" w:hAnsi="Times New Roman" w:cs="Times New Roman"/>
          <w:color w:val="000000" w:themeColor="text1"/>
          <w:kern w:val="0"/>
          <w:sz w:val="28"/>
          <w:szCs w:val="28"/>
          <w:lang w:val="uk-UA" w:eastAsia="uk-UA"/>
          <w14:ligatures w14:val="none"/>
        </w:rPr>
        <w:t>вказують на</w:t>
      </w:r>
      <w:r w:rsidRPr="00042924">
        <w:rPr>
          <w:rFonts w:ascii="Times New Roman" w:eastAsia="Times New Roman" w:hAnsi="Times New Roman" w:cs="Times New Roman"/>
          <w:color w:val="000000" w:themeColor="text1"/>
          <w:kern w:val="0"/>
          <w:sz w:val="28"/>
          <w:szCs w:val="28"/>
          <w:lang w:val="uk-UA" w:eastAsia="uk-UA"/>
          <w14:ligatures w14:val="none"/>
        </w:rPr>
        <w:t xml:space="preserve"> зростання фінансових ризиків та загрозу втрати фінансової стійкості.</w:t>
      </w:r>
    </w:p>
    <w:p w14:paraId="3F79E60F"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Крім того, знизився коефіцієнт покриття інвестицій – з 0,79 у 2021 році до 0,65 у 2022. Це означає, що частина необоротних активів профінансована за рахунок позикових коштів. Така ситуація негативно впливає на фінансову стійкість та інвестиційну привабливість підприємства.</w:t>
      </w:r>
    </w:p>
    <w:p w14:paraId="427BA022" w14:textId="77777777" w:rsidR="00AF7F5D"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Отже, за результатами аналізу можна зробити висновок про істотне погіршення фінансової стійкості та зростання фінансових ризиків ПАТ </w:t>
      </w:r>
      <w:r w:rsidR="00CB7F83">
        <w:rPr>
          <w:rFonts w:ascii="Times New Roman" w:eastAsia="Times New Roman" w:hAnsi="Times New Roman" w:cs="Times New Roman"/>
          <w:color w:val="000000" w:themeColor="text1"/>
          <w:kern w:val="0"/>
          <w:sz w:val="28"/>
          <w:szCs w:val="28"/>
          <w:lang w:val="uk-UA" w:eastAsia="uk-UA"/>
          <w14:ligatures w14:val="none"/>
        </w:rPr>
        <w:t>«АМКР»</w:t>
      </w:r>
      <w:r w:rsidRPr="00042924">
        <w:rPr>
          <w:rFonts w:ascii="Times New Roman" w:eastAsia="Times New Roman" w:hAnsi="Times New Roman" w:cs="Times New Roman"/>
          <w:color w:val="000000" w:themeColor="text1"/>
          <w:kern w:val="0"/>
          <w:sz w:val="28"/>
          <w:szCs w:val="28"/>
          <w:lang w:val="uk-UA" w:eastAsia="uk-UA"/>
          <w14:ligatures w14:val="none"/>
        </w:rPr>
        <w:t xml:space="preserve"> у 2022 році, що вимагає розробки заходів для поліпшення ситуації.</w:t>
      </w:r>
    </w:p>
    <w:p w14:paraId="1BBB0FDF" w14:textId="77777777" w:rsidR="00F922EC" w:rsidRPr="00042924" w:rsidRDefault="00F922EC"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Для більш детального розгляду та конкретизації виявлених тенденцій далі розглянемо показники рентабельності, які представлені у </w:t>
      </w:r>
      <w:r w:rsidR="00C8073C" w:rsidRPr="00042924">
        <w:rPr>
          <w:rFonts w:ascii="Times New Roman" w:eastAsia="Times New Roman" w:hAnsi="Times New Roman" w:cs="Times New Roman"/>
          <w:color w:val="000000" w:themeColor="text1"/>
          <w:kern w:val="0"/>
          <w:sz w:val="28"/>
          <w:szCs w:val="28"/>
          <w:lang w:val="uk-UA" w:eastAsia="uk-UA"/>
          <w14:ligatures w14:val="none"/>
        </w:rPr>
        <w:t>т</w:t>
      </w:r>
      <w:r w:rsidRPr="00042924">
        <w:rPr>
          <w:rFonts w:ascii="Times New Roman" w:eastAsia="Times New Roman" w:hAnsi="Times New Roman" w:cs="Times New Roman"/>
          <w:color w:val="000000" w:themeColor="text1"/>
          <w:kern w:val="0"/>
          <w:sz w:val="28"/>
          <w:szCs w:val="28"/>
          <w:lang w:val="uk-UA" w:eastAsia="uk-UA"/>
          <w14:ligatures w14:val="none"/>
        </w:rPr>
        <w:t>аблиці 2.20</w:t>
      </w:r>
    </w:p>
    <w:p w14:paraId="725C977B" w14:textId="77777777" w:rsidR="00E770EF" w:rsidRPr="00042924" w:rsidRDefault="00E770EF" w:rsidP="00E770EF">
      <w:pPr>
        <w:spacing w:after="0" w:line="240" w:lineRule="auto"/>
        <w:jc w:val="both"/>
        <w:rPr>
          <w:rFonts w:ascii="Times New Roman" w:eastAsia="Times New Roman" w:hAnsi="Times New Roman" w:cs="Times New Roman"/>
          <w:color w:val="000000" w:themeColor="text1"/>
          <w:kern w:val="0"/>
          <w:sz w:val="28"/>
          <w:szCs w:val="28"/>
          <w:lang w:val="uk-UA" w:eastAsia="uk-UA"/>
          <w14:ligatures w14:val="none"/>
        </w:rPr>
      </w:pPr>
    </w:p>
    <w:p w14:paraId="652C2FBC" w14:textId="77777777" w:rsidR="008C346E" w:rsidRPr="00042924" w:rsidRDefault="00AF7F5D" w:rsidP="008C346E">
      <w:pPr>
        <w:spacing w:after="0" w:line="240" w:lineRule="auto"/>
        <w:ind w:firstLine="709"/>
        <w:jc w:val="both"/>
        <w:rPr>
          <w:rFonts w:ascii="Times New Roman" w:hAnsi="Times New Roman" w:cs="Times New Roman"/>
          <w:spacing w:val="-1"/>
          <w:sz w:val="28"/>
          <w:szCs w:val="36"/>
          <w:lang w:val="uk-UA" w:eastAsia="uk-UA"/>
        </w:rPr>
      </w:pPr>
      <w:r w:rsidRPr="00042924">
        <w:rPr>
          <w:rFonts w:ascii="Times New Roman" w:eastAsia="Times New Roman" w:hAnsi="Times New Roman" w:cs="Times New Roman"/>
          <w:color w:val="000000" w:themeColor="text1"/>
          <w:kern w:val="0"/>
          <w:sz w:val="28"/>
          <w:szCs w:val="28"/>
          <w:lang w:val="uk-UA" w:eastAsia="uk-UA"/>
          <w14:ligatures w14:val="none"/>
        </w:rPr>
        <w:t>Таблиця 2.2</w:t>
      </w:r>
      <w:r w:rsidR="005F3999" w:rsidRPr="00042924">
        <w:rPr>
          <w:rFonts w:ascii="Times New Roman" w:eastAsia="Times New Roman" w:hAnsi="Times New Roman" w:cs="Times New Roman"/>
          <w:color w:val="000000" w:themeColor="text1"/>
          <w:kern w:val="0"/>
          <w:sz w:val="28"/>
          <w:szCs w:val="28"/>
          <w:lang w:val="uk-UA" w:eastAsia="uk-UA"/>
          <w14:ligatures w14:val="none"/>
        </w:rPr>
        <w:t>0</w:t>
      </w:r>
      <w:r w:rsidRPr="00042924">
        <w:rPr>
          <w:rFonts w:ascii="Times New Roman" w:eastAsia="Times New Roman" w:hAnsi="Times New Roman" w:cs="Times New Roman"/>
          <w:color w:val="000000" w:themeColor="text1"/>
          <w:kern w:val="0"/>
          <w:sz w:val="28"/>
          <w:szCs w:val="28"/>
          <w:lang w:val="uk-UA" w:eastAsia="uk-UA"/>
          <w14:ligatures w14:val="none"/>
        </w:rPr>
        <w:t xml:space="preserve"> - </w:t>
      </w:r>
      <w:r w:rsidR="006E791D" w:rsidRPr="006E791D">
        <w:rPr>
          <w:rFonts w:ascii="Times New Roman" w:eastAsia="Times New Roman" w:hAnsi="Times New Roman" w:cs="Times New Roman"/>
          <w:color w:val="000000" w:themeColor="text1"/>
          <w:kern w:val="0"/>
          <w:sz w:val="28"/>
          <w:szCs w:val="28"/>
          <w:lang w:val="uk-UA" w:eastAsia="uk-UA"/>
          <w14:ligatures w14:val="none"/>
        </w:rPr>
        <w:t>Аналіз рентабельності</w:t>
      </w:r>
      <w:r w:rsidR="008C346E">
        <w:rPr>
          <w:rFonts w:ascii="Times New Roman" w:eastAsia="Times New Roman" w:hAnsi="Times New Roman" w:cs="Times New Roman"/>
          <w:color w:val="000000" w:themeColor="text1"/>
          <w:kern w:val="0"/>
          <w:sz w:val="28"/>
          <w:szCs w:val="28"/>
          <w:lang w:val="uk-UA" w:eastAsia="uk-UA"/>
          <w14:ligatures w14:val="none"/>
        </w:rPr>
        <w:t xml:space="preserve"> </w:t>
      </w:r>
      <w:r w:rsidR="008C346E" w:rsidRPr="00042924">
        <w:rPr>
          <w:rFonts w:ascii="Times New Roman" w:hAnsi="Times New Roman" w:cs="Times New Roman"/>
          <w:spacing w:val="-1"/>
          <w:sz w:val="28"/>
          <w:szCs w:val="36"/>
          <w:lang w:val="uk-UA" w:eastAsia="uk-UA"/>
        </w:rPr>
        <w:t>ПАТ «АМКР</w:t>
      </w:r>
      <w:r w:rsidR="008C346E">
        <w:rPr>
          <w:rFonts w:ascii="Times New Roman" w:hAnsi="Times New Roman" w:cs="Times New Roman"/>
          <w:spacing w:val="-1"/>
          <w:sz w:val="28"/>
          <w:szCs w:val="36"/>
          <w:lang w:val="uk-UA" w:eastAsia="uk-UA"/>
        </w:rPr>
        <w:t>»</w:t>
      </w:r>
    </w:p>
    <w:tbl>
      <w:tblPr>
        <w:tblStyle w:val="a6"/>
        <w:tblW w:w="5000" w:type="pct"/>
        <w:jc w:val="center"/>
        <w:tblCellMar>
          <w:top w:w="28" w:type="dxa"/>
          <w:left w:w="28" w:type="dxa"/>
          <w:bottom w:w="28" w:type="dxa"/>
          <w:right w:w="28" w:type="dxa"/>
        </w:tblCellMar>
        <w:tblLook w:val="04A0" w:firstRow="1" w:lastRow="0" w:firstColumn="1" w:lastColumn="0" w:noHBand="0" w:noVBand="1"/>
      </w:tblPr>
      <w:tblGrid>
        <w:gridCol w:w="314"/>
        <w:gridCol w:w="5198"/>
        <w:gridCol w:w="1038"/>
        <w:gridCol w:w="1039"/>
        <w:gridCol w:w="1043"/>
        <w:gridCol w:w="1279"/>
      </w:tblGrid>
      <w:tr w:rsidR="00610BC0" w:rsidRPr="00042924" w14:paraId="1F4E5C55" w14:textId="77777777" w:rsidTr="008C346E">
        <w:trPr>
          <w:trHeight w:val="144"/>
          <w:jc w:val="center"/>
        </w:trPr>
        <w:tc>
          <w:tcPr>
            <w:tcW w:w="158" w:type="pct"/>
            <w:vMerge w:val="restart"/>
            <w:vAlign w:val="center"/>
          </w:tcPr>
          <w:p w14:paraId="6B30286B" w14:textId="77777777" w:rsidR="00610BC0" w:rsidRPr="00042924" w:rsidRDefault="00610BC0" w:rsidP="008C346E">
            <w:pPr>
              <w:jc w:val="both"/>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sz w:val="20"/>
                <w:szCs w:val="20"/>
                <w:lang w:val="uk-UA"/>
              </w:rPr>
              <w:t>№</w:t>
            </w:r>
          </w:p>
        </w:tc>
        <w:tc>
          <w:tcPr>
            <w:tcW w:w="2623" w:type="pct"/>
            <w:vMerge w:val="restart"/>
            <w:vAlign w:val="center"/>
            <w:hideMark/>
          </w:tcPr>
          <w:p w14:paraId="318B8B01"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Показник</w:t>
            </w:r>
          </w:p>
        </w:tc>
        <w:tc>
          <w:tcPr>
            <w:tcW w:w="1574" w:type="pct"/>
            <w:gridSpan w:val="3"/>
            <w:vAlign w:val="center"/>
          </w:tcPr>
          <w:p w14:paraId="51608233"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Рік</w:t>
            </w:r>
          </w:p>
        </w:tc>
        <w:tc>
          <w:tcPr>
            <w:tcW w:w="644" w:type="pct"/>
            <w:vAlign w:val="center"/>
          </w:tcPr>
          <w:p w14:paraId="7E6FBA63"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Абсолютн</w:t>
            </w:r>
            <w:r w:rsidRPr="00042924">
              <w:rPr>
                <w:rFonts w:ascii="Times New Roman" w:eastAsia="Times New Roman" w:hAnsi="Times New Roman" w:cs="Times New Roman"/>
                <w:color w:val="000000" w:themeColor="text1"/>
                <w:sz w:val="20"/>
                <w:szCs w:val="20"/>
                <w:lang w:val="uk-UA" w:eastAsia="uk-UA"/>
                <w14:ligatures w14:val="none"/>
              </w:rPr>
              <w:t xml:space="preserve">е </w:t>
            </w:r>
            <w:r w:rsidRPr="00DE6126">
              <w:rPr>
                <w:rFonts w:ascii="Times New Roman" w:eastAsia="Times New Roman" w:hAnsi="Times New Roman" w:cs="Times New Roman"/>
                <w:color w:val="000000" w:themeColor="text1"/>
                <w:sz w:val="20"/>
                <w:szCs w:val="20"/>
                <w:lang w:val="uk-UA" w:eastAsia="uk-UA"/>
                <w14:ligatures w14:val="none"/>
              </w:rPr>
              <w:t>відхилення</w:t>
            </w:r>
          </w:p>
        </w:tc>
      </w:tr>
      <w:tr w:rsidR="00610BC0" w:rsidRPr="00042924" w14:paraId="19F8D82C" w14:textId="77777777" w:rsidTr="008C346E">
        <w:trPr>
          <w:trHeight w:val="144"/>
          <w:jc w:val="center"/>
        </w:trPr>
        <w:tc>
          <w:tcPr>
            <w:tcW w:w="158" w:type="pct"/>
            <w:vMerge/>
            <w:vAlign w:val="center"/>
          </w:tcPr>
          <w:p w14:paraId="1C38DFCE" w14:textId="77777777" w:rsidR="00610BC0" w:rsidRPr="00042924" w:rsidRDefault="00610BC0" w:rsidP="00610BC0">
            <w:pPr>
              <w:jc w:val="center"/>
              <w:rPr>
                <w:rFonts w:ascii="Times New Roman" w:hAnsi="Times New Roman" w:cs="Times New Roman"/>
                <w:sz w:val="20"/>
                <w:szCs w:val="20"/>
                <w:lang w:val="uk-UA"/>
              </w:rPr>
            </w:pPr>
          </w:p>
        </w:tc>
        <w:tc>
          <w:tcPr>
            <w:tcW w:w="2623" w:type="pct"/>
            <w:vMerge/>
            <w:vAlign w:val="center"/>
          </w:tcPr>
          <w:p w14:paraId="4CEE9AC8"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p>
        </w:tc>
        <w:tc>
          <w:tcPr>
            <w:tcW w:w="524" w:type="pct"/>
            <w:vAlign w:val="center"/>
          </w:tcPr>
          <w:p w14:paraId="78B4C64A"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2020</w:t>
            </w:r>
          </w:p>
        </w:tc>
        <w:tc>
          <w:tcPr>
            <w:tcW w:w="524" w:type="pct"/>
            <w:vAlign w:val="center"/>
          </w:tcPr>
          <w:p w14:paraId="4A280AB4"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2021</w:t>
            </w:r>
          </w:p>
        </w:tc>
        <w:tc>
          <w:tcPr>
            <w:tcW w:w="526" w:type="pct"/>
            <w:vAlign w:val="center"/>
          </w:tcPr>
          <w:p w14:paraId="7D2F851C"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sidRPr="00CF6EBA">
              <w:rPr>
                <w:rFonts w:ascii="Times New Roman" w:eastAsia="Times New Roman" w:hAnsi="Times New Roman" w:cs="Times New Roman"/>
                <w:color w:val="000000" w:themeColor="text1"/>
                <w:kern w:val="0"/>
                <w:sz w:val="20"/>
                <w:szCs w:val="20"/>
                <w:lang w:val="uk-UA" w:eastAsia="uk-UA"/>
                <w14:ligatures w14:val="none"/>
              </w:rPr>
              <w:t>2022</w:t>
            </w:r>
          </w:p>
        </w:tc>
        <w:tc>
          <w:tcPr>
            <w:tcW w:w="644" w:type="pct"/>
            <w:vAlign w:val="center"/>
          </w:tcPr>
          <w:p w14:paraId="23128EB1" w14:textId="77777777" w:rsidR="00610BC0" w:rsidRPr="00CF6EBA" w:rsidRDefault="00610BC0" w:rsidP="00610BC0">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2022 / 202</w:t>
            </w:r>
            <w:r w:rsidR="0049134E">
              <w:rPr>
                <w:rFonts w:ascii="Times New Roman" w:eastAsia="Times New Roman" w:hAnsi="Times New Roman" w:cs="Times New Roman"/>
                <w:color w:val="000000" w:themeColor="text1"/>
                <w:sz w:val="20"/>
                <w:szCs w:val="20"/>
                <w:lang w:val="uk-UA" w:eastAsia="uk-UA"/>
                <w14:ligatures w14:val="none"/>
              </w:rPr>
              <w:t>0</w:t>
            </w:r>
          </w:p>
        </w:tc>
      </w:tr>
      <w:tr w:rsidR="002200FB" w:rsidRPr="00042924" w14:paraId="637420A2" w14:textId="77777777" w:rsidTr="008C346E">
        <w:trPr>
          <w:trHeight w:val="227"/>
          <w:jc w:val="center"/>
        </w:trPr>
        <w:tc>
          <w:tcPr>
            <w:tcW w:w="158" w:type="pct"/>
            <w:vAlign w:val="center"/>
          </w:tcPr>
          <w:p w14:paraId="7A89C87A" w14:textId="77777777" w:rsidR="002200FB" w:rsidRPr="00042924" w:rsidRDefault="002200FB" w:rsidP="002200FB">
            <w:pPr>
              <w:ind w:left="57"/>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623" w:type="pct"/>
            <w:vAlign w:val="center"/>
          </w:tcPr>
          <w:p w14:paraId="12DCEEE1" w14:textId="77777777" w:rsidR="002200FB" w:rsidRPr="00DE6126" w:rsidRDefault="002200FB" w:rsidP="002200FB">
            <w:pPr>
              <w:ind w:left="57"/>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2</w:t>
            </w:r>
          </w:p>
        </w:tc>
        <w:tc>
          <w:tcPr>
            <w:tcW w:w="524" w:type="pct"/>
            <w:vAlign w:val="center"/>
          </w:tcPr>
          <w:p w14:paraId="40C4D946" w14:textId="77777777" w:rsidR="002200FB" w:rsidRPr="00042924" w:rsidRDefault="002200FB" w:rsidP="002200FB">
            <w:pPr>
              <w:jc w:val="center"/>
              <w:rPr>
                <w:rFonts w:ascii="Times New Roman" w:eastAsia="Times New Roman" w:hAnsi="Times New Roman" w:cs="Times New Roman"/>
                <w:color w:val="000000" w:themeColor="text1"/>
                <w:kern w:val="0"/>
                <w:sz w:val="20"/>
                <w:szCs w:val="20"/>
                <w:lang w:val="uk-UA" w:eastAsia="uk-UA"/>
                <w14:ligatures w14:val="none"/>
              </w:rPr>
            </w:pPr>
            <w:r>
              <w:rPr>
                <w:rFonts w:ascii="Times New Roman" w:eastAsia="Times New Roman" w:hAnsi="Times New Roman" w:cs="Times New Roman"/>
                <w:color w:val="000000" w:themeColor="text1"/>
                <w:kern w:val="0"/>
                <w:sz w:val="20"/>
                <w:szCs w:val="20"/>
                <w:lang w:val="uk-UA" w:eastAsia="uk-UA"/>
                <w14:ligatures w14:val="none"/>
              </w:rPr>
              <w:t>3</w:t>
            </w:r>
          </w:p>
        </w:tc>
        <w:tc>
          <w:tcPr>
            <w:tcW w:w="524" w:type="pct"/>
            <w:vAlign w:val="center"/>
          </w:tcPr>
          <w:p w14:paraId="5AD01A5C" w14:textId="77777777" w:rsidR="002200FB" w:rsidRPr="00DE6126" w:rsidRDefault="002200FB" w:rsidP="002200FB">
            <w:pPr>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4</w:t>
            </w:r>
          </w:p>
        </w:tc>
        <w:tc>
          <w:tcPr>
            <w:tcW w:w="526" w:type="pct"/>
            <w:vAlign w:val="center"/>
          </w:tcPr>
          <w:p w14:paraId="7C9023A5" w14:textId="77777777" w:rsidR="002200FB" w:rsidRPr="00DE6126" w:rsidRDefault="002200FB" w:rsidP="002200FB">
            <w:pPr>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5</w:t>
            </w:r>
          </w:p>
        </w:tc>
        <w:tc>
          <w:tcPr>
            <w:tcW w:w="644" w:type="pct"/>
            <w:vAlign w:val="center"/>
          </w:tcPr>
          <w:p w14:paraId="40B4642E" w14:textId="77777777" w:rsidR="002200FB" w:rsidRPr="002200FB" w:rsidRDefault="002200FB" w:rsidP="002200FB">
            <w:pPr>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F01276" w:rsidRPr="00042924" w14:paraId="55D30AE2" w14:textId="77777777" w:rsidTr="008C346E">
        <w:trPr>
          <w:trHeight w:val="567"/>
          <w:jc w:val="center"/>
        </w:trPr>
        <w:tc>
          <w:tcPr>
            <w:tcW w:w="158" w:type="pct"/>
            <w:vAlign w:val="center"/>
          </w:tcPr>
          <w:p w14:paraId="7914E494"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w:t>
            </w:r>
          </w:p>
        </w:tc>
        <w:tc>
          <w:tcPr>
            <w:tcW w:w="2623" w:type="pct"/>
            <w:vAlign w:val="center"/>
          </w:tcPr>
          <w:p w14:paraId="3191FA07" w14:textId="77777777" w:rsidR="00F01276" w:rsidRPr="00042924" w:rsidRDefault="00F01276" w:rsidP="00F01276">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Рентабельність (пасивів) активів (чистий прибуток в чисельнику), %</w:t>
            </w:r>
          </w:p>
        </w:tc>
        <w:tc>
          <w:tcPr>
            <w:tcW w:w="524" w:type="pct"/>
            <w:vAlign w:val="center"/>
          </w:tcPr>
          <w:p w14:paraId="4831A68D"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0,8</w:t>
            </w:r>
          </w:p>
        </w:tc>
        <w:tc>
          <w:tcPr>
            <w:tcW w:w="524" w:type="pct"/>
            <w:vAlign w:val="center"/>
          </w:tcPr>
          <w:p w14:paraId="33CF380E"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25,98</w:t>
            </w:r>
          </w:p>
        </w:tc>
        <w:tc>
          <w:tcPr>
            <w:tcW w:w="526" w:type="pct"/>
            <w:vAlign w:val="center"/>
          </w:tcPr>
          <w:p w14:paraId="2FA639D8"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-61,85</w:t>
            </w:r>
          </w:p>
        </w:tc>
        <w:tc>
          <w:tcPr>
            <w:tcW w:w="644" w:type="pct"/>
            <w:vAlign w:val="center"/>
          </w:tcPr>
          <w:p w14:paraId="1705D542"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-62,650</w:t>
            </w:r>
          </w:p>
        </w:tc>
      </w:tr>
      <w:tr w:rsidR="00F01276" w:rsidRPr="00042924" w14:paraId="6DFA8601" w14:textId="77777777" w:rsidTr="008C346E">
        <w:trPr>
          <w:trHeight w:val="397"/>
          <w:jc w:val="center"/>
        </w:trPr>
        <w:tc>
          <w:tcPr>
            <w:tcW w:w="158" w:type="pct"/>
            <w:vAlign w:val="center"/>
          </w:tcPr>
          <w:p w14:paraId="1C556C00"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2</w:t>
            </w:r>
          </w:p>
        </w:tc>
        <w:tc>
          <w:tcPr>
            <w:tcW w:w="2623" w:type="pct"/>
            <w:vAlign w:val="center"/>
          </w:tcPr>
          <w:p w14:paraId="141D050F" w14:textId="77777777" w:rsidR="00F01276" w:rsidRPr="00042924" w:rsidRDefault="00F01276" w:rsidP="00F01276">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Рентабельність (пасивів) активів (EBIT в чисельнику), %</w:t>
            </w:r>
          </w:p>
        </w:tc>
        <w:tc>
          <w:tcPr>
            <w:tcW w:w="524" w:type="pct"/>
            <w:vAlign w:val="center"/>
          </w:tcPr>
          <w:p w14:paraId="3857C7BF"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2,25</w:t>
            </w:r>
          </w:p>
        </w:tc>
        <w:tc>
          <w:tcPr>
            <w:tcW w:w="524" w:type="pct"/>
            <w:vAlign w:val="center"/>
          </w:tcPr>
          <w:p w14:paraId="1A96C62D"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32,17</w:t>
            </w:r>
          </w:p>
        </w:tc>
        <w:tc>
          <w:tcPr>
            <w:tcW w:w="526" w:type="pct"/>
            <w:vAlign w:val="center"/>
          </w:tcPr>
          <w:p w14:paraId="253D7362"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-63,36</w:t>
            </w:r>
          </w:p>
        </w:tc>
        <w:tc>
          <w:tcPr>
            <w:tcW w:w="644" w:type="pct"/>
            <w:vAlign w:val="center"/>
          </w:tcPr>
          <w:p w14:paraId="41803192"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-65,610</w:t>
            </w:r>
          </w:p>
        </w:tc>
      </w:tr>
      <w:tr w:rsidR="002200FB" w:rsidRPr="00042924" w14:paraId="26D90258" w14:textId="77777777" w:rsidTr="001F1FCA">
        <w:trPr>
          <w:trHeight w:val="283"/>
          <w:jc w:val="center"/>
        </w:trPr>
        <w:tc>
          <w:tcPr>
            <w:tcW w:w="5000" w:type="pct"/>
            <w:gridSpan w:val="6"/>
            <w:tcBorders>
              <w:top w:val="nil"/>
              <w:left w:val="nil"/>
              <w:right w:val="nil"/>
            </w:tcBorders>
          </w:tcPr>
          <w:p w14:paraId="3EF3B7A5" w14:textId="77777777" w:rsidR="002200FB" w:rsidRPr="00024A9C" w:rsidRDefault="001F1FCA" w:rsidP="00936BB2">
            <w:pPr>
              <w:ind w:firstLine="284"/>
              <w:jc w:val="right"/>
              <w:rPr>
                <w:rFonts w:ascii="Times New Roman" w:hAnsi="Times New Roman" w:cs="Times New Roman"/>
                <w:sz w:val="28"/>
                <w:szCs w:val="28"/>
                <w:lang w:val="uk-UA"/>
              </w:rPr>
            </w:pPr>
            <w:r w:rsidRPr="00024A9C">
              <w:rPr>
                <w:rFonts w:ascii="Times New Roman" w:hAnsi="Times New Roman" w:cs="Times New Roman"/>
                <w:sz w:val="28"/>
                <w:szCs w:val="28"/>
                <w:lang w:val="uk-UA"/>
              </w:rPr>
              <w:lastRenderedPageBreak/>
              <w:t>Продовження таблиці 2.20</w:t>
            </w:r>
          </w:p>
        </w:tc>
      </w:tr>
      <w:tr w:rsidR="002200FB" w:rsidRPr="00042924" w14:paraId="4BC4D1F2" w14:textId="77777777" w:rsidTr="008C346E">
        <w:trPr>
          <w:trHeight w:val="227"/>
          <w:jc w:val="center"/>
        </w:trPr>
        <w:tc>
          <w:tcPr>
            <w:tcW w:w="158" w:type="pct"/>
            <w:vAlign w:val="center"/>
          </w:tcPr>
          <w:p w14:paraId="6E3BB5CB" w14:textId="77777777" w:rsidR="002200FB" w:rsidRPr="00042924" w:rsidRDefault="002200FB" w:rsidP="002200FB">
            <w:pPr>
              <w:ind w:left="57"/>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2623" w:type="pct"/>
            <w:vAlign w:val="center"/>
          </w:tcPr>
          <w:p w14:paraId="03BA260F" w14:textId="77777777" w:rsidR="002200FB" w:rsidRPr="00DE6126" w:rsidRDefault="002200FB" w:rsidP="002200FB">
            <w:pPr>
              <w:ind w:left="57"/>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2</w:t>
            </w:r>
          </w:p>
        </w:tc>
        <w:tc>
          <w:tcPr>
            <w:tcW w:w="524" w:type="pct"/>
            <w:vAlign w:val="center"/>
          </w:tcPr>
          <w:p w14:paraId="1752C3ED" w14:textId="77777777" w:rsidR="002200FB" w:rsidRPr="00042924" w:rsidRDefault="002200FB" w:rsidP="002200FB">
            <w:pPr>
              <w:jc w:val="center"/>
              <w:rPr>
                <w:rFonts w:ascii="Times New Roman" w:hAnsi="Times New Roman" w:cs="Times New Roman"/>
                <w:color w:val="212529"/>
                <w:sz w:val="20"/>
                <w:szCs w:val="20"/>
                <w:shd w:val="clear" w:color="auto" w:fill="FFFFFF"/>
                <w:lang w:val="uk-UA"/>
              </w:rPr>
            </w:pPr>
            <w:r>
              <w:rPr>
                <w:rFonts w:ascii="Times New Roman" w:hAnsi="Times New Roman" w:cs="Times New Roman"/>
                <w:color w:val="212529"/>
                <w:sz w:val="20"/>
                <w:szCs w:val="20"/>
                <w:shd w:val="clear" w:color="auto" w:fill="FFFFFF"/>
                <w:lang w:val="uk-UA"/>
              </w:rPr>
              <w:t>3</w:t>
            </w:r>
          </w:p>
        </w:tc>
        <w:tc>
          <w:tcPr>
            <w:tcW w:w="524" w:type="pct"/>
            <w:vAlign w:val="center"/>
          </w:tcPr>
          <w:p w14:paraId="5D331098" w14:textId="77777777" w:rsidR="002200FB" w:rsidRPr="00DE6126" w:rsidRDefault="002200FB" w:rsidP="002200FB">
            <w:pPr>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4</w:t>
            </w:r>
          </w:p>
        </w:tc>
        <w:tc>
          <w:tcPr>
            <w:tcW w:w="526" w:type="pct"/>
            <w:vAlign w:val="center"/>
          </w:tcPr>
          <w:p w14:paraId="0B108B96" w14:textId="77777777" w:rsidR="002200FB" w:rsidRPr="00DE6126" w:rsidRDefault="002200FB" w:rsidP="002200FB">
            <w:pPr>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5</w:t>
            </w:r>
          </w:p>
        </w:tc>
        <w:tc>
          <w:tcPr>
            <w:tcW w:w="644" w:type="pct"/>
            <w:vAlign w:val="center"/>
          </w:tcPr>
          <w:p w14:paraId="14C7B058" w14:textId="77777777" w:rsidR="002200FB" w:rsidRPr="002200FB" w:rsidRDefault="002200FB" w:rsidP="002200FB">
            <w:pPr>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F01276" w:rsidRPr="00042924" w14:paraId="2A900D9A" w14:textId="77777777" w:rsidTr="008C346E">
        <w:trPr>
          <w:trHeight w:val="283"/>
          <w:jc w:val="center"/>
        </w:trPr>
        <w:tc>
          <w:tcPr>
            <w:tcW w:w="158" w:type="pct"/>
            <w:vAlign w:val="center"/>
          </w:tcPr>
          <w:p w14:paraId="58B710AC"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3</w:t>
            </w:r>
          </w:p>
        </w:tc>
        <w:tc>
          <w:tcPr>
            <w:tcW w:w="2623" w:type="pct"/>
            <w:vAlign w:val="center"/>
          </w:tcPr>
          <w:p w14:paraId="02077593" w14:textId="77777777" w:rsidR="00F01276" w:rsidRPr="00042924" w:rsidRDefault="00F01276" w:rsidP="00F01276">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Рентабельність (пасивів) активів (EBITDA в чисельнику), %</w:t>
            </w:r>
          </w:p>
        </w:tc>
        <w:tc>
          <w:tcPr>
            <w:tcW w:w="524" w:type="pct"/>
            <w:vAlign w:val="center"/>
          </w:tcPr>
          <w:p w14:paraId="733628C5"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hAnsi="Times New Roman" w:cs="Times New Roman"/>
                <w:color w:val="212529"/>
                <w:sz w:val="20"/>
                <w:szCs w:val="20"/>
                <w:shd w:val="clear" w:color="auto" w:fill="FFFFFF"/>
                <w:lang w:val="uk-UA"/>
              </w:rPr>
              <w:t>2,25</w:t>
            </w:r>
          </w:p>
        </w:tc>
        <w:tc>
          <w:tcPr>
            <w:tcW w:w="524" w:type="pct"/>
            <w:vAlign w:val="center"/>
          </w:tcPr>
          <w:p w14:paraId="7FC6F963"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39,48</w:t>
            </w:r>
          </w:p>
        </w:tc>
        <w:tc>
          <w:tcPr>
            <w:tcW w:w="526" w:type="pct"/>
            <w:vAlign w:val="center"/>
          </w:tcPr>
          <w:p w14:paraId="0F5A4A6C" w14:textId="77777777" w:rsidR="00F01276" w:rsidRPr="00042924"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-55,57</w:t>
            </w:r>
          </w:p>
        </w:tc>
        <w:tc>
          <w:tcPr>
            <w:tcW w:w="644" w:type="pct"/>
            <w:vAlign w:val="center"/>
          </w:tcPr>
          <w:p w14:paraId="15E5C3AA"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-57,820</w:t>
            </w:r>
          </w:p>
        </w:tc>
      </w:tr>
      <w:tr w:rsidR="00F01276" w:rsidRPr="00042924" w14:paraId="36F82874" w14:textId="77777777" w:rsidTr="008C346E">
        <w:trPr>
          <w:trHeight w:val="283"/>
          <w:jc w:val="center"/>
        </w:trPr>
        <w:tc>
          <w:tcPr>
            <w:tcW w:w="158" w:type="pct"/>
            <w:vAlign w:val="center"/>
          </w:tcPr>
          <w:p w14:paraId="7366934D"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4</w:t>
            </w:r>
          </w:p>
        </w:tc>
        <w:tc>
          <w:tcPr>
            <w:tcW w:w="2623" w:type="pct"/>
            <w:vAlign w:val="center"/>
          </w:tcPr>
          <w:p w14:paraId="412DE051" w14:textId="77777777" w:rsidR="00F01276" w:rsidRPr="00CF6EBA" w:rsidRDefault="00F01276" w:rsidP="00F01276">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Рентабельність виробничих фондів, %</w:t>
            </w:r>
          </w:p>
        </w:tc>
        <w:tc>
          <w:tcPr>
            <w:tcW w:w="524" w:type="pct"/>
            <w:vAlign w:val="center"/>
          </w:tcPr>
          <w:p w14:paraId="18035A45"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042924">
              <w:rPr>
                <w:rFonts w:ascii="Times New Roman" w:eastAsia="Times New Roman" w:hAnsi="Times New Roman" w:cs="Times New Roman"/>
                <w:color w:val="000000" w:themeColor="text1"/>
                <w:kern w:val="0"/>
                <w:sz w:val="20"/>
                <w:szCs w:val="20"/>
                <w:lang w:val="uk-UA" w:eastAsia="uk-UA"/>
                <w14:ligatures w14:val="none"/>
              </w:rPr>
              <w:t>1,26</w:t>
            </w:r>
          </w:p>
        </w:tc>
        <w:tc>
          <w:tcPr>
            <w:tcW w:w="524" w:type="pct"/>
            <w:vAlign w:val="center"/>
          </w:tcPr>
          <w:p w14:paraId="53AAD08C"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40,07</w:t>
            </w:r>
          </w:p>
        </w:tc>
        <w:tc>
          <w:tcPr>
            <w:tcW w:w="526" w:type="pct"/>
            <w:vAlign w:val="center"/>
          </w:tcPr>
          <w:p w14:paraId="5B0F6FA3"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-98,55</w:t>
            </w:r>
          </w:p>
        </w:tc>
        <w:tc>
          <w:tcPr>
            <w:tcW w:w="644" w:type="pct"/>
            <w:vAlign w:val="center"/>
          </w:tcPr>
          <w:p w14:paraId="7A3AA5D0"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-99,810</w:t>
            </w:r>
          </w:p>
        </w:tc>
      </w:tr>
      <w:tr w:rsidR="00F01276" w:rsidRPr="00042924" w14:paraId="6BCD25CA" w14:textId="77777777" w:rsidTr="008C346E">
        <w:trPr>
          <w:trHeight w:val="283"/>
          <w:jc w:val="center"/>
        </w:trPr>
        <w:tc>
          <w:tcPr>
            <w:tcW w:w="158" w:type="pct"/>
            <w:vAlign w:val="center"/>
          </w:tcPr>
          <w:p w14:paraId="6934C8C6"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5</w:t>
            </w:r>
          </w:p>
        </w:tc>
        <w:tc>
          <w:tcPr>
            <w:tcW w:w="2623" w:type="pct"/>
            <w:vAlign w:val="center"/>
          </w:tcPr>
          <w:p w14:paraId="29073D95" w14:textId="77777777" w:rsidR="00F01276" w:rsidRPr="00CF6EBA" w:rsidRDefault="00F01276" w:rsidP="00F01276">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Рентабельність продажів за валовим прибутком (валова маржа), %</w:t>
            </w:r>
          </w:p>
        </w:tc>
        <w:tc>
          <w:tcPr>
            <w:tcW w:w="524" w:type="pct"/>
            <w:vAlign w:val="center"/>
          </w:tcPr>
          <w:p w14:paraId="15D234F4"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7,33</w:t>
            </w:r>
          </w:p>
        </w:tc>
        <w:tc>
          <w:tcPr>
            <w:tcW w:w="524" w:type="pct"/>
            <w:vAlign w:val="center"/>
          </w:tcPr>
          <w:p w14:paraId="3C46347B"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31,78</w:t>
            </w:r>
          </w:p>
        </w:tc>
        <w:tc>
          <w:tcPr>
            <w:tcW w:w="526" w:type="pct"/>
            <w:vAlign w:val="center"/>
          </w:tcPr>
          <w:p w14:paraId="6C58233B"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-27,41</w:t>
            </w:r>
          </w:p>
        </w:tc>
        <w:tc>
          <w:tcPr>
            <w:tcW w:w="644" w:type="pct"/>
            <w:vAlign w:val="center"/>
          </w:tcPr>
          <w:p w14:paraId="0C4C7264"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-34,740</w:t>
            </w:r>
          </w:p>
        </w:tc>
      </w:tr>
      <w:tr w:rsidR="00F01276" w:rsidRPr="00042924" w14:paraId="5C5276D0" w14:textId="77777777" w:rsidTr="008C346E">
        <w:trPr>
          <w:trHeight w:val="283"/>
          <w:jc w:val="center"/>
        </w:trPr>
        <w:tc>
          <w:tcPr>
            <w:tcW w:w="158" w:type="pct"/>
            <w:vAlign w:val="center"/>
          </w:tcPr>
          <w:p w14:paraId="382FB0D1"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6</w:t>
            </w:r>
          </w:p>
        </w:tc>
        <w:tc>
          <w:tcPr>
            <w:tcW w:w="2623" w:type="pct"/>
            <w:vAlign w:val="center"/>
          </w:tcPr>
          <w:p w14:paraId="189F1446" w14:textId="77777777" w:rsidR="00F01276" w:rsidRPr="00CF6EBA" w:rsidRDefault="00F01276" w:rsidP="00F01276">
            <w:pPr>
              <w:ind w:left="57"/>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Рентабельність продажів за операційним прибутком (операційна маржа), %</w:t>
            </w:r>
          </w:p>
        </w:tc>
        <w:tc>
          <w:tcPr>
            <w:tcW w:w="524" w:type="pct"/>
            <w:vAlign w:val="center"/>
          </w:tcPr>
          <w:p w14:paraId="29D98CCF"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3,25</w:t>
            </w:r>
          </w:p>
        </w:tc>
        <w:tc>
          <w:tcPr>
            <w:tcW w:w="524" w:type="pct"/>
            <w:vAlign w:val="center"/>
          </w:tcPr>
          <w:p w14:paraId="19FBB0B3"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28,39</w:t>
            </w:r>
          </w:p>
        </w:tc>
        <w:tc>
          <w:tcPr>
            <w:tcW w:w="526" w:type="pct"/>
            <w:vAlign w:val="center"/>
          </w:tcPr>
          <w:p w14:paraId="67B69226" w14:textId="77777777" w:rsidR="00F01276" w:rsidRPr="00CF6EBA" w:rsidRDefault="00F01276" w:rsidP="00F01276">
            <w:pPr>
              <w:jc w:val="center"/>
              <w:rPr>
                <w:rFonts w:ascii="Times New Roman" w:eastAsia="Times New Roman" w:hAnsi="Times New Roman" w:cs="Times New Roman"/>
                <w:color w:val="000000" w:themeColor="text1"/>
                <w:kern w:val="0"/>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-32,09</w:t>
            </w:r>
          </w:p>
        </w:tc>
        <w:tc>
          <w:tcPr>
            <w:tcW w:w="644" w:type="pct"/>
            <w:vAlign w:val="center"/>
          </w:tcPr>
          <w:p w14:paraId="6211B4D0"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-35,340</w:t>
            </w:r>
          </w:p>
        </w:tc>
      </w:tr>
      <w:tr w:rsidR="00F01276" w:rsidRPr="00042924" w14:paraId="0CFBD54C" w14:textId="77777777" w:rsidTr="008C346E">
        <w:trPr>
          <w:trHeight w:val="283"/>
          <w:jc w:val="center"/>
        </w:trPr>
        <w:tc>
          <w:tcPr>
            <w:tcW w:w="158" w:type="pct"/>
            <w:vAlign w:val="center"/>
          </w:tcPr>
          <w:p w14:paraId="62A4EEF0"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7</w:t>
            </w:r>
          </w:p>
        </w:tc>
        <w:tc>
          <w:tcPr>
            <w:tcW w:w="2623" w:type="pct"/>
            <w:vAlign w:val="center"/>
          </w:tcPr>
          <w:p w14:paraId="6C6F642C"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Операційна рентабельність витрат, %</w:t>
            </w:r>
          </w:p>
        </w:tc>
        <w:tc>
          <w:tcPr>
            <w:tcW w:w="524" w:type="pct"/>
            <w:vAlign w:val="center"/>
          </w:tcPr>
          <w:p w14:paraId="0862D6E9"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3,35</w:t>
            </w:r>
          </w:p>
        </w:tc>
        <w:tc>
          <w:tcPr>
            <w:tcW w:w="524" w:type="pct"/>
            <w:vAlign w:val="center"/>
          </w:tcPr>
          <w:p w14:paraId="52DB63E9"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39,39</w:t>
            </w:r>
          </w:p>
        </w:tc>
        <w:tc>
          <w:tcPr>
            <w:tcW w:w="526" w:type="pct"/>
            <w:vAlign w:val="center"/>
          </w:tcPr>
          <w:p w14:paraId="4594D57C"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-24,05</w:t>
            </w:r>
          </w:p>
        </w:tc>
        <w:tc>
          <w:tcPr>
            <w:tcW w:w="644" w:type="pct"/>
            <w:vAlign w:val="center"/>
          </w:tcPr>
          <w:p w14:paraId="79CEC8D7"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-27,400</w:t>
            </w:r>
          </w:p>
        </w:tc>
      </w:tr>
      <w:tr w:rsidR="00F01276" w:rsidRPr="00042924" w14:paraId="5951A930" w14:textId="77777777" w:rsidTr="008C346E">
        <w:trPr>
          <w:trHeight w:val="283"/>
          <w:jc w:val="center"/>
        </w:trPr>
        <w:tc>
          <w:tcPr>
            <w:tcW w:w="158" w:type="pct"/>
            <w:vAlign w:val="center"/>
          </w:tcPr>
          <w:p w14:paraId="34327B62"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8</w:t>
            </w:r>
          </w:p>
        </w:tc>
        <w:tc>
          <w:tcPr>
            <w:tcW w:w="2623" w:type="pct"/>
            <w:vAlign w:val="center"/>
          </w:tcPr>
          <w:p w14:paraId="0FB42FFA"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реінвестування, %</w:t>
            </w:r>
          </w:p>
        </w:tc>
        <w:tc>
          <w:tcPr>
            <w:tcW w:w="524" w:type="pct"/>
            <w:vAlign w:val="center"/>
          </w:tcPr>
          <w:p w14:paraId="0EA14757"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100</w:t>
            </w:r>
          </w:p>
        </w:tc>
        <w:tc>
          <w:tcPr>
            <w:tcW w:w="524" w:type="pct"/>
            <w:vAlign w:val="center"/>
          </w:tcPr>
          <w:p w14:paraId="5C3A8CF3"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61,89</w:t>
            </w:r>
          </w:p>
        </w:tc>
        <w:tc>
          <w:tcPr>
            <w:tcW w:w="526" w:type="pct"/>
            <w:vAlign w:val="center"/>
          </w:tcPr>
          <w:p w14:paraId="4D3E36E5"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100</w:t>
            </w:r>
          </w:p>
        </w:tc>
        <w:tc>
          <w:tcPr>
            <w:tcW w:w="644" w:type="pct"/>
            <w:vAlign w:val="center"/>
          </w:tcPr>
          <w:p w14:paraId="66CCC941"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0,000</w:t>
            </w:r>
          </w:p>
        </w:tc>
      </w:tr>
      <w:tr w:rsidR="00F01276" w:rsidRPr="00042924" w14:paraId="78348E03" w14:textId="77777777" w:rsidTr="008C346E">
        <w:trPr>
          <w:trHeight w:val="283"/>
          <w:jc w:val="center"/>
        </w:trPr>
        <w:tc>
          <w:tcPr>
            <w:tcW w:w="158" w:type="pct"/>
            <w:vAlign w:val="center"/>
          </w:tcPr>
          <w:p w14:paraId="2CD489D4"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9</w:t>
            </w:r>
          </w:p>
        </w:tc>
        <w:tc>
          <w:tcPr>
            <w:tcW w:w="2623" w:type="pct"/>
            <w:vAlign w:val="center"/>
          </w:tcPr>
          <w:p w14:paraId="70B8595D"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стійкості економічного зростання, %</w:t>
            </w:r>
          </w:p>
        </w:tc>
        <w:tc>
          <w:tcPr>
            <w:tcW w:w="524" w:type="pct"/>
            <w:vAlign w:val="center"/>
          </w:tcPr>
          <w:p w14:paraId="6B492C55"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1,22</w:t>
            </w:r>
          </w:p>
        </w:tc>
        <w:tc>
          <w:tcPr>
            <w:tcW w:w="524" w:type="pct"/>
            <w:vAlign w:val="center"/>
          </w:tcPr>
          <w:p w14:paraId="7136BA47"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20,39</w:t>
            </w:r>
          </w:p>
        </w:tc>
        <w:tc>
          <w:tcPr>
            <w:tcW w:w="526" w:type="pct"/>
            <w:vAlign w:val="center"/>
          </w:tcPr>
          <w:p w14:paraId="5B952A4E"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-173,71</w:t>
            </w:r>
          </w:p>
        </w:tc>
        <w:tc>
          <w:tcPr>
            <w:tcW w:w="644" w:type="pct"/>
            <w:vAlign w:val="center"/>
          </w:tcPr>
          <w:p w14:paraId="0484DD90"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-174,930</w:t>
            </w:r>
          </w:p>
        </w:tc>
      </w:tr>
      <w:tr w:rsidR="00F01276" w:rsidRPr="00042924" w14:paraId="1D10A8BB" w14:textId="77777777" w:rsidTr="008C346E">
        <w:trPr>
          <w:trHeight w:val="283"/>
          <w:jc w:val="center"/>
        </w:trPr>
        <w:tc>
          <w:tcPr>
            <w:tcW w:w="158" w:type="pct"/>
            <w:vAlign w:val="center"/>
          </w:tcPr>
          <w:p w14:paraId="13390BD8"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10</w:t>
            </w:r>
          </w:p>
        </w:tc>
        <w:tc>
          <w:tcPr>
            <w:tcW w:w="2623" w:type="pct"/>
            <w:vAlign w:val="center"/>
          </w:tcPr>
          <w:p w14:paraId="0E880F99"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окупності активів</w:t>
            </w:r>
          </w:p>
        </w:tc>
        <w:tc>
          <w:tcPr>
            <w:tcW w:w="524" w:type="pct"/>
            <w:vAlign w:val="center"/>
          </w:tcPr>
          <w:p w14:paraId="14CB27EB"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125,45</w:t>
            </w:r>
          </w:p>
        </w:tc>
        <w:tc>
          <w:tcPr>
            <w:tcW w:w="524" w:type="pct"/>
            <w:vAlign w:val="center"/>
          </w:tcPr>
          <w:p w14:paraId="50C712D9"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3,85</w:t>
            </w:r>
          </w:p>
        </w:tc>
        <w:tc>
          <w:tcPr>
            <w:tcW w:w="526" w:type="pct"/>
            <w:vAlign w:val="center"/>
          </w:tcPr>
          <w:p w14:paraId="002AFCAE"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-1,62</w:t>
            </w:r>
          </w:p>
        </w:tc>
        <w:tc>
          <w:tcPr>
            <w:tcW w:w="644" w:type="pct"/>
            <w:vAlign w:val="center"/>
          </w:tcPr>
          <w:p w14:paraId="0C2C5DA1"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-127,070</w:t>
            </w:r>
          </w:p>
        </w:tc>
      </w:tr>
      <w:tr w:rsidR="00F01276" w:rsidRPr="00042924" w14:paraId="5E2D41FE" w14:textId="77777777" w:rsidTr="008C346E">
        <w:trPr>
          <w:trHeight w:val="283"/>
          <w:jc w:val="center"/>
        </w:trPr>
        <w:tc>
          <w:tcPr>
            <w:tcW w:w="158" w:type="pct"/>
            <w:vAlign w:val="center"/>
          </w:tcPr>
          <w:p w14:paraId="2325DB7A"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hAnsi="Times New Roman" w:cs="Times New Roman"/>
                <w:sz w:val="20"/>
                <w:szCs w:val="20"/>
                <w:lang w:val="uk-UA"/>
              </w:rPr>
              <w:t>11</w:t>
            </w:r>
          </w:p>
        </w:tc>
        <w:tc>
          <w:tcPr>
            <w:tcW w:w="2623" w:type="pct"/>
            <w:vAlign w:val="center"/>
          </w:tcPr>
          <w:p w14:paraId="7E61A1D5" w14:textId="77777777" w:rsidR="00F01276" w:rsidRPr="00042924" w:rsidRDefault="00F01276" w:rsidP="00F01276">
            <w:pPr>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окупності власного капіталу</w:t>
            </w:r>
          </w:p>
        </w:tc>
        <w:tc>
          <w:tcPr>
            <w:tcW w:w="524" w:type="pct"/>
            <w:vAlign w:val="center"/>
          </w:tcPr>
          <w:p w14:paraId="028A6E05"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82</w:t>
            </w:r>
          </w:p>
        </w:tc>
        <w:tc>
          <w:tcPr>
            <w:tcW w:w="524" w:type="pct"/>
            <w:vAlign w:val="center"/>
          </w:tcPr>
          <w:p w14:paraId="13AB5477"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2,73</w:t>
            </w:r>
          </w:p>
        </w:tc>
        <w:tc>
          <w:tcPr>
            <w:tcW w:w="526" w:type="pct"/>
            <w:vAlign w:val="center"/>
          </w:tcPr>
          <w:p w14:paraId="2ED417E0" w14:textId="77777777" w:rsidR="00F01276" w:rsidRPr="00042924"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-1,07</w:t>
            </w:r>
          </w:p>
        </w:tc>
        <w:tc>
          <w:tcPr>
            <w:tcW w:w="644" w:type="pct"/>
            <w:vAlign w:val="center"/>
          </w:tcPr>
          <w:p w14:paraId="19A4B129" w14:textId="77777777" w:rsidR="00F01276" w:rsidRPr="00F01276" w:rsidRDefault="00F01276" w:rsidP="00F01276">
            <w:pPr>
              <w:jc w:val="center"/>
              <w:rPr>
                <w:rFonts w:ascii="Times New Roman" w:eastAsia="Times New Roman" w:hAnsi="Times New Roman" w:cs="Times New Roman"/>
                <w:color w:val="000000" w:themeColor="text1"/>
                <w:sz w:val="20"/>
                <w:szCs w:val="20"/>
                <w:lang w:val="uk-UA" w:eastAsia="uk-UA"/>
                <w14:ligatures w14:val="none"/>
              </w:rPr>
            </w:pPr>
            <w:r w:rsidRPr="00F01276">
              <w:rPr>
                <w:rFonts w:ascii="Times New Roman" w:hAnsi="Times New Roman" w:cs="Times New Roman"/>
                <w:sz w:val="20"/>
                <w:szCs w:val="20"/>
              </w:rPr>
              <w:t>-83,070</w:t>
            </w:r>
          </w:p>
        </w:tc>
      </w:tr>
    </w:tbl>
    <w:p w14:paraId="09498DC9" w14:textId="77777777" w:rsidR="00A428C2" w:rsidRPr="00042924" w:rsidRDefault="00A428C2" w:rsidP="00A428C2">
      <w:pPr>
        <w:spacing w:after="0" w:line="240" w:lineRule="auto"/>
        <w:ind w:firstLine="284"/>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Джерело:</w:t>
      </w:r>
      <w:r w:rsidRPr="00042924">
        <w:rPr>
          <w:rFonts w:ascii="Times New Roman" w:eastAsia="Times New Roman" w:hAnsi="Times New Roman" w:cs="Times New Roman"/>
          <w:kern w:val="0"/>
          <w:sz w:val="28"/>
          <w:szCs w:val="28"/>
          <w:lang w:val="uk-UA"/>
          <w14:ligatures w14:val="none"/>
        </w:rPr>
        <w:t xml:space="preserve"> сформовано</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 xml:space="preserve">автором за даними </w:t>
      </w:r>
      <w:r w:rsidRPr="00042924">
        <w:rPr>
          <w:rFonts w:ascii="Times New Roman" w:eastAsia="Times New Roman" w:hAnsi="Times New Roman" w:cs="Times New Roman"/>
          <w:sz w:val="28"/>
          <w:szCs w:val="28"/>
          <w:lang w:val="uk-UA"/>
        </w:rPr>
        <w:t>[33]</w:t>
      </w:r>
    </w:p>
    <w:p w14:paraId="65D109B2" w14:textId="77777777" w:rsidR="00AF7F5D" w:rsidRPr="00042924" w:rsidRDefault="00AF7F5D" w:rsidP="00167928">
      <w:pPr>
        <w:spacing w:after="0" w:line="240" w:lineRule="auto"/>
        <w:jc w:val="both"/>
        <w:rPr>
          <w:rFonts w:ascii="Times New Roman" w:eastAsia="Times New Roman" w:hAnsi="Times New Roman" w:cs="Times New Roman"/>
          <w:color w:val="000000" w:themeColor="text1"/>
          <w:kern w:val="0"/>
          <w:sz w:val="28"/>
          <w:szCs w:val="28"/>
          <w:lang w:val="uk-UA" w:eastAsia="uk-UA"/>
          <w14:ligatures w14:val="none"/>
        </w:rPr>
      </w:pPr>
    </w:p>
    <w:p w14:paraId="1F6DDBEA"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В таблиці 2.2</w:t>
      </w:r>
      <w:r w:rsidR="005F3999" w:rsidRPr="00042924">
        <w:rPr>
          <w:rFonts w:ascii="Times New Roman" w:eastAsia="Times New Roman" w:hAnsi="Times New Roman" w:cs="Times New Roman"/>
          <w:color w:val="000000" w:themeColor="text1"/>
          <w:kern w:val="0"/>
          <w:sz w:val="28"/>
          <w:szCs w:val="28"/>
          <w:lang w:val="uk-UA" w:eastAsia="uk-UA"/>
          <w14:ligatures w14:val="none"/>
        </w:rPr>
        <w:t>0</w:t>
      </w:r>
      <w:r w:rsidRPr="00042924">
        <w:rPr>
          <w:rFonts w:ascii="Times New Roman" w:eastAsia="Times New Roman" w:hAnsi="Times New Roman" w:cs="Times New Roman"/>
          <w:color w:val="000000" w:themeColor="text1"/>
          <w:kern w:val="0"/>
          <w:sz w:val="28"/>
          <w:szCs w:val="28"/>
          <w:lang w:val="uk-UA" w:eastAsia="uk-UA"/>
          <w14:ligatures w14:val="none"/>
        </w:rPr>
        <w:t xml:space="preserve"> наведено показники рентабельності ПАТ </w:t>
      </w:r>
      <w:r w:rsidR="00CB7F83">
        <w:rPr>
          <w:rFonts w:ascii="Times New Roman" w:eastAsia="Times New Roman" w:hAnsi="Times New Roman" w:cs="Times New Roman"/>
          <w:color w:val="000000" w:themeColor="text1"/>
          <w:kern w:val="0"/>
          <w:sz w:val="28"/>
          <w:szCs w:val="28"/>
          <w:lang w:val="uk-UA" w:eastAsia="uk-UA"/>
          <w14:ligatures w14:val="none"/>
        </w:rPr>
        <w:t>«АМКР»</w:t>
      </w:r>
      <w:r w:rsidRPr="00042924">
        <w:rPr>
          <w:rFonts w:ascii="Times New Roman" w:eastAsia="Times New Roman" w:hAnsi="Times New Roman" w:cs="Times New Roman"/>
          <w:color w:val="000000" w:themeColor="text1"/>
          <w:kern w:val="0"/>
          <w:sz w:val="28"/>
          <w:szCs w:val="28"/>
          <w:lang w:val="uk-UA" w:eastAsia="uk-UA"/>
          <w14:ligatures w14:val="none"/>
        </w:rPr>
        <w:t>. Аналіз даних свідчить про різке погіршення показників рентабельності у 2022 році порівняно з попереднім роком.</w:t>
      </w:r>
    </w:p>
    <w:p w14:paraId="549A6936"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Зокрема, рентабельність активів за чистим прибутком у 2022 році склала -61,85%, тоді як у 2021 році цей показник був позитивним і становив 25,98%. Аналогічна ситуація спостерігається з іншими показниками рентабельності активів. Це </w:t>
      </w:r>
      <w:r w:rsidR="003808AA">
        <w:rPr>
          <w:rFonts w:ascii="Times New Roman" w:eastAsia="Times New Roman" w:hAnsi="Times New Roman" w:cs="Times New Roman"/>
          <w:color w:val="000000" w:themeColor="text1"/>
          <w:kern w:val="0"/>
          <w:sz w:val="28"/>
          <w:szCs w:val="28"/>
          <w:lang w:val="uk-UA" w:eastAsia="uk-UA"/>
          <w14:ligatures w14:val="none"/>
        </w:rPr>
        <w:t>вказує на</w:t>
      </w:r>
      <w:r w:rsidRPr="00042924">
        <w:rPr>
          <w:rFonts w:ascii="Times New Roman" w:eastAsia="Times New Roman" w:hAnsi="Times New Roman" w:cs="Times New Roman"/>
          <w:color w:val="000000" w:themeColor="text1"/>
          <w:kern w:val="0"/>
          <w:sz w:val="28"/>
          <w:szCs w:val="28"/>
          <w:lang w:val="uk-UA" w:eastAsia="uk-UA"/>
          <w14:ligatures w14:val="none"/>
        </w:rPr>
        <w:t xml:space="preserve"> збитковість діяльності підприємства у 2022 році.</w:t>
      </w:r>
    </w:p>
    <w:p w14:paraId="42C32837" w14:textId="77777777" w:rsidR="00E770EF"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Також значно погіршилися показники рентабельності виробничих фондів, продажів та витрат. Усі ці дані </w:t>
      </w:r>
      <w:r w:rsidR="001153B9">
        <w:rPr>
          <w:rFonts w:ascii="Times New Roman" w:eastAsia="Times New Roman" w:hAnsi="Times New Roman" w:cs="Times New Roman"/>
          <w:color w:val="000000" w:themeColor="text1"/>
          <w:kern w:val="0"/>
          <w:sz w:val="28"/>
          <w:szCs w:val="28"/>
          <w:lang w:val="uk-UA" w:eastAsia="uk-UA"/>
          <w14:ligatures w14:val="none"/>
        </w:rPr>
        <w:t>підтверджують</w:t>
      </w:r>
      <w:r w:rsidRPr="00042924">
        <w:rPr>
          <w:rFonts w:ascii="Times New Roman" w:eastAsia="Times New Roman" w:hAnsi="Times New Roman" w:cs="Times New Roman"/>
          <w:color w:val="000000" w:themeColor="text1"/>
          <w:kern w:val="0"/>
          <w:sz w:val="28"/>
          <w:szCs w:val="28"/>
          <w:lang w:val="uk-UA" w:eastAsia="uk-UA"/>
          <w14:ligatures w14:val="none"/>
        </w:rPr>
        <w:t xml:space="preserve"> низьку ефективність використання наявних ресурсів та негативну динаміку прибутковості діяльності підприємства.</w:t>
      </w:r>
    </w:p>
    <w:p w14:paraId="53EA9986" w14:textId="77777777" w:rsidR="006E791D" w:rsidRPr="00042924" w:rsidRDefault="00E770EF"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 xml:space="preserve">Отже, за результатами аналізу можна констатувати істотне зниження ефективності та прибутковості господарської діяльності ПАТ </w:t>
      </w:r>
      <w:r w:rsidR="00CB7F83">
        <w:rPr>
          <w:rFonts w:ascii="Times New Roman" w:eastAsia="Times New Roman" w:hAnsi="Times New Roman" w:cs="Times New Roman"/>
          <w:color w:val="000000" w:themeColor="text1"/>
          <w:kern w:val="0"/>
          <w:sz w:val="28"/>
          <w:szCs w:val="28"/>
          <w:lang w:val="uk-UA" w:eastAsia="uk-UA"/>
          <w14:ligatures w14:val="none"/>
        </w:rPr>
        <w:t>«АМКР»</w:t>
      </w:r>
      <w:r w:rsidRPr="00042924">
        <w:rPr>
          <w:rFonts w:ascii="Times New Roman" w:eastAsia="Times New Roman" w:hAnsi="Times New Roman" w:cs="Times New Roman"/>
          <w:color w:val="000000" w:themeColor="text1"/>
          <w:kern w:val="0"/>
          <w:sz w:val="28"/>
          <w:szCs w:val="28"/>
          <w:lang w:val="uk-UA" w:eastAsia="uk-UA"/>
          <w14:ligatures w14:val="none"/>
        </w:rPr>
        <w:t xml:space="preserve"> у 2022 році, що потребує термінових заходів для виправлення ситуації.</w:t>
      </w:r>
    </w:p>
    <w:p w14:paraId="6A1097D2" w14:textId="77777777" w:rsidR="003C4019" w:rsidRPr="00042924" w:rsidRDefault="00C8073C" w:rsidP="00E770EF">
      <w:pPr>
        <w:spacing w:after="0" w:line="240" w:lineRule="auto"/>
        <w:ind w:firstLine="709"/>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З метою більш глибокого розгляду та аналізу цих аспектів, переходимо до розгляду показників ділової активності в таблиці 2.21</w:t>
      </w:r>
    </w:p>
    <w:p w14:paraId="199D53F2" w14:textId="77777777" w:rsidR="008D7F20" w:rsidRPr="00042924" w:rsidRDefault="008D7F20" w:rsidP="00167928">
      <w:pPr>
        <w:spacing w:after="0" w:line="240" w:lineRule="auto"/>
        <w:jc w:val="both"/>
        <w:rPr>
          <w:rFonts w:ascii="Times New Roman" w:eastAsia="Times New Roman" w:hAnsi="Times New Roman" w:cs="Times New Roman"/>
          <w:color w:val="000000" w:themeColor="text1"/>
          <w:kern w:val="0"/>
          <w:sz w:val="28"/>
          <w:szCs w:val="28"/>
          <w:lang w:val="uk-UA" w:eastAsia="uk-UA"/>
          <w14:ligatures w14:val="none"/>
        </w:rPr>
      </w:pPr>
    </w:p>
    <w:p w14:paraId="43AA19AB" w14:textId="77777777" w:rsidR="008C346E" w:rsidRPr="00042924" w:rsidRDefault="00CC4680" w:rsidP="008C346E">
      <w:pPr>
        <w:spacing w:after="0" w:line="240" w:lineRule="auto"/>
        <w:ind w:firstLine="709"/>
        <w:jc w:val="both"/>
        <w:rPr>
          <w:rFonts w:ascii="Times New Roman" w:hAnsi="Times New Roman" w:cs="Times New Roman"/>
          <w:spacing w:val="-1"/>
          <w:sz w:val="28"/>
          <w:szCs w:val="36"/>
          <w:lang w:val="uk-UA" w:eastAsia="uk-UA"/>
        </w:rPr>
      </w:pPr>
      <w:r w:rsidRPr="00042924">
        <w:rPr>
          <w:rFonts w:ascii="Times New Roman" w:eastAsia="Times New Roman" w:hAnsi="Times New Roman" w:cs="Times New Roman"/>
          <w:color w:val="000000" w:themeColor="text1"/>
          <w:kern w:val="0"/>
          <w:sz w:val="28"/>
          <w:szCs w:val="28"/>
          <w:lang w:val="uk-UA" w:eastAsia="uk-UA"/>
          <w14:ligatures w14:val="none"/>
        </w:rPr>
        <w:t>Таблиця 2.2</w:t>
      </w:r>
      <w:r w:rsidR="005F3999" w:rsidRPr="00042924">
        <w:rPr>
          <w:rFonts w:ascii="Times New Roman" w:eastAsia="Times New Roman" w:hAnsi="Times New Roman" w:cs="Times New Roman"/>
          <w:color w:val="000000" w:themeColor="text1"/>
          <w:kern w:val="0"/>
          <w:sz w:val="28"/>
          <w:szCs w:val="28"/>
          <w:lang w:val="uk-UA" w:eastAsia="uk-UA"/>
          <w14:ligatures w14:val="none"/>
        </w:rPr>
        <w:t>1</w:t>
      </w:r>
      <w:r w:rsidRPr="00042924">
        <w:rPr>
          <w:rFonts w:ascii="Times New Roman" w:eastAsia="Times New Roman" w:hAnsi="Times New Roman" w:cs="Times New Roman"/>
          <w:color w:val="000000" w:themeColor="text1"/>
          <w:kern w:val="0"/>
          <w:sz w:val="28"/>
          <w:szCs w:val="28"/>
          <w:lang w:val="uk-UA" w:eastAsia="uk-UA"/>
          <w14:ligatures w14:val="none"/>
        </w:rPr>
        <w:t xml:space="preserve"> - Показники ділової активності</w:t>
      </w:r>
      <w:r w:rsidR="008C346E">
        <w:rPr>
          <w:rFonts w:ascii="Times New Roman" w:eastAsia="Times New Roman" w:hAnsi="Times New Roman" w:cs="Times New Roman"/>
          <w:color w:val="000000" w:themeColor="text1"/>
          <w:kern w:val="0"/>
          <w:sz w:val="28"/>
          <w:szCs w:val="28"/>
          <w:lang w:val="uk-UA" w:eastAsia="uk-UA"/>
          <w14:ligatures w14:val="none"/>
        </w:rPr>
        <w:t xml:space="preserve"> </w:t>
      </w:r>
      <w:r w:rsidR="008C346E" w:rsidRPr="00042924">
        <w:rPr>
          <w:rFonts w:ascii="Times New Roman" w:hAnsi="Times New Roman" w:cs="Times New Roman"/>
          <w:spacing w:val="-1"/>
          <w:sz w:val="28"/>
          <w:szCs w:val="36"/>
          <w:lang w:val="uk-UA" w:eastAsia="uk-UA"/>
        </w:rPr>
        <w:t>ПАТ «АМКР</w:t>
      </w:r>
      <w:r w:rsidR="008C346E">
        <w:rPr>
          <w:rFonts w:ascii="Times New Roman" w:hAnsi="Times New Roman" w:cs="Times New Roman"/>
          <w:spacing w:val="-1"/>
          <w:sz w:val="28"/>
          <w:szCs w:val="36"/>
          <w:lang w:val="uk-UA" w:eastAsia="uk-UA"/>
        </w:rPr>
        <w:t>»</w:t>
      </w:r>
    </w:p>
    <w:tbl>
      <w:tblPr>
        <w:tblW w:w="5003" w:type="pct"/>
        <w:tblInd w:w="-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
        <w:gridCol w:w="5957"/>
        <w:gridCol w:w="1058"/>
        <w:gridCol w:w="1060"/>
        <w:gridCol w:w="1441"/>
      </w:tblGrid>
      <w:tr w:rsidR="00D569BE" w:rsidRPr="00042924" w14:paraId="0785E469" w14:textId="77777777" w:rsidTr="008C346E">
        <w:trPr>
          <w:trHeight w:val="283"/>
        </w:trPr>
        <w:tc>
          <w:tcPr>
            <w:tcW w:w="199" w:type="pct"/>
            <w:vMerge w:val="restart"/>
            <w:tcBorders>
              <w:top w:val="single" w:sz="6" w:space="0" w:color="000000"/>
              <w:left w:val="single" w:sz="6" w:space="0" w:color="000000"/>
              <w:right w:val="single" w:sz="6" w:space="0" w:color="000000"/>
            </w:tcBorders>
            <w:shd w:val="clear" w:color="auto" w:fill="FFFFFF"/>
            <w:vAlign w:val="center"/>
          </w:tcPr>
          <w:p w14:paraId="6FA79C25"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w:t>
            </w:r>
          </w:p>
        </w:tc>
        <w:tc>
          <w:tcPr>
            <w:tcW w:w="300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E2E4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Показники</w:t>
            </w:r>
          </w:p>
        </w:tc>
        <w:tc>
          <w:tcPr>
            <w:tcW w:w="1069"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36ED"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Рік</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219D6"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Абсолютн</w:t>
            </w:r>
            <w:r w:rsidRPr="00042924">
              <w:rPr>
                <w:rFonts w:ascii="Times New Roman" w:eastAsia="Times New Roman" w:hAnsi="Times New Roman" w:cs="Times New Roman"/>
                <w:color w:val="000000" w:themeColor="text1"/>
                <w:sz w:val="20"/>
                <w:szCs w:val="20"/>
                <w:lang w:val="uk-UA" w:eastAsia="uk-UA"/>
                <w14:ligatures w14:val="none"/>
              </w:rPr>
              <w:t xml:space="preserve">е </w:t>
            </w:r>
            <w:r w:rsidRPr="00DE6126">
              <w:rPr>
                <w:rFonts w:ascii="Times New Roman" w:eastAsia="Times New Roman" w:hAnsi="Times New Roman" w:cs="Times New Roman"/>
                <w:color w:val="000000" w:themeColor="text1"/>
                <w:sz w:val="20"/>
                <w:szCs w:val="20"/>
                <w:lang w:val="uk-UA" w:eastAsia="uk-UA"/>
                <w14:ligatures w14:val="none"/>
              </w:rPr>
              <w:t>відхилення</w:t>
            </w:r>
          </w:p>
        </w:tc>
      </w:tr>
      <w:tr w:rsidR="00D569BE" w:rsidRPr="00042924" w14:paraId="0B50ECB9" w14:textId="77777777" w:rsidTr="008C346E">
        <w:trPr>
          <w:trHeight w:val="283"/>
        </w:trPr>
        <w:tc>
          <w:tcPr>
            <w:tcW w:w="199" w:type="pct"/>
            <w:vMerge/>
            <w:tcBorders>
              <w:left w:val="single" w:sz="6" w:space="0" w:color="000000"/>
              <w:bottom w:val="single" w:sz="6" w:space="0" w:color="000000"/>
              <w:right w:val="single" w:sz="6" w:space="0" w:color="000000"/>
            </w:tcBorders>
            <w:shd w:val="clear" w:color="auto" w:fill="FFFFFF"/>
            <w:vAlign w:val="center"/>
          </w:tcPr>
          <w:p w14:paraId="3698566E" w14:textId="77777777" w:rsidR="00D569BE" w:rsidRPr="00042924" w:rsidRDefault="00D569BE"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p>
        </w:tc>
        <w:tc>
          <w:tcPr>
            <w:tcW w:w="300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87BFA"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8DA45"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2021</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A689A"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2022</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BA620"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2022 / 2021</w:t>
            </w:r>
          </w:p>
        </w:tc>
      </w:tr>
      <w:tr w:rsidR="00922AA5" w:rsidRPr="00042924" w14:paraId="1812F0F8" w14:textId="77777777" w:rsidTr="008C346E">
        <w:trPr>
          <w:trHeight w:val="227"/>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96398B" w14:textId="77777777" w:rsidR="00922AA5" w:rsidRPr="00042924"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1</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2A5626" w14:textId="77777777" w:rsidR="00922AA5" w:rsidRPr="00DE6126" w:rsidRDefault="00922AA5" w:rsidP="00922AA5">
            <w:pPr>
              <w:spacing w:after="0" w:line="240" w:lineRule="auto"/>
              <w:ind w:left="57"/>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337C2AC" w14:textId="77777777" w:rsidR="00922AA5" w:rsidRPr="00DE6126"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3</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D343CA3" w14:textId="77777777" w:rsidR="00922AA5" w:rsidRPr="00DE6126"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4</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073899" w14:textId="77777777" w:rsidR="00922AA5" w:rsidRPr="00DE6126"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5</w:t>
            </w:r>
          </w:p>
        </w:tc>
      </w:tr>
      <w:tr w:rsidR="005D0ACB" w:rsidRPr="00042924" w14:paraId="5C137A07"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9B31417"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8075"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Оборотність власного капіталу,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FAFF"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1,59</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BD11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0,84</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151FF"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-0,75</w:t>
            </w:r>
          </w:p>
        </w:tc>
      </w:tr>
      <w:tr w:rsidR="005D0ACB" w:rsidRPr="00042924" w14:paraId="4DA13242"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3D48F0"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2</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1CB2"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Оборотність активів, коефіцієнт трансформації,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D95BA"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1,13</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0232"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0,55</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F1B26"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-0,58</w:t>
            </w:r>
          </w:p>
        </w:tc>
      </w:tr>
      <w:tr w:rsidR="005D0ACB" w:rsidRPr="00042924" w14:paraId="49435F1B"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11E352"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3</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A965C"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Фондовіддача,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70B8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2,1</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3E85"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1,24</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2D30"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-0,86</w:t>
            </w:r>
          </w:p>
        </w:tc>
      </w:tr>
      <w:tr w:rsidR="005D0ACB" w:rsidRPr="00042924" w14:paraId="152CCF87"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8A47264"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4</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5292B"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оборотності оборотних активів,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0B00"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2,89</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7B134"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1,16</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5E631"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-1,73</w:t>
            </w:r>
          </w:p>
        </w:tc>
      </w:tr>
      <w:tr w:rsidR="005D0ACB" w:rsidRPr="00042924" w14:paraId="4B4FAC5B"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222CD5"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5</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EC977"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одного обороту оборотних активів, днів</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84DE"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124,6</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CF9B1"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309,39</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AD65"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184,79</w:t>
            </w:r>
          </w:p>
        </w:tc>
      </w:tr>
      <w:tr w:rsidR="005D0ACB" w:rsidRPr="00042924" w14:paraId="060B596A"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940B24"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6</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C51C6"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оборотності запасів,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EFC6"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6,8</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4669"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3,92</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A0EEC"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-2,88</w:t>
            </w:r>
          </w:p>
        </w:tc>
      </w:tr>
      <w:tr w:rsidR="005D0ACB" w:rsidRPr="00042924" w14:paraId="5D6EF448"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71FDA3"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7</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C5704"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одного обороту запасів, днів</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31796"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52,95</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C94E1"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91,94</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86F33"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38,99</w:t>
            </w:r>
          </w:p>
        </w:tc>
      </w:tr>
      <w:tr w:rsidR="005D0ACB" w:rsidRPr="00042924" w14:paraId="57C3E54F"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9E58A2"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8</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AF699"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оборотності готової продукції,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32AD1"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64,34</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E689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29,91</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F72CD"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-34,43</w:t>
            </w:r>
          </w:p>
        </w:tc>
      </w:tr>
      <w:tr w:rsidR="005D0ACB" w:rsidRPr="00042924" w14:paraId="385FE8B9"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140E271"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9</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BBB42"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одного обороту готової продукції, дні</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B7AE9"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5,6</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35BA"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12,04</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51A55"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6,44</w:t>
            </w:r>
          </w:p>
        </w:tc>
      </w:tr>
      <w:tr w:rsidR="005D0ACB" w:rsidRPr="00042924" w14:paraId="1044E057"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6FE3BD"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10</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9E08"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оборотності дебіторської заборгованості,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B609D"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4,26</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63A5A"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1,99</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98E4C"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-2,27</w:t>
            </w:r>
          </w:p>
        </w:tc>
      </w:tr>
      <w:tr w:rsidR="00922AA5" w:rsidRPr="00042924" w14:paraId="05197E3C" w14:textId="77777777" w:rsidTr="008C346E">
        <w:trPr>
          <w:trHeight w:val="283"/>
        </w:trPr>
        <w:tc>
          <w:tcPr>
            <w:tcW w:w="5000" w:type="pct"/>
            <w:gridSpan w:val="5"/>
            <w:tcBorders>
              <w:top w:val="nil"/>
              <w:left w:val="nil"/>
              <w:bottom w:val="single" w:sz="6" w:space="0" w:color="000000"/>
              <w:right w:val="nil"/>
            </w:tcBorders>
            <w:shd w:val="clear" w:color="auto" w:fill="FFFFFF"/>
          </w:tcPr>
          <w:p w14:paraId="3D5F1E48" w14:textId="77777777" w:rsidR="00922AA5" w:rsidRPr="00024A9C" w:rsidRDefault="00922AA5" w:rsidP="008C346E">
            <w:pPr>
              <w:spacing w:after="0" w:line="240" w:lineRule="auto"/>
              <w:ind w:firstLine="284"/>
              <w:jc w:val="right"/>
              <w:rPr>
                <w:rFonts w:ascii="Times New Roman" w:eastAsia="Times New Roman" w:hAnsi="Times New Roman" w:cs="Times New Roman"/>
                <w:color w:val="000000" w:themeColor="text1"/>
                <w:sz w:val="28"/>
                <w:szCs w:val="28"/>
                <w:lang w:val="uk-UA" w:eastAsia="uk-UA"/>
                <w14:ligatures w14:val="none"/>
              </w:rPr>
            </w:pPr>
            <w:r w:rsidRPr="00024A9C">
              <w:rPr>
                <w:rFonts w:ascii="Times New Roman" w:eastAsia="Times New Roman" w:hAnsi="Times New Roman" w:cs="Times New Roman"/>
                <w:color w:val="000000" w:themeColor="text1"/>
                <w:sz w:val="28"/>
                <w:szCs w:val="28"/>
                <w:lang w:val="uk-UA" w:eastAsia="uk-UA"/>
                <w14:ligatures w14:val="none"/>
              </w:rPr>
              <w:lastRenderedPageBreak/>
              <w:t>Продовження таблиці 2.21</w:t>
            </w:r>
          </w:p>
        </w:tc>
      </w:tr>
      <w:tr w:rsidR="00922AA5" w:rsidRPr="00042924" w14:paraId="56EB160C" w14:textId="77777777" w:rsidTr="008C346E">
        <w:trPr>
          <w:trHeight w:val="227"/>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E0C819D" w14:textId="77777777" w:rsidR="00922AA5" w:rsidRPr="00042924"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1</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0D53842" w14:textId="77777777" w:rsidR="00922AA5" w:rsidRPr="00DE6126" w:rsidRDefault="00922AA5" w:rsidP="00922AA5">
            <w:pPr>
              <w:spacing w:after="0" w:line="240" w:lineRule="auto"/>
              <w:ind w:left="57"/>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2</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DBF5C0" w14:textId="77777777" w:rsidR="00922AA5" w:rsidRPr="00DE6126"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3</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6F7BF4" w14:textId="77777777" w:rsidR="00922AA5" w:rsidRPr="00DE6126"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4</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AF2FD44" w14:textId="77777777" w:rsidR="00922AA5" w:rsidRPr="00DE6126" w:rsidRDefault="00922AA5" w:rsidP="00922AA5">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Pr>
                <w:rFonts w:ascii="Times New Roman" w:eastAsia="Times New Roman" w:hAnsi="Times New Roman" w:cs="Times New Roman"/>
                <w:color w:val="000000" w:themeColor="text1"/>
                <w:sz w:val="20"/>
                <w:szCs w:val="20"/>
                <w:lang w:val="uk-UA" w:eastAsia="uk-UA"/>
                <w14:ligatures w14:val="none"/>
              </w:rPr>
              <w:t>5</w:t>
            </w:r>
          </w:p>
        </w:tc>
      </w:tr>
      <w:tr w:rsidR="005D0ACB" w:rsidRPr="00042924" w14:paraId="64E38966"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3B9A1A7"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11</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B4E98"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погашення дебіторської заборгованості, днів</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30FA3"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84,43</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BA1B5"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180,89</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46C9"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96,46</w:t>
            </w:r>
          </w:p>
        </w:tc>
      </w:tr>
      <w:tr w:rsidR="005D0ACB" w:rsidRPr="00042924" w14:paraId="2E44DAF0"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1AFBFA"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12</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16B35"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Коефіцієнт оборотності кредиторської заборгованості, обороти</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A8B5E"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4,68</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1A16A"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3,41</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A3A8B"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-1,27</w:t>
            </w:r>
          </w:p>
        </w:tc>
      </w:tr>
      <w:tr w:rsidR="005D0ACB" w:rsidRPr="00042924" w14:paraId="2F44277A"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28FE701"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13</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DE596"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погашення кредиторської заборгованості, днів</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D6544"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77</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296E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105,48</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3F469"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28,48</w:t>
            </w:r>
          </w:p>
        </w:tc>
      </w:tr>
      <w:tr w:rsidR="005D0ACB" w:rsidRPr="00042924" w14:paraId="67800BB4" w14:textId="77777777" w:rsidTr="008C346E">
        <w:trPr>
          <w:trHeight w:val="283"/>
        </w:trPr>
        <w:tc>
          <w:tcPr>
            <w:tcW w:w="1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AB4A29"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14</w:t>
            </w:r>
          </w:p>
        </w:tc>
        <w:tc>
          <w:tcPr>
            <w:tcW w:w="30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8F4BE"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виробничого циклу, днів</w:t>
            </w:r>
          </w:p>
        </w:tc>
        <w:tc>
          <w:tcPr>
            <w:tcW w:w="5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1DB6F"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44,75</w:t>
            </w:r>
          </w:p>
        </w:tc>
        <w:tc>
          <w:tcPr>
            <w:tcW w:w="5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C3D4B"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82,49</w:t>
            </w:r>
          </w:p>
        </w:tc>
        <w:tc>
          <w:tcPr>
            <w:tcW w:w="7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82569"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37,74</w:t>
            </w:r>
          </w:p>
        </w:tc>
      </w:tr>
      <w:tr w:rsidR="005D0ACB" w:rsidRPr="00042924" w14:paraId="0807C097" w14:textId="77777777" w:rsidTr="008C346E">
        <w:trPr>
          <w:trHeight w:val="283"/>
        </w:trPr>
        <w:tc>
          <w:tcPr>
            <w:tcW w:w="199" w:type="pct"/>
            <w:tcBorders>
              <w:top w:val="single" w:sz="6" w:space="0" w:color="000000"/>
              <w:left w:val="single" w:sz="6" w:space="0" w:color="000000"/>
              <w:bottom w:val="single" w:sz="4" w:space="0" w:color="auto"/>
              <w:right w:val="single" w:sz="6" w:space="0" w:color="000000"/>
            </w:tcBorders>
            <w:shd w:val="clear" w:color="auto" w:fill="FFFFFF"/>
            <w:vAlign w:val="center"/>
          </w:tcPr>
          <w:p w14:paraId="364DDB12"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15</w:t>
            </w:r>
          </w:p>
        </w:tc>
        <w:tc>
          <w:tcPr>
            <w:tcW w:w="3005" w:type="pct"/>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63DA23D8"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операційного циклу, днів</w:t>
            </w:r>
          </w:p>
        </w:tc>
        <w:tc>
          <w:tcPr>
            <w:tcW w:w="534" w:type="pct"/>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429DFB4C"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137,38</w:t>
            </w:r>
          </w:p>
        </w:tc>
        <w:tc>
          <w:tcPr>
            <w:tcW w:w="535" w:type="pct"/>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41BE66AE"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272,83</w:t>
            </w:r>
          </w:p>
        </w:tc>
        <w:tc>
          <w:tcPr>
            <w:tcW w:w="727" w:type="pct"/>
            <w:tcBorders>
              <w:top w:val="single" w:sz="6" w:space="0" w:color="000000"/>
              <w:left w:val="single" w:sz="6" w:space="0" w:color="000000"/>
              <w:bottom w:val="single" w:sz="4" w:space="0" w:color="auto"/>
              <w:right w:val="single" w:sz="6" w:space="0" w:color="000000"/>
            </w:tcBorders>
            <w:shd w:val="clear" w:color="auto" w:fill="FFFFFF"/>
            <w:vAlign w:val="center"/>
            <w:hideMark/>
          </w:tcPr>
          <w:p w14:paraId="4075F36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135,45</w:t>
            </w:r>
          </w:p>
        </w:tc>
      </w:tr>
      <w:tr w:rsidR="005D0ACB" w:rsidRPr="00042924" w14:paraId="2D9E4C35" w14:textId="77777777" w:rsidTr="008C346E">
        <w:trPr>
          <w:trHeight w:val="283"/>
        </w:trPr>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14:paraId="2C74123C" w14:textId="77777777" w:rsidR="00D569BE" w:rsidRPr="00042924" w:rsidRDefault="005D0ACB" w:rsidP="005D0ACB">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042924">
              <w:rPr>
                <w:rFonts w:ascii="Times New Roman" w:eastAsia="Times New Roman" w:hAnsi="Times New Roman" w:cs="Times New Roman"/>
                <w:color w:val="000000" w:themeColor="text1"/>
                <w:sz w:val="20"/>
                <w:szCs w:val="20"/>
                <w:lang w:val="uk-UA" w:eastAsia="uk-UA"/>
                <w14:ligatures w14:val="none"/>
              </w:rPr>
              <w:t>16</w:t>
            </w:r>
          </w:p>
        </w:tc>
        <w:tc>
          <w:tcPr>
            <w:tcW w:w="30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EC562B" w14:textId="77777777" w:rsidR="00D569BE" w:rsidRPr="00DE6126" w:rsidRDefault="00D569BE" w:rsidP="004821BB">
            <w:pPr>
              <w:spacing w:after="0" w:line="240" w:lineRule="auto"/>
              <w:ind w:left="57"/>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Період фінансового циклу, днів</w:t>
            </w:r>
          </w:p>
        </w:tc>
        <w:tc>
          <w:tcPr>
            <w:tcW w:w="5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2AFAD"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60,38</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0A43A8"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167,34</w:t>
            </w:r>
          </w:p>
        </w:tc>
        <w:tc>
          <w:tcPr>
            <w:tcW w:w="7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D26CA2" w14:textId="77777777" w:rsidR="00D569BE" w:rsidRPr="00DE6126" w:rsidRDefault="00D569BE" w:rsidP="00CC4680">
            <w:pPr>
              <w:spacing w:after="0" w:line="240" w:lineRule="auto"/>
              <w:jc w:val="center"/>
              <w:rPr>
                <w:rFonts w:ascii="Times New Roman" w:eastAsia="Times New Roman" w:hAnsi="Times New Roman" w:cs="Times New Roman"/>
                <w:color w:val="000000" w:themeColor="text1"/>
                <w:sz w:val="20"/>
                <w:szCs w:val="20"/>
                <w:lang w:val="uk-UA" w:eastAsia="uk-UA"/>
                <w14:ligatures w14:val="none"/>
              </w:rPr>
            </w:pPr>
            <w:r w:rsidRPr="00DE6126">
              <w:rPr>
                <w:rFonts w:ascii="Times New Roman" w:eastAsia="Times New Roman" w:hAnsi="Times New Roman" w:cs="Times New Roman"/>
                <w:color w:val="000000" w:themeColor="text1"/>
                <w:sz w:val="20"/>
                <w:szCs w:val="20"/>
                <w:lang w:val="uk-UA" w:eastAsia="uk-UA"/>
                <w14:ligatures w14:val="none"/>
              </w:rPr>
              <w:t>106,96</w:t>
            </w:r>
          </w:p>
        </w:tc>
      </w:tr>
    </w:tbl>
    <w:bookmarkEnd w:id="26"/>
    <w:p w14:paraId="2CDE606D" w14:textId="77777777" w:rsidR="00A428C2" w:rsidRPr="00042924" w:rsidRDefault="00A428C2" w:rsidP="00A428C2">
      <w:pPr>
        <w:spacing w:after="0" w:line="240" w:lineRule="auto"/>
        <w:ind w:firstLine="284"/>
        <w:jc w:val="both"/>
        <w:rPr>
          <w:rFonts w:ascii="Times New Roman" w:eastAsia="Times New Roman" w:hAnsi="Times New Roman" w:cs="Times New Roman"/>
          <w:color w:val="000000" w:themeColor="text1"/>
          <w:kern w:val="0"/>
          <w:sz w:val="28"/>
          <w:szCs w:val="28"/>
          <w:lang w:val="uk-UA" w:eastAsia="uk-UA"/>
          <w14:ligatures w14:val="none"/>
        </w:rPr>
      </w:pPr>
      <w:r w:rsidRPr="00042924">
        <w:rPr>
          <w:rFonts w:ascii="Times New Roman" w:eastAsia="Times New Roman" w:hAnsi="Times New Roman" w:cs="Times New Roman"/>
          <w:color w:val="000000" w:themeColor="text1"/>
          <w:kern w:val="0"/>
          <w:sz w:val="28"/>
          <w:szCs w:val="28"/>
          <w:lang w:val="uk-UA" w:eastAsia="uk-UA"/>
          <w14:ligatures w14:val="none"/>
        </w:rPr>
        <w:t>Джерело:</w:t>
      </w:r>
      <w:r w:rsidRPr="00042924">
        <w:rPr>
          <w:rFonts w:ascii="Times New Roman" w:eastAsia="Times New Roman" w:hAnsi="Times New Roman" w:cs="Times New Roman"/>
          <w:kern w:val="0"/>
          <w:sz w:val="28"/>
          <w:szCs w:val="28"/>
          <w:lang w:val="uk-UA"/>
          <w14:ligatures w14:val="none"/>
        </w:rPr>
        <w:t xml:space="preserve"> сформовано</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 xml:space="preserve">автором за даними </w:t>
      </w:r>
      <w:r w:rsidRPr="00042924">
        <w:rPr>
          <w:rFonts w:ascii="Times New Roman" w:eastAsia="Times New Roman" w:hAnsi="Times New Roman" w:cs="Times New Roman"/>
          <w:sz w:val="28"/>
          <w:szCs w:val="28"/>
          <w:lang w:val="uk-UA"/>
        </w:rPr>
        <w:t>[33]</w:t>
      </w:r>
    </w:p>
    <w:p w14:paraId="6A2600E6" w14:textId="77777777" w:rsidR="00B229A6" w:rsidRDefault="00B229A6" w:rsidP="005F3999">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p>
    <w:p w14:paraId="4EFD6673" w14:textId="77777777" w:rsidR="00FF3862" w:rsidRPr="00042924" w:rsidRDefault="00FF3862" w:rsidP="005F3999">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042924">
        <w:rPr>
          <w:rFonts w:ascii="Times New Roman" w:eastAsia="Times New Roman" w:hAnsi="Times New Roman" w:cs="Segoe UI"/>
          <w:color w:val="000000" w:themeColor="text1"/>
          <w:kern w:val="0"/>
          <w:sz w:val="28"/>
          <w:szCs w:val="24"/>
          <w:lang w:val="uk-UA" w:eastAsia="uk-UA"/>
          <w14:ligatures w14:val="none"/>
        </w:rPr>
        <w:t>У таблиці 2.2</w:t>
      </w:r>
      <w:r w:rsidR="005F3999" w:rsidRPr="00042924">
        <w:rPr>
          <w:rFonts w:ascii="Times New Roman" w:eastAsia="Times New Roman" w:hAnsi="Times New Roman" w:cs="Segoe UI"/>
          <w:color w:val="000000" w:themeColor="text1"/>
          <w:kern w:val="0"/>
          <w:sz w:val="28"/>
          <w:szCs w:val="24"/>
          <w:lang w:val="uk-UA" w:eastAsia="uk-UA"/>
          <w14:ligatures w14:val="none"/>
        </w:rPr>
        <w:t>1</w:t>
      </w:r>
      <w:r w:rsidRPr="00042924">
        <w:rPr>
          <w:rFonts w:ascii="Times New Roman" w:eastAsia="Times New Roman" w:hAnsi="Times New Roman" w:cs="Segoe UI"/>
          <w:color w:val="000000" w:themeColor="text1"/>
          <w:kern w:val="0"/>
          <w:sz w:val="28"/>
          <w:szCs w:val="24"/>
          <w:lang w:val="uk-UA" w:eastAsia="uk-UA"/>
          <w14:ligatures w14:val="none"/>
        </w:rPr>
        <w:t xml:space="preserve"> подано показники ділової активності ПАТ </w:t>
      </w:r>
      <w:r w:rsidR="00CB7F83">
        <w:rPr>
          <w:rFonts w:ascii="Times New Roman" w:eastAsia="Times New Roman" w:hAnsi="Times New Roman" w:cs="Segoe UI"/>
          <w:color w:val="000000" w:themeColor="text1"/>
          <w:kern w:val="0"/>
          <w:sz w:val="28"/>
          <w:szCs w:val="24"/>
          <w:lang w:val="uk-UA" w:eastAsia="uk-UA"/>
          <w14:ligatures w14:val="none"/>
        </w:rPr>
        <w:t>«АМКР»</w:t>
      </w:r>
      <w:r w:rsidRPr="00042924">
        <w:rPr>
          <w:rFonts w:ascii="Times New Roman" w:eastAsia="Times New Roman" w:hAnsi="Times New Roman" w:cs="Segoe UI"/>
          <w:color w:val="000000" w:themeColor="text1"/>
          <w:kern w:val="0"/>
          <w:sz w:val="28"/>
          <w:szCs w:val="24"/>
          <w:lang w:val="uk-UA" w:eastAsia="uk-UA"/>
          <w14:ligatures w14:val="none"/>
        </w:rPr>
        <w:t xml:space="preserve">. Аналіз даних </w:t>
      </w:r>
      <w:r w:rsidR="003808AA">
        <w:rPr>
          <w:rFonts w:ascii="Times New Roman" w:eastAsia="Times New Roman" w:hAnsi="Times New Roman" w:cs="Segoe UI"/>
          <w:color w:val="000000" w:themeColor="text1"/>
          <w:kern w:val="0"/>
          <w:sz w:val="28"/>
          <w:szCs w:val="24"/>
          <w:lang w:val="uk-UA" w:eastAsia="uk-UA"/>
          <w14:ligatures w14:val="none"/>
        </w:rPr>
        <w:t>демонструє</w:t>
      </w:r>
      <w:r w:rsidRPr="00042924">
        <w:rPr>
          <w:rFonts w:ascii="Times New Roman" w:eastAsia="Times New Roman" w:hAnsi="Times New Roman" w:cs="Segoe UI"/>
          <w:color w:val="000000" w:themeColor="text1"/>
          <w:kern w:val="0"/>
          <w:sz w:val="28"/>
          <w:szCs w:val="24"/>
          <w:lang w:val="uk-UA" w:eastAsia="uk-UA"/>
          <w14:ligatures w14:val="none"/>
        </w:rPr>
        <w:t xml:space="preserve"> суттєве уповільнення оборотності у 2022 році порівняно з 2021 роком.</w:t>
      </w:r>
    </w:p>
    <w:p w14:paraId="6A501D05" w14:textId="77777777" w:rsidR="00FF3862" w:rsidRPr="00042924" w:rsidRDefault="00FF3862" w:rsidP="005F3999">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042924">
        <w:rPr>
          <w:rFonts w:ascii="Times New Roman" w:eastAsia="Times New Roman" w:hAnsi="Times New Roman" w:cs="Segoe UI"/>
          <w:color w:val="000000" w:themeColor="text1"/>
          <w:kern w:val="0"/>
          <w:sz w:val="28"/>
          <w:szCs w:val="24"/>
          <w:lang w:val="uk-UA" w:eastAsia="uk-UA"/>
          <w14:ligatures w14:val="none"/>
        </w:rPr>
        <w:t>Зокрема, оборотність власного капіталу знизилася з 1,59 оборотів у 2021 році до 0,84 оборотів у 2022. Це означає, що ефективність використання власного капіталу погіршилася. Аналогічні негативні тенденції спостерігаються і за іншими показниками ділової активності.</w:t>
      </w:r>
    </w:p>
    <w:p w14:paraId="1E764174" w14:textId="77777777" w:rsidR="00FF3862" w:rsidRPr="00042924" w:rsidRDefault="00FF3862" w:rsidP="005F3999">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042924">
        <w:rPr>
          <w:rFonts w:ascii="Times New Roman" w:eastAsia="Times New Roman" w:hAnsi="Times New Roman" w:cs="Segoe UI"/>
          <w:color w:val="000000" w:themeColor="text1"/>
          <w:kern w:val="0"/>
          <w:sz w:val="28"/>
          <w:szCs w:val="24"/>
          <w:lang w:val="uk-UA" w:eastAsia="uk-UA"/>
          <w14:ligatures w14:val="none"/>
        </w:rPr>
        <w:t xml:space="preserve">Особливо суттєво збільшився період оборотності оборотних активів - з 124,6 днів у 2021 році до 309,39 днів у 2022. Такі дані </w:t>
      </w:r>
      <w:r w:rsidR="00E555DB">
        <w:rPr>
          <w:rFonts w:ascii="Times New Roman" w:eastAsia="Times New Roman" w:hAnsi="Times New Roman" w:cs="Segoe UI"/>
          <w:color w:val="000000" w:themeColor="text1"/>
          <w:kern w:val="0"/>
          <w:sz w:val="28"/>
          <w:szCs w:val="24"/>
          <w:lang w:val="uk-UA" w:eastAsia="uk-UA"/>
          <w14:ligatures w14:val="none"/>
        </w:rPr>
        <w:t>демонструють</w:t>
      </w:r>
      <w:r w:rsidRPr="00042924">
        <w:rPr>
          <w:rFonts w:ascii="Times New Roman" w:eastAsia="Times New Roman" w:hAnsi="Times New Roman" w:cs="Segoe UI"/>
          <w:color w:val="000000" w:themeColor="text1"/>
          <w:kern w:val="0"/>
          <w:sz w:val="28"/>
          <w:szCs w:val="24"/>
          <w:lang w:val="uk-UA" w:eastAsia="uk-UA"/>
          <w14:ligatures w14:val="none"/>
        </w:rPr>
        <w:t xml:space="preserve"> уповільнення обороту коштів підприємства та неефективне їх використання.</w:t>
      </w:r>
    </w:p>
    <w:p w14:paraId="39B9C38D" w14:textId="77777777" w:rsidR="00B47F31" w:rsidRDefault="00FF3862" w:rsidP="005F3999">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042924">
        <w:rPr>
          <w:rFonts w:ascii="Times New Roman" w:eastAsia="Times New Roman" w:hAnsi="Times New Roman" w:cs="Segoe UI"/>
          <w:color w:val="000000" w:themeColor="text1"/>
          <w:kern w:val="0"/>
          <w:sz w:val="28"/>
          <w:szCs w:val="24"/>
          <w:lang w:val="uk-UA" w:eastAsia="uk-UA"/>
          <w14:ligatures w14:val="none"/>
        </w:rPr>
        <w:t xml:space="preserve">Отже, на основі аналізу можна зробити висновок про істотне уповільнення ділової активності ПАТ </w:t>
      </w:r>
      <w:r w:rsidR="00CB7F83">
        <w:rPr>
          <w:rFonts w:ascii="Times New Roman" w:eastAsia="Times New Roman" w:hAnsi="Times New Roman" w:cs="Segoe UI"/>
          <w:color w:val="000000" w:themeColor="text1"/>
          <w:kern w:val="0"/>
          <w:sz w:val="28"/>
          <w:szCs w:val="24"/>
          <w:lang w:val="uk-UA" w:eastAsia="uk-UA"/>
          <w14:ligatures w14:val="none"/>
        </w:rPr>
        <w:t>«АМКР»</w:t>
      </w:r>
      <w:r w:rsidRPr="00042924">
        <w:rPr>
          <w:rFonts w:ascii="Times New Roman" w:eastAsia="Times New Roman" w:hAnsi="Times New Roman" w:cs="Segoe UI"/>
          <w:color w:val="000000" w:themeColor="text1"/>
          <w:kern w:val="0"/>
          <w:sz w:val="28"/>
          <w:szCs w:val="24"/>
          <w:lang w:val="uk-UA" w:eastAsia="uk-UA"/>
          <w14:ligatures w14:val="none"/>
        </w:rPr>
        <w:t xml:space="preserve"> у 2022 році, що негативно позначається на ефективності його господарювання. Необхідно розробити заходи для прискорення оборотності ресурсів підприємства.</w:t>
      </w:r>
    </w:p>
    <w:p w14:paraId="268FCBD8" w14:textId="77777777" w:rsidR="00760865" w:rsidRDefault="00FE0431" w:rsidP="00760865">
      <w:pPr>
        <w:widowControl w:val="0"/>
        <w:autoSpaceDE w:val="0"/>
        <w:autoSpaceDN w:val="0"/>
        <w:spacing w:after="0" w:line="240" w:lineRule="auto"/>
        <w:ind w:firstLine="709"/>
        <w:jc w:val="both"/>
        <w:rPr>
          <w:rFonts w:ascii="Times New Roman" w:eastAsia="Times New Roman" w:hAnsi="Times New Roman" w:cs="Times New Roman"/>
          <w:sz w:val="28"/>
          <w:szCs w:val="28"/>
          <w:lang w:val="uk-UA"/>
          <w14:ligatures w14:val="none"/>
        </w:rPr>
      </w:pPr>
      <w:r w:rsidRPr="00511EF6">
        <w:rPr>
          <w:rFonts w:ascii="Times New Roman" w:eastAsia="Times New Roman" w:hAnsi="Times New Roman" w:cs="Segoe UI"/>
          <w:color w:val="000000" w:themeColor="text1"/>
          <w:kern w:val="0"/>
          <w:sz w:val="28"/>
          <w:szCs w:val="24"/>
          <w:lang w:val="uk-UA" w:eastAsia="uk-UA"/>
          <w14:ligatures w14:val="none"/>
        </w:rPr>
        <w:t>Аналіз д</w:t>
      </w:r>
      <w:r w:rsidR="00881AB6" w:rsidRPr="00511EF6">
        <w:rPr>
          <w:rFonts w:ascii="Times New Roman" w:eastAsia="Times New Roman" w:hAnsi="Times New Roman" w:cs="Segoe UI"/>
          <w:color w:val="000000" w:themeColor="text1"/>
          <w:kern w:val="0"/>
          <w:sz w:val="28"/>
          <w:szCs w:val="24"/>
          <w:lang w:val="uk-UA" w:eastAsia="uk-UA"/>
          <w14:ligatures w14:val="none"/>
        </w:rPr>
        <w:t>инамік</w:t>
      </w:r>
      <w:r w:rsidRPr="00511EF6">
        <w:rPr>
          <w:rFonts w:ascii="Times New Roman" w:eastAsia="Times New Roman" w:hAnsi="Times New Roman" w:cs="Segoe UI"/>
          <w:color w:val="000000" w:themeColor="text1"/>
          <w:kern w:val="0"/>
          <w:sz w:val="28"/>
          <w:szCs w:val="24"/>
          <w:lang w:val="uk-UA" w:eastAsia="uk-UA"/>
          <w14:ligatures w14:val="none"/>
        </w:rPr>
        <w:t>и</w:t>
      </w:r>
      <w:r w:rsidR="00881AB6" w:rsidRPr="00511EF6">
        <w:rPr>
          <w:rFonts w:ascii="Times New Roman" w:eastAsia="Times New Roman" w:hAnsi="Times New Roman" w:cs="Segoe UI"/>
          <w:color w:val="000000" w:themeColor="text1"/>
          <w:kern w:val="0"/>
          <w:sz w:val="28"/>
          <w:szCs w:val="24"/>
          <w:lang w:val="uk-UA" w:eastAsia="uk-UA"/>
          <w14:ligatures w14:val="none"/>
        </w:rPr>
        <w:t xml:space="preserve"> складових балансу підприємства повністю підтверджує ці негативні тенденції (додаток </w:t>
      </w:r>
      <w:r w:rsidR="0025786B" w:rsidRPr="00511EF6">
        <w:rPr>
          <w:rFonts w:ascii="Times New Roman" w:eastAsia="Times New Roman" w:hAnsi="Times New Roman" w:cs="Segoe UI"/>
          <w:color w:val="000000" w:themeColor="text1"/>
          <w:kern w:val="0"/>
          <w:sz w:val="28"/>
          <w:szCs w:val="24"/>
          <w:lang w:val="uk-UA" w:eastAsia="uk-UA"/>
          <w14:ligatures w14:val="none"/>
        </w:rPr>
        <w:t>Б)</w:t>
      </w:r>
      <w:r w:rsidR="00881AB6" w:rsidRPr="00511EF6">
        <w:rPr>
          <w:rFonts w:ascii="Times New Roman" w:eastAsia="Times New Roman" w:hAnsi="Times New Roman" w:cs="Segoe UI"/>
          <w:color w:val="000000" w:themeColor="text1"/>
          <w:kern w:val="0"/>
          <w:sz w:val="28"/>
          <w:szCs w:val="24"/>
          <w:lang w:val="uk-UA" w:eastAsia="uk-UA"/>
          <w14:ligatures w14:val="none"/>
        </w:rPr>
        <w:t xml:space="preserve">. </w:t>
      </w:r>
      <w:r w:rsidR="00760865">
        <w:rPr>
          <w:rFonts w:ascii="Times New Roman" w:eastAsia="Times New Roman" w:hAnsi="Times New Roman" w:cs="Times New Roman"/>
          <w:sz w:val="28"/>
          <w:szCs w:val="28"/>
          <w:lang w:val="uk-UA"/>
          <w14:ligatures w14:val="none"/>
        </w:rPr>
        <w:t>Протягом розглянутого періоду відбулося значуще удосконалення структури загального капіталу компанії. Слід відзначити, що фінансовий стан підприємства вважається стійким, якщо його власні кошти становлять не менше половини від усіх фінансових ресурсів. За даними на 31 грудня 2022 року частка власного капіталу в структурі загального капіталу підприємства склала 53,55%, порівняно з 68,91% у 2020 році.</w:t>
      </w:r>
    </w:p>
    <w:p w14:paraId="758BEC37" w14:textId="77777777" w:rsidR="00760865" w:rsidRDefault="000955B7" w:rsidP="000955B7">
      <w:pPr>
        <w:spacing w:after="0" w:line="240" w:lineRule="auto"/>
        <w:ind w:firstLine="709"/>
        <w:jc w:val="both"/>
        <w:rPr>
          <w:rFonts w:ascii="Times New Roman" w:eastAsia="Times New Roman" w:hAnsi="Times New Roman" w:cs="Times New Roman"/>
          <w:sz w:val="28"/>
          <w:szCs w:val="28"/>
          <w:lang w:val="uk-UA"/>
          <w14:ligatures w14:val="none"/>
        </w:rPr>
      </w:pPr>
      <w:r>
        <w:rPr>
          <w:rFonts w:ascii="Times New Roman" w:eastAsia="Times New Roman" w:hAnsi="Times New Roman" w:cs="Times New Roman"/>
          <w:sz w:val="28"/>
          <w:szCs w:val="28"/>
          <w:lang w:val="uk-UA"/>
          <w14:ligatures w14:val="none"/>
        </w:rPr>
        <w:t>З</w:t>
      </w:r>
      <w:r w:rsidR="00760865">
        <w:rPr>
          <w:rFonts w:ascii="Times New Roman" w:eastAsia="Times New Roman" w:hAnsi="Times New Roman" w:cs="Times New Roman"/>
          <w:sz w:val="28"/>
          <w:szCs w:val="28"/>
          <w:lang w:val="uk-UA"/>
          <w14:ligatures w14:val="none"/>
        </w:rPr>
        <w:t>а період з 2020 по 2022 роки частка необоротних активів в структурі загальних активів підприємства зменшилась з 65,99% у 2020 році до 43,62% у 2022 році. Цей показник може вказувати на скорочення виробничих потужностей підприємства або проведення заходів з оптимізації активів.</w:t>
      </w:r>
      <w:r>
        <w:rPr>
          <w:rFonts w:ascii="Times New Roman" w:eastAsia="Times New Roman" w:hAnsi="Times New Roman" w:cs="Times New Roman"/>
          <w:sz w:val="28"/>
          <w:szCs w:val="28"/>
          <w:lang w:val="uk-UA"/>
          <w14:ligatures w14:val="none"/>
        </w:rPr>
        <w:t xml:space="preserve"> </w:t>
      </w:r>
      <w:r w:rsidR="00760865">
        <w:rPr>
          <w:rFonts w:ascii="Times New Roman" w:eastAsia="Times New Roman" w:hAnsi="Times New Roman" w:cs="Times New Roman"/>
          <w:sz w:val="28"/>
          <w:szCs w:val="28"/>
          <w:lang w:val="uk-UA"/>
          <w14:ligatures w14:val="none"/>
        </w:rPr>
        <w:t>Паралельно до цього, частка оборотних активів зросла з 34,01% у 2020 році до 56,38% у 2022 році. Це може бути результатом збільшення запасів готової продукції та зростання обсягу дебіторської заборгованості. Важливо відзначити, що цей тренд може мати негативний вплив на фінансовий стан підприємства через можливі труднощі із стягненням боргів від клієнтів.</w:t>
      </w:r>
    </w:p>
    <w:p w14:paraId="13F1F684" w14:textId="77777777" w:rsidR="00760865" w:rsidRDefault="00760865" w:rsidP="00760865">
      <w:pPr>
        <w:widowControl w:val="0"/>
        <w:autoSpaceDE w:val="0"/>
        <w:autoSpaceDN w:val="0"/>
        <w:spacing w:after="0" w:line="240" w:lineRule="auto"/>
        <w:ind w:firstLine="709"/>
        <w:jc w:val="both"/>
        <w:rPr>
          <w:rFonts w:ascii="Times New Roman" w:eastAsia="Times New Roman" w:hAnsi="Times New Roman" w:cs="Times New Roman"/>
          <w:sz w:val="28"/>
          <w:szCs w:val="28"/>
          <w:lang w:val="uk-UA"/>
          <w14:ligatures w14:val="none"/>
        </w:rPr>
      </w:pPr>
      <w:r>
        <w:rPr>
          <w:rFonts w:ascii="Times New Roman" w:eastAsia="Times New Roman" w:hAnsi="Times New Roman" w:cs="Times New Roman"/>
          <w:sz w:val="28"/>
          <w:szCs w:val="28"/>
          <w:lang w:val="uk-UA"/>
          <w14:ligatures w14:val="none"/>
        </w:rPr>
        <w:t>Зафіксоване суттєве зниження власного капіталу з 68,91% у 2020 році до 53,55% у 2022 році може бути результатом збиткової діяльності підприємства чи виведення капіталу власниками (рис.Б.2). Цей показник свідчить про зростання фінансової залежності підприємства від залучених позикових коштів, що вимагає додаткового уважного аналізу та управлінських рішень.</w:t>
      </w:r>
    </w:p>
    <w:p w14:paraId="448AD53C" w14:textId="77777777" w:rsidR="00760865" w:rsidRDefault="00760865" w:rsidP="000955B7">
      <w:pPr>
        <w:widowControl w:val="0"/>
        <w:autoSpaceDE w:val="0"/>
        <w:autoSpaceDN w:val="0"/>
        <w:spacing w:after="0" w:line="24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sz w:val="28"/>
          <w:szCs w:val="28"/>
          <w:lang w:val="uk-UA"/>
          <w14:ligatures w14:val="none"/>
        </w:rPr>
        <w:lastRenderedPageBreak/>
        <w:t xml:space="preserve">Отже, аналіз динаміки структури балансу ПАТ «АМКР» вказує на наявність проблем у фінансовому стані підприємства у 2022 році </w:t>
      </w:r>
      <w:r w:rsidR="000955B7">
        <w:rPr>
          <w:rFonts w:ascii="Times New Roman" w:eastAsia="Times New Roman" w:hAnsi="Times New Roman" w:cs="Times New Roman"/>
          <w:sz w:val="28"/>
          <w:szCs w:val="28"/>
          <w:lang w:val="uk-UA"/>
          <w14:ligatures w14:val="none"/>
        </w:rPr>
        <w:t xml:space="preserve">порівняно з попередніми роками </w:t>
      </w:r>
      <w:r>
        <w:rPr>
          <w:rFonts w:ascii="Times New Roman" w:eastAsia="Times New Roman" w:hAnsi="Times New Roman" w:cs="Times New Roman"/>
          <w:sz w:val="28"/>
          <w:szCs w:val="28"/>
          <w:lang w:val="uk-UA"/>
          <w14:ligatures w14:val="none"/>
        </w:rPr>
        <w:t>(рис. Б.1).</w:t>
      </w:r>
      <w:r w:rsidR="000955B7">
        <w:rPr>
          <w:rFonts w:ascii="Times New Roman" w:eastAsia="Times New Roman" w:hAnsi="Times New Roman" w:cs="Times New Roman"/>
          <w:sz w:val="28"/>
          <w:szCs w:val="28"/>
          <w:lang w:val="uk-UA"/>
          <w14:ligatures w14:val="none"/>
        </w:rPr>
        <w:t xml:space="preserve"> </w:t>
      </w:r>
      <w:r>
        <w:rPr>
          <w:rFonts w:ascii="Times New Roman" w:eastAsia="Times New Roman" w:hAnsi="Times New Roman" w:cs="Times New Roman"/>
          <w:sz w:val="28"/>
          <w:szCs w:val="28"/>
          <w:lang w:val="uk-UA"/>
          <w14:ligatures w14:val="none"/>
        </w:rPr>
        <w:t>Протягом розглянутого періоду відбулося значуще удосконалення структури загального капіталу компанії. Слід відзначити, що фінансовий стан підприємства вважається стійким, якщо його власні кошти становлять не менше половини від усіх фінансових ресурсів. За даними на 31 грудня 2022 року частка власного капіталу в структурі загального капіталу підприємства склала 53,55%, порівняно з 68,91% у 2020 році.</w:t>
      </w:r>
      <w:r w:rsidR="000955B7">
        <w:rPr>
          <w:rFonts w:ascii="Times New Roman" w:eastAsia="Times New Roman" w:hAnsi="Times New Roman" w:cs="Times New Roman"/>
          <w:sz w:val="28"/>
          <w:szCs w:val="28"/>
          <w:lang w:val="uk-UA"/>
          <w14:ligatures w14:val="none"/>
        </w:rPr>
        <w:t xml:space="preserve"> </w:t>
      </w:r>
      <w:r>
        <w:rPr>
          <w:rFonts w:ascii="Times New Roman" w:eastAsia="Times New Roman" w:hAnsi="Times New Roman" w:cs="Times New Roman"/>
          <w:sz w:val="28"/>
          <w:szCs w:val="28"/>
          <w:lang w:val="uk-UA"/>
          <w14:ligatures w14:val="none"/>
        </w:rPr>
        <w:t>Ця динаміка може демонструвати не абсолютно позитивну тенденцію, оскільки показник власного капіталу є ключовим показником кредитоспроможності підприємства, що визначає його фінансову незалежність, стійкість та стабільність. Проте існує значна ймовірність коригування цих фінансових показників за рахунок відкриття нових можливостей для розвитку підприємства, зокрема в контексті його розширення на європейському ринку.</w:t>
      </w:r>
    </w:p>
    <w:p w14:paraId="1D2329E1" w14:textId="77777777" w:rsidR="00253B65" w:rsidRPr="00253B65" w:rsidRDefault="000955B7" w:rsidP="00253B65">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0955B7">
        <w:rPr>
          <w:rFonts w:ascii="Times New Roman" w:eastAsia="Times New Roman" w:hAnsi="Times New Roman" w:cs="Segoe UI"/>
          <w:color w:val="000000" w:themeColor="text1"/>
          <w:kern w:val="0"/>
          <w:sz w:val="28"/>
          <w:szCs w:val="24"/>
          <w:lang w:val="uk-UA" w:eastAsia="uk-UA"/>
          <w14:ligatures w14:val="none"/>
        </w:rPr>
        <w:t xml:space="preserve">Отже, результати аналізу структури активів свідчать про </w:t>
      </w:r>
      <w:r w:rsidR="00253B65" w:rsidRPr="000955B7">
        <w:rPr>
          <w:rFonts w:ascii="Times New Roman" w:eastAsia="Times New Roman" w:hAnsi="Times New Roman" w:cs="Segoe UI"/>
          <w:color w:val="000000" w:themeColor="text1"/>
          <w:kern w:val="0"/>
          <w:sz w:val="28"/>
          <w:szCs w:val="24"/>
          <w:lang w:val="uk-UA" w:eastAsia="uk-UA"/>
          <w14:ligatures w14:val="none"/>
        </w:rPr>
        <w:t>стрімке скорочення частки необоротних активів (на 22 млрд грн), що може вказувати на оптимізацію виробничих потужностей</w:t>
      </w:r>
      <w:r w:rsidR="00253B65" w:rsidRPr="00253B65">
        <w:rPr>
          <w:rFonts w:ascii="Times New Roman" w:eastAsia="Times New Roman" w:hAnsi="Times New Roman" w:cs="Segoe UI"/>
          <w:color w:val="000000" w:themeColor="text1"/>
          <w:kern w:val="0"/>
          <w:sz w:val="28"/>
          <w:szCs w:val="24"/>
          <w:lang w:val="uk-UA" w:eastAsia="uk-UA"/>
          <w14:ligatures w14:val="none"/>
        </w:rPr>
        <w:t xml:space="preserve"> компанії. Втім, подібне зменшення основних засобів ставить під загрозу можливості реалізації операційної діяльності у майбутньому.</w:t>
      </w:r>
    </w:p>
    <w:p w14:paraId="690A505D" w14:textId="77777777" w:rsidR="00253B65" w:rsidRPr="00253B65" w:rsidRDefault="00253B65" w:rsidP="00253B65">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253B65">
        <w:rPr>
          <w:rFonts w:ascii="Times New Roman" w:eastAsia="Times New Roman" w:hAnsi="Times New Roman" w:cs="Segoe UI"/>
          <w:color w:val="000000" w:themeColor="text1"/>
          <w:kern w:val="0"/>
          <w:sz w:val="28"/>
          <w:szCs w:val="24"/>
          <w:lang w:val="uk-UA" w:eastAsia="uk-UA"/>
          <w14:ligatures w14:val="none"/>
        </w:rPr>
        <w:t>По-друге, негативним чином впливає на фінансову стійкість зростання дебіторської заборгованості (на 5,3 млрд грн). Адже накопичення прострочених боргів збільшує ризик неповернення коштів та порушення балансу грошових потоків.</w:t>
      </w:r>
    </w:p>
    <w:p w14:paraId="4BB9DF65" w14:textId="77777777" w:rsidR="00253B65" w:rsidRDefault="00253B65" w:rsidP="00253B65">
      <w:pPr>
        <w:spacing w:after="0" w:line="240" w:lineRule="auto"/>
        <w:ind w:firstLine="709"/>
        <w:jc w:val="both"/>
        <w:rPr>
          <w:rFonts w:ascii="Times New Roman" w:eastAsia="Times New Roman" w:hAnsi="Times New Roman" w:cs="Segoe UI"/>
          <w:color w:val="000000" w:themeColor="text1"/>
          <w:kern w:val="0"/>
          <w:sz w:val="28"/>
          <w:szCs w:val="24"/>
          <w:lang w:val="uk-UA" w:eastAsia="uk-UA"/>
          <w14:ligatures w14:val="none"/>
        </w:rPr>
      </w:pPr>
      <w:r w:rsidRPr="00253B65">
        <w:rPr>
          <w:rFonts w:ascii="Times New Roman" w:eastAsia="Times New Roman" w:hAnsi="Times New Roman" w:cs="Segoe UI"/>
          <w:color w:val="000000" w:themeColor="text1"/>
          <w:kern w:val="0"/>
          <w:sz w:val="28"/>
          <w:szCs w:val="24"/>
          <w:lang w:val="uk-UA" w:eastAsia="uk-UA"/>
          <w14:ligatures w14:val="none"/>
        </w:rPr>
        <w:t>По-третє, критичним є спад власного капіталу (на 32 млрд грн), що послаблює фінансову автономію суб’єкта господарювання. Зменшення власних джерел фінансування обмежує можливості розвитку та підвищує залежність від зовнішніх залучень.</w:t>
      </w:r>
    </w:p>
    <w:p w14:paraId="34BBF6D7" w14:textId="77777777" w:rsidR="00FC3B7A" w:rsidRPr="00EF6F3C" w:rsidRDefault="00FC3B7A" w:rsidP="00FC3B7A">
      <w:pPr>
        <w:spacing w:after="0" w:line="240" w:lineRule="auto"/>
        <w:ind w:firstLine="709"/>
        <w:jc w:val="both"/>
        <w:rPr>
          <w:rFonts w:ascii="Times New Roman" w:hAnsi="Times New Roman" w:cs="Times New Roman"/>
          <w:sz w:val="28"/>
          <w:szCs w:val="28"/>
          <w:lang w:val="uk-UA"/>
        </w:rPr>
      </w:pPr>
      <w:r w:rsidRPr="009F7F90">
        <w:rPr>
          <w:rFonts w:ascii="Times New Roman" w:hAnsi="Times New Roman" w:cs="Times New Roman"/>
          <w:sz w:val="28"/>
          <w:szCs w:val="28"/>
          <w:lang w:val="uk-UA"/>
        </w:rPr>
        <w:t>Основуючись на цьому, розглянемо детальніше відомі на сьогодні наслідки конфлікту</w:t>
      </w:r>
      <w:r>
        <w:rPr>
          <w:rFonts w:ascii="Times New Roman" w:hAnsi="Times New Roman" w:cs="Times New Roman"/>
          <w:sz w:val="28"/>
          <w:szCs w:val="28"/>
          <w:lang w:val="uk-UA"/>
        </w:rPr>
        <w:t xml:space="preserve"> що були </w:t>
      </w:r>
      <w:r>
        <w:rPr>
          <w:rFonts w:ascii="Times New Roman" w:eastAsia="Times New Roman" w:hAnsi="Times New Roman" w:cs="Times New Roman"/>
          <w:sz w:val="28"/>
          <w:lang w:val="uk-UA"/>
        </w:rPr>
        <w:t>визначені</w:t>
      </w:r>
      <w:r w:rsidRPr="002D2952">
        <w:rPr>
          <w:rFonts w:ascii="Times New Roman" w:eastAsia="Times New Roman" w:hAnsi="Times New Roman" w:cs="Times New Roman"/>
          <w:sz w:val="28"/>
          <w:lang w:val="uk-UA"/>
        </w:rPr>
        <w:t xml:space="preserve"> на підставі комплексного дослідження</w:t>
      </w:r>
      <w:r>
        <w:rPr>
          <w:rFonts w:ascii="Times New Roman" w:eastAsia="Times New Roman" w:hAnsi="Times New Roman" w:cs="Times New Roman"/>
          <w:sz w:val="28"/>
          <w:lang w:val="uk-UA"/>
        </w:rPr>
        <w:t xml:space="preserve"> фінансової звітності компанії </w:t>
      </w:r>
      <w:r w:rsidRPr="008102E8">
        <w:rPr>
          <w:rFonts w:ascii="Times New Roman" w:eastAsia="Times New Roman" w:hAnsi="Times New Roman" w:cs="Times New Roman"/>
          <w:sz w:val="28"/>
          <w:lang w:val="uk-UA"/>
        </w:rPr>
        <w:t>[4</w:t>
      </w:r>
      <w:r w:rsidR="000101A9" w:rsidRPr="000101A9">
        <w:rPr>
          <w:rFonts w:ascii="Times New Roman" w:eastAsia="Times New Roman" w:hAnsi="Times New Roman" w:cs="Times New Roman"/>
          <w:sz w:val="28"/>
          <w:lang w:val="uk-UA"/>
        </w:rPr>
        <w:t>0</w:t>
      </w:r>
      <w:r w:rsidRPr="008102E8">
        <w:rPr>
          <w:rFonts w:ascii="Times New Roman" w:eastAsia="Times New Roman" w:hAnsi="Times New Roman" w:cs="Times New Roman"/>
          <w:sz w:val="28"/>
          <w:lang w:val="uk-UA"/>
        </w:rPr>
        <w:t>]</w:t>
      </w:r>
      <w:r w:rsidRPr="00BD1F05">
        <w:rPr>
          <w:rFonts w:ascii="Times New Roman" w:hAnsi="Times New Roman" w:cs="Times New Roman"/>
          <w:sz w:val="28"/>
          <w:szCs w:val="28"/>
          <w:lang w:val="uk-UA"/>
        </w:rPr>
        <w:t>:</w:t>
      </w:r>
    </w:p>
    <w:p w14:paraId="29F96515" w14:textId="77777777" w:rsidR="00FC3B7A" w:rsidRPr="00A83BCF" w:rsidRDefault="00FC3B7A" w:rsidP="00FC3B7A">
      <w:pPr>
        <w:spacing w:after="0" w:line="240" w:lineRule="auto"/>
        <w:ind w:firstLine="709"/>
        <w:jc w:val="both"/>
        <w:rPr>
          <w:rFonts w:ascii="Times New Roman" w:hAnsi="Times New Roman" w:cs="Times New Roman"/>
          <w:sz w:val="28"/>
          <w:szCs w:val="28"/>
          <w:lang w:val="uk-UA"/>
        </w:rPr>
      </w:pPr>
      <w:r w:rsidRPr="00A83BCF">
        <w:rPr>
          <w:rFonts w:ascii="Times New Roman" w:hAnsi="Times New Roman" w:cs="Times New Roman"/>
          <w:sz w:val="28"/>
          <w:szCs w:val="28"/>
          <w:lang w:val="uk-UA"/>
        </w:rPr>
        <w:t>1.З березня 2022 року підприємство прийняло рішення про припинення виробництва металургійної продукції з метою забезпечення безпеки своїх працівників та майна. Починаючи з квітня 2022 року, компанія почала відновлювати діяльність і відтоді виробила або продала приблизно 20-25% свого довоєнного виробництва та доходу.</w:t>
      </w:r>
    </w:p>
    <w:p w14:paraId="5FA79B56" w14:textId="77777777" w:rsidR="00FC3B7A" w:rsidRPr="00A83BCF" w:rsidRDefault="00FC3B7A" w:rsidP="00FC3B7A">
      <w:pPr>
        <w:spacing w:after="0" w:line="240" w:lineRule="auto"/>
        <w:ind w:firstLine="709"/>
        <w:jc w:val="both"/>
        <w:rPr>
          <w:rFonts w:ascii="Times New Roman" w:hAnsi="Times New Roman" w:cs="Times New Roman"/>
          <w:sz w:val="28"/>
          <w:szCs w:val="28"/>
          <w:lang w:val="uk-UA"/>
        </w:rPr>
      </w:pPr>
      <w:r w:rsidRPr="00A83BCF">
        <w:rPr>
          <w:rFonts w:ascii="Times New Roman" w:hAnsi="Times New Roman" w:cs="Times New Roman"/>
          <w:sz w:val="28"/>
          <w:szCs w:val="28"/>
          <w:lang w:val="uk-UA"/>
        </w:rPr>
        <w:t>2.Понад 70%, довоєнних доходів від реалізації надходили від операцій з продажу продукції на експорт, головним чином через чорноморські порти, які зараз заблоковані внаслідок воєнних дій. З початку російського вторгнення Підприємство реалізує більшу частину сталевої продукції на внутрішньому ринку, а чавун і залізорудний концентрат експортуються залізницею. Підприємство працює над розвитком альтернативних маршрутів постачання продукції на експорт.</w:t>
      </w:r>
    </w:p>
    <w:p w14:paraId="3BFF21BC" w14:textId="77777777" w:rsidR="00FC3B7A" w:rsidRPr="00A83BCF" w:rsidRDefault="00FC3B7A" w:rsidP="00FC3B7A">
      <w:pPr>
        <w:spacing w:after="0" w:line="240" w:lineRule="auto"/>
        <w:ind w:firstLine="709"/>
        <w:jc w:val="both"/>
        <w:rPr>
          <w:rFonts w:ascii="Times New Roman" w:hAnsi="Times New Roman" w:cs="Times New Roman"/>
          <w:sz w:val="28"/>
          <w:szCs w:val="28"/>
          <w:lang w:val="uk-UA"/>
        </w:rPr>
      </w:pPr>
      <w:r w:rsidRPr="007469B9">
        <w:rPr>
          <w:rFonts w:ascii="Times New Roman" w:hAnsi="Times New Roman" w:cs="Times New Roman"/>
          <w:sz w:val="28"/>
          <w:szCs w:val="28"/>
        </w:rPr>
        <w:t>3.</w:t>
      </w:r>
      <w:r w:rsidRPr="00A83BCF">
        <w:rPr>
          <w:rFonts w:ascii="Times New Roman" w:hAnsi="Times New Roman" w:cs="Times New Roman"/>
          <w:sz w:val="28"/>
          <w:szCs w:val="28"/>
          <w:lang w:val="uk-UA"/>
        </w:rPr>
        <w:t xml:space="preserve">Не було відзначено істотних перебоїв у постачанні сировинних матеріалів, більшість таких поставок здійснюється із вітчизняних джерел без серйозних логістичних проблем. При цьому поставки російського вугілля, які становили більше половини довоєнних операцій </w:t>
      </w:r>
      <w:r>
        <w:rPr>
          <w:rFonts w:ascii="Times New Roman" w:hAnsi="Times New Roman" w:cs="Times New Roman"/>
          <w:sz w:val="28"/>
          <w:szCs w:val="28"/>
          <w:lang w:val="uk-UA"/>
        </w:rPr>
        <w:t>компанії</w:t>
      </w:r>
      <w:r w:rsidRPr="00A83BCF">
        <w:rPr>
          <w:rFonts w:ascii="Times New Roman" w:hAnsi="Times New Roman" w:cs="Times New Roman"/>
          <w:sz w:val="28"/>
          <w:szCs w:val="28"/>
          <w:lang w:val="uk-UA"/>
        </w:rPr>
        <w:t xml:space="preserve"> із закупівлі вугілля, були замінені на альтернативні джерела постачання з України та морські поставки вугілля зі США та Австралії, які здійснюють компанії АрселорМіттал через порти у Польщі. </w:t>
      </w:r>
      <w:r w:rsidRPr="00A83BCF">
        <w:rPr>
          <w:rFonts w:ascii="Times New Roman" w:hAnsi="Times New Roman" w:cs="Times New Roman"/>
          <w:sz w:val="28"/>
          <w:szCs w:val="28"/>
          <w:lang w:val="uk-UA"/>
        </w:rPr>
        <w:lastRenderedPageBreak/>
        <w:t xml:space="preserve">Протягом листопада 2022 - січня 2023 </w:t>
      </w:r>
      <w:r>
        <w:rPr>
          <w:rFonts w:ascii="Times New Roman" w:hAnsi="Times New Roman" w:cs="Times New Roman"/>
          <w:sz w:val="28"/>
          <w:szCs w:val="28"/>
          <w:lang w:val="uk-UA"/>
        </w:rPr>
        <w:t>підприємство</w:t>
      </w:r>
      <w:r w:rsidRPr="00A83BCF">
        <w:rPr>
          <w:rFonts w:ascii="Times New Roman" w:hAnsi="Times New Roman" w:cs="Times New Roman"/>
          <w:sz w:val="28"/>
          <w:szCs w:val="28"/>
          <w:lang w:val="uk-UA"/>
        </w:rPr>
        <w:t xml:space="preserve"> стикнулася з обмеженнями в постачанні електроенергії внаслідок обстрілів енергетичної інфраструктури країни.</w:t>
      </w:r>
    </w:p>
    <w:p w14:paraId="45BE0DED" w14:textId="77777777" w:rsidR="00FC3B7A" w:rsidRPr="00A83BCF" w:rsidRDefault="00FC3B7A" w:rsidP="00FC3B7A">
      <w:pPr>
        <w:spacing w:after="0" w:line="240" w:lineRule="auto"/>
        <w:ind w:firstLine="709"/>
        <w:jc w:val="both"/>
        <w:rPr>
          <w:rFonts w:ascii="Times New Roman" w:hAnsi="Times New Roman" w:cs="Times New Roman"/>
          <w:sz w:val="28"/>
          <w:szCs w:val="28"/>
          <w:lang w:val="uk-UA"/>
        </w:rPr>
      </w:pPr>
      <w:r w:rsidRPr="007469B9">
        <w:rPr>
          <w:rFonts w:ascii="Times New Roman" w:hAnsi="Times New Roman" w:cs="Times New Roman"/>
          <w:sz w:val="28"/>
          <w:szCs w:val="28"/>
        </w:rPr>
        <w:t>4.</w:t>
      </w:r>
      <w:r w:rsidRPr="00A83BCF">
        <w:rPr>
          <w:rFonts w:ascii="Times New Roman" w:hAnsi="Times New Roman" w:cs="Times New Roman"/>
          <w:sz w:val="28"/>
          <w:szCs w:val="28"/>
          <w:lang w:val="uk-UA"/>
        </w:rPr>
        <w:t>Від початку російського вторгнення в Україну, близько 2,5 тисячі працівників Підприємства вступили до лав Збройних сил України та територіальної оборони.</w:t>
      </w:r>
    </w:p>
    <w:p w14:paraId="272914C4" w14:textId="77777777" w:rsidR="00FC3B7A" w:rsidRPr="00344E03" w:rsidRDefault="00FC3B7A" w:rsidP="00344E03">
      <w:pPr>
        <w:spacing w:after="0" w:line="240" w:lineRule="auto"/>
        <w:ind w:firstLine="709"/>
        <w:jc w:val="both"/>
        <w:rPr>
          <w:rFonts w:ascii="Times New Roman" w:hAnsi="Times New Roman" w:cs="Times New Roman"/>
          <w:sz w:val="28"/>
          <w:szCs w:val="28"/>
          <w:lang w:val="uk-UA"/>
        </w:rPr>
      </w:pPr>
      <w:r w:rsidRPr="007469B9">
        <w:rPr>
          <w:rFonts w:ascii="Times New Roman" w:hAnsi="Times New Roman" w:cs="Times New Roman"/>
          <w:sz w:val="28"/>
          <w:szCs w:val="28"/>
        </w:rPr>
        <w:t>5.</w:t>
      </w:r>
      <w:r w:rsidRPr="00A83BCF">
        <w:rPr>
          <w:rFonts w:ascii="Times New Roman" w:hAnsi="Times New Roman" w:cs="Times New Roman"/>
          <w:sz w:val="28"/>
          <w:szCs w:val="28"/>
          <w:lang w:val="uk-UA"/>
        </w:rPr>
        <w:t>Військові дії, що тривають, продовжують негативно впливати на фінансові результати діяльності Підприємства. Протягом 2022 року Підприємство понесло значні збитки, в тому числі від зменшення корисності необоротних активів, як зазначено у фінансовій звітності.</w:t>
      </w:r>
    </w:p>
    <w:p w14:paraId="6E0E6A9B" w14:textId="77777777" w:rsidR="00D25680" w:rsidRPr="00042924" w:rsidRDefault="002D0BFE" w:rsidP="00253B65">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Таким чином</w:t>
      </w:r>
      <w:r w:rsidR="00D25680" w:rsidRPr="00042924">
        <w:rPr>
          <w:rFonts w:ascii="Times New Roman" w:eastAsia="Times New Roman" w:hAnsi="Times New Roman" w:cs="Times New Roman"/>
          <w:color w:val="000000" w:themeColor="text1"/>
          <w:sz w:val="28"/>
          <w:szCs w:val="28"/>
          <w:lang w:val="uk-UA"/>
        </w:rPr>
        <w:t xml:space="preserve">, </w:t>
      </w:r>
      <w:r w:rsidR="00B300F4" w:rsidRPr="00042924">
        <w:rPr>
          <w:rFonts w:ascii="Times New Roman" w:eastAsia="Times New Roman" w:hAnsi="Times New Roman" w:cs="Times New Roman"/>
          <w:color w:val="000000" w:themeColor="text1"/>
          <w:sz w:val="28"/>
          <w:szCs w:val="28"/>
          <w:lang w:val="uk-UA"/>
        </w:rPr>
        <w:t xml:space="preserve">на підставі </w:t>
      </w:r>
      <w:r w:rsidR="00B002BC" w:rsidRPr="00042924">
        <w:rPr>
          <w:rFonts w:ascii="Times New Roman" w:eastAsia="Times New Roman" w:hAnsi="Times New Roman" w:cs="Times New Roman"/>
          <w:color w:val="000000" w:themeColor="text1"/>
          <w:sz w:val="28"/>
          <w:szCs w:val="28"/>
          <w:lang w:val="uk-UA"/>
        </w:rPr>
        <w:t>додаткового поглибленого фінансово-господарського аналізу всіх показників</w:t>
      </w:r>
      <w:r w:rsidR="00FB12C3" w:rsidRPr="00042924">
        <w:rPr>
          <w:rFonts w:ascii="Times New Roman" w:eastAsia="Times New Roman" w:hAnsi="Times New Roman" w:cs="Times New Roman"/>
          <w:color w:val="000000" w:themeColor="text1"/>
          <w:sz w:val="28"/>
          <w:szCs w:val="28"/>
          <w:lang w:val="uk-UA"/>
        </w:rPr>
        <w:t>,</w:t>
      </w:r>
      <w:r w:rsidR="00B300F4" w:rsidRPr="00042924">
        <w:rPr>
          <w:rFonts w:ascii="Times New Roman" w:eastAsia="Times New Roman" w:hAnsi="Times New Roman" w:cs="Times New Roman"/>
          <w:color w:val="000000" w:themeColor="text1"/>
          <w:sz w:val="28"/>
          <w:szCs w:val="28"/>
          <w:lang w:val="uk-UA"/>
        </w:rPr>
        <w:t xml:space="preserve"> ми систематизували та визначили всі основні аспекти та проблеми, які призводять до значної ймовірності банкрутства дослі</w:t>
      </w:r>
      <w:r w:rsidR="00D4348D" w:rsidRPr="00042924">
        <w:rPr>
          <w:rFonts w:ascii="Times New Roman" w:eastAsia="Times New Roman" w:hAnsi="Times New Roman" w:cs="Times New Roman"/>
          <w:color w:val="000000" w:themeColor="text1"/>
          <w:sz w:val="28"/>
          <w:szCs w:val="28"/>
          <w:lang w:val="uk-UA"/>
        </w:rPr>
        <w:t>джу</w:t>
      </w:r>
      <w:r w:rsidR="000A53C7" w:rsidRPr="00042924">
        <w:rPr>
          <w:rFonts w:ascii="Times New Roman" w:eastAsia="Times New Roman" w:hAnsi="Times New Roman" w:cs="Times New Roman"/>
          <w:color w:val="000000" w:themeColor="text1"/>
          <w:sz w:val="28"/>
          <w:szCs w:val="28"/>
          <w:lang w:val="uk-UA"/>
        </w:rPr>
        <w:t>ван</w:t>
      </w:r>
      <w:r w:rsidR="00D4348D" w:rsidRPr="00042924">
        <w:rPr>
          <w:rFonts w:ascii="Times New Roman" w:eastAsia="Times New Roman" w:hAnsi="Times New Roman" w:cs="Times New Roman"/>
          <w:color w:val="000000" w:themeColor="text1"/>
          <w:sz w:val="28"/>
          <w:szCs w:val="28"/>
          <w:lang w:val="uk-UA"/>
        </w:rPr>
        <w:t xml:space="preserve">ого </w:t>
      </w:r>
      <w:r w:rsidR="000A53C7" w:rsidRPr="00042924">
        <w:rPr>
          <w:rFonts w:ascii="Times New Roman" w:eastAsia="Times New Roman" w:hAnsi="Times New Roman" w:cs="Times New Roman"/>
          <w:color w:val="000000" w:themeColor="text1"/>
          <w:sz w:val="28"/>
          <w:szCs w:val="28"/>
          <w:lang w:val="uk-UA"/>
        </w:rPr>
        <w:t xml:space="preserve">нами </w:t>
      </w:r>
      <w:r w:rsidR="00FB12C3" w:rsidRPr="00042924">
        <w:rPr>
          <w:rFonts w:ascii="Times New Roman" w:eastAsia="Times New Roman" w:hAnsi="Times New Roman" w:cs="Times New Roman"/>
          <w:color w:val="000000" w:themeColor="text1"/>
          <w:sz w:val="28"/>
          <w:szCs w:val="28"/>
          <w:lang w:val="uk-UA"/>
        </w:rPr>
        <w:t xml:space="preserve">об’єкта </w:t>
      </w:r>
      <w:r w:rsidR="00D4348D" w:rsidRPr="00042924">
        <w:rPr>
          <w:rFonts w:ascii="Times New Roman" w:eastAsia="Times New Roman" w:hAnsi="Times New Roman" w:cs="Times New Roman"/>
          <w:color w:val="000000" w:themeColor="text1"/>
          <w:sz w:val="28"/>
          <w:szCs w:val="28"/>
          <w:lang w:val="uk-UA"/>
        </w:rPr>
        <w:t>підприєм</w:t>
      </w:r>
      <w:r w:rsidR="00FB12C3" w:rsidRPr="00042924">
        <w:rPr>
          <w:rFonts w:ascii="Times New Roman" w:eastAsia="Times New Roman" w:hAnsi="Times New Roman" w:cs="Times New Roman"/>
          <w:color w:val="000000" w:themeColor="text1"/>
          <w:sz w:val="28"/>
          <w:szCs w:val="28"/>
          <w:lang w:val="uk-UA"/>
        </w:rPr>
        <w:t>ницької діяльності</w:t>
      </w:r>
      <w:r w:rsidR="000A53C7" w:rsidRPr="00042924">
        <w:rPr>
          <w:rFonts w:ascii="Times New Roman" w:eastAsia="Times New Roman" w:hAnsi="Times New Roman" w:cs="Times New Roman"/>
          <w:color w:val="000000" w:themeColor="text1"/>
          <w:sz w:val="28"/>
          <w:szCs w:val="28"/>
          <w:lang w:val="uk-UA"/>
        </w:rPr>
        <w:t>, а саме:</w:t>
      </w:r>
    </w:p>
    <w:p w14:paraId="3A1CC07C" w14:textId="77777777" w:rsidR="00D25680" w:rsidRPr="00042924" w:rsidRDefault="00A337E5"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1.</w:t>
      </w:r>
      <w:r w:rsidR="00D25680" w:rsidRPr="00042924">
        <w:rPr>
          <w:rFonts w:ascii="Times New Roman" w:eastAsia="Times New Roman" w:hAnsi="Times New Roman" w:cs="Times New Roman"/>
          <w:color w:val="000000" w:themeColor="text1"/>
          <w:sz w:val="28"/>
          <w:szCs w:val="28"/>
          <w:lang w:val="uk-UA"/>
        </w:rPr>
        <w:t xml:space="preserve">Застарілі основні фонди та необхідність термінової модернізації виробничих потужностей. </w:t>
      </w:r>
      <w:r w:rsidR="001D5E7E" w:rsidRPr="00042924">
        <w:rPr>
          <w:rFonts w:ascii="Times New Roman" w:eastAsia="Times New Roman" w:hAnsi="Times New Roman" w:cs="Times New Roman"/>
          <w:color w:val="000000" w:themeColor="text1"/>
          <w:sz w:val="28"/>
          <w:szCs w:val="28"/>
          <w:lang w:val="uk-UA"/>
        </w:rPr>
        <w:t>Що</w:t>
      </w:r>
      <w:r w:rsidR="00D25680" w:rsidRPr="00042924">
        <w:rPr>
          <w:rFonts w:ascii="Times New Roman" w:eastAsia="Times New Roman" w:hAnsi="Times New Roman" w:cs="Times New Roman"/>
          <w:color w:val="000000" w:themeColor="text1"/>
          <w:sz w:val="28"/>
          <w:szCs w:val="28"/>
          <w:lang w:val="uk-UA"/>
        </w:rPr>
        <w:t xml:space="preserve"> призводить до високої ресурсо- та енергомісткості виробництва, </w:t>
      </w:r>
      <w:r w:rsidR="00CE28A3" w:rsidRPr="00042924">
        <w:rPr>
          <w:rFonts w:ascii="Times New Roman" w:eastAsia="Times New Roman" w:hAnsi="Times New Roman" w:cs="Times New Roman"/>
          <w:color w:val="000000" w:themeColor="text1"/>
          <w:sz w:val="28"/>
          <w:szCs w:val="28"/>
          <w:lang w:val="uk-UA"/>
        </w:rPr>
        <w:t xml:space="preserve">і як результат </w:t>
      </w:r>
      <w:r w:rsidR="00D25680" w:rsidRPr="00042924">
        <w:rPr>
          <w:rFonts w:ascii="Times New Roman" w:eastAsia="Times New Roman" w:hAnsi="Times New Roman" w:cs="Times New Roman"/>
          <w:color w:val="000000" w:themeColor="text1"/>
          <w:sz w:val="28"/>
          <w:szCs w:val="28"/>
          <w:lang w:val="uk-UA"/>
        </w:rPr>
        <w:t>зниж</w:t>
      </w:r>
      <w:r w:rsidR="00CE28A3" w:rsidRPr="00042924">
        <w:rPr>
          <w:rFonts w:ascii="Times New Roman" w:eastAsia="Times New Roman" w:hAnsi="Times New Roman" w:cs="Times New Roman"/>
          <w:color w:val="000000" w:themeColor="text1"/>
          <w:sz w:val="28"/>
          <w:szCs w:val="28"/>
          <w:lang w:val="uk-UA"/>
        </w:rPr>
        <w:t>ує</w:t>
      </w:r>
      <w:r w:rsidR="00D25680" w:rsidRPr="00042924">
        <w:rPr>
          <w:rFonts w:ascii="Times New Roman" w:eastAsia="Times New Roman" w:hAnsi="Times New Roman" w:cs="Times New Roman"/>
          <w:color w:val="000000" w:themeColor="text1"/>
          <w:sz w:val="28"/>
          <w:szCs w:val="28"/>
          <w:lang w:val="uk-UA"/>
        </w:rPr>
        <w:t xml:space="preserve"> конкурентоспроможн</w:t>
      </w:r>
      <w:r w:rsidR="000755C3" w:rsidRPr="00042924">
        <w:rPr>
          <w:rFonts w:ascii="Times New Roman" w:eastAsia="Times New Roman" w:hAnsi="Times New Roman" w:cs="Times New Roman"/>
          <w:color w:val="000000" w:themeColor="text1"/>
          <w:sz w:val="28"/>
          <w:szCs w:val="28"/>
          <w:lang w:val="uk-UA"/>
        </w:rPr>
        <w:t>ість підприємства</w:t>
      </w:r>
      <w:r w:rsidR="00D25680" w:rsidRPr="00042924">
        <w:rPr>
          <w:rFonts w:ascii="Times New Roman" w:eastAsia="Times New Roman" w:hAnsi="Times New Roman" w:cs="Times New Roman"/>
          <w:color w:val="000000" w:themeColor="text1"/>
          <w:sz w:val="28"/>
          <w:szCs w:val="28"/>
          <w:lang w:val="uk-UA"/>
        </w:rPr>
        <w:t>.</w:t>
      </w:r>
    </w:p>
    <w:p w14:paraId="7C111867" w14:textId="77777777" w:rsidR="00D25680" w:rsidRPr="00042924" w:rsidRDefault="00A337E5"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2.</w:t>
      </w:r>
      <w:r w:rsidR="00D25680" w:rsidRPr="00042924">
        <w:rPr>
          <w:rFonts w:ascii="Times New Roman" w:eastAsia="Times New Roman" w:hAnsi="Times New Roman" w:cs="Times New Roman"/>
          <w:color w:val="000000" w:themeColor="text1"/>
          <w:sz w:val="28"/>
          <w:szCs w:val="28"/>
          <w:lang w:val="uk-UA"/>
        </w:rPr>
        <w:t>Неефективна організаційна структура управління з великою кількістю рівнів та дублюванням функцій. Це ускладнює та сповільнює процеси планування, бюджетування, контролю, ухвалення рішень.</w:t>
      </w:r>
    </w:p>
    <w:p w14:paraId="36E232EF" w14:textId="77777777" w:rsidR="00D25680" w:rsidRPr="00042924" w:rsidRDefault="00326CB2"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3.</w:t>
      </w:r>
      <w:r w:rsidR="00D25680" w:rsidRPr="00042924">
        <w:rPr>
          <w:rFonts w:ascii="Times New Roman" w:eastAsia="Times New Roman" w:hAnsi="Times New Roman" w:cs="Times New Roman"/>
          <w:color w:val="000000" w:themeColor="text1"/>
          <w:sz w:val="28"/>
          <w:szCs w:val="28"/>
          <w:lang w:val="uk-UA"/>
        </w:rPr>
        <w:t xml:space="preserve">Критично низькі показники ліквідності та платоспроможності у 2022 році. Підприємство є фінансово нестійким та </w:t>
      </w:r>
      <w:r w:rsidRPr="00042924">
        <w:rPr>
          <w:rFonts w:ascii="Times New Roman" w:eastAsia="Times New Roman" w:hAnsi="Times New Roman" w:cs="Times New Roman"/>
          <w:color w:val="000000" w:themeColor="text1"/>
          <w:sz w:val="28"/>
          <w:szCs w:val="28"/>
          <w:lang w:val="uk-UA"/>
        </w:rPr>
        <w:t>сильно залежить від зовнішніх запозичень для фінансування операційної діяльності та інвестицій</w:t>
      </w:r>
      <w:r w:rsidR="00D25680" w:rsidRPr="00042924">
        <w:rPr>
          <w:rFonts w:ascii="Times New Roman" w:eastAsia="Times New Roman" w:hAnsi="Times New Roman" w:cs="Times New Roman"/>
          <w:color w:val="000000" w:themeColor="text1"/>
          <w:sz w:val="28"/>
          <w:szCs w:val="28"/>
          <w:lang w:val="uk-UA"/>
        </w:rPr>
        <w:t>.</w:t>
      </w:r>
    </w:p>
    <w:p w14:paraId="1EC8DD0F" w14:textId="77777777" w:rsidR="00D25680" w:rsidRPr="00042924" w:rsidRDefault="00FA316F"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4.</w:t>
      </w:r>
      <w:r w:rsidRPr="00042924">
        <w:rPr>
          <w:color w:val="000000" w:themeColor="text1"/>
          <w:lang w:val="uk-UA"/>
        </w:rPr>
        <w:t xml:space="preserve"> </w:t>
      </w:r>
      <w:r w:rsidRPr="00042924">
        <w:rPr>
          <w:rFonts w:ascii="Times New Roman" w:eastAsia="Times New Roman" w:hAnsi="Times New Roman" w:cs="Times New Roman"/>
          <w:color w:val="000000" w:themeColor="text1"/>
          <w:sz w:val="28"/>
          <w:szCs w:val="28"/>
          <w:lang w:val="uk-UA"/>
        </w:rPr>
        <w:t>Низька рентабельність основних видів діяльності</w:t>
      </w:r>
      <w:r w:rsidR="00D25680" w:rsidRPr="00042924">
        <w:rPr>
          <w:rFonts w:ascii="Times New Roman" w:eastAsia="Times New Roman" w:hAnsi="Times New Roman" w:cs="Times New Roman"/>
          <w:color w:val="000000" w:themeColor="text1"/>
          <w:sz w:val="28"/>
          <w:szCs w:val="28"/>
          <w:lang w:val="uk-UA"/>
        </w:rPr>
        <w:t xml:space="preserve">. Від'ємні показники рентабельності у 2022 році свідчать </w:t>
      </w:r>
      <w:r w:rsidRPr="00042924">
        <w:rPr>
          <w:rFonts w:ascii="Times New Roman" w:eastAsia="Times New Roman" w:hAnsi="Times New Roman" w:cs="Times New Roman"/>
          <w:color w:val="000000" w:themeColor="text1"/>
          <w:sz w:val="28"/>
          <w:szCs w:val="28"/>
          <w:lang w:val="uk-UA"/>
        </w:rPr>
        <w:t>про неефективне використання активів та ресурсів, неможливість генерувати прибуток.</w:t>
      </w:r>
    </w:p>
    <w:p w14:paraId="1AD540F3" w14:textId="77777777" w:rsidR="00D25680" w:rsidRPr="00042924" w:rsidRDefault="004134E6"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5.</w:t>
      </w:r>
      <w:r w:rsidR="00D25680" w:rsidRPr="00042924">
        <w:rPr>
          <w:rFonts w:ascii="Times New Roman" w:eastAsia="Times New Roman" w:hAnsi="Times New Roman" w:cs="Times New Roman"/>
          <w:color w:val="000000" w:themeColor="text1"/>
          <w:sz w:val="28"/>
          <w:szCs w:val="28"/>
          <w:lang w:val="uk-UA"/>
        </w:rPr>
        <w:t>Різке скорочення виробництва</w:t>
      </w:r>
      <w:r w:rsidR="000F008A" w:rsidRPr="00042924">
        <w:rPr>
          <w:rFonts w:ascii="Times New Roman" w:eastAsia="Times New Roman" w:hAnsi="Times New Roman" w:cs="Times New Roman"/>
          <w:color w:val="000000" w:themeColor="text1"/>
          <w:sz w:val="28"/>
          <w:szCs w:val="28"/>
          <w:lang w:val="uk-UA"/>
        </w:rPr>
        <w:t xml:space="preserve"> </w:t>
      </w:r>
      <w:r w:rsidR="00D25680" w:rsidRPr="00042924">
        <w:rPr>
          <w:rFonts w:ascii="Times New Roman" w:eastAsia="Times New Roman" w:hAnsi="Times New Roman" w:cs="Times New Roman"/>
          <w:color w:val="000000" w:themeColor="text1"/>
          <w:sz w:val="28"/>
          <w:szCs w:val="28"/>
          <w:lang w:val="uk-UA"/>
        </w:rPr>
        <w:t xml:space="preserve">та експорту </w:t>
      </w:r>
      <w:r w:rsidR="003D41FC" w:rsidRPr="00042924">
        <w:rPr>
          <w:rFonts w:ascii="Times New Roman" w:eastAsia="Times New Roman" w:hAnsi="Times New Roman" w:cs="Times New Roman"/>
          <w:color w:val="000000" w:themeColor="text1"/>
          <w:sz w:val="28"/>
          <w:szCs w:val="28"/>
          <w:lang w:val="uk-UA"/>
        </w:rPr>
        <w:t xml:space="preserve">порівняно з 2020 роком </w:t>
      </w:r>
      <w:r w:rsidR="007D41F1" w:rsidRPr="00042924">
        <w:rPr>
          <w:rFonts w:ascii="Times New Roman" w:eastAsia="Times New Roman" w:hAnsi="Times New Roman" w:cs="Times New Roman"/>
          <w:color w:val="000000" w:themeColor="text1"/>
          <w:sz w:val="28"/>
          <w:szCs w:val="28"/>
          <w:lang w:val="uk-UA"/>
        </w:rPr>
        <w:t>внаслідок</w:t>
      </w:r>
      <w:r w:rsidR="003D41FC" w:rsidRPr="00042924">
        <w:rPr>
          <w:rFonts w:ascii="Times New Roman" w:eastAsia="Times New Roman" w:hAnsi="Times New Roman" w:cs="Times New Roman"/>
          <w:color w:val="000000" w:themeColor="text1"/>
          <w:sz w:val="28"/>
          <w:szCs w:val="28"/>
          <w:lang w:val="uk-UA"/>
        </w:rPr>
        <w:t xml:space="preserve"> в</w:t>
      </w:r>
      <w:r w:rsidR="00D25680" w:rsidRPr="00042924">
        <w:rPr>
          <w:rFonts w:ascii="Times New Roman" w:eastAsia="Times New Roman" w:hAnsi="Times New Roman" w:cs="Times New Roman"/>
          <w:color w:val="000000" w:themeColor="text1"/>
          <w:sz w:val="28"/>
          <w:szCs w:val="28"/>
          <w:lang w:val="uk-UA"/>
        </w:rPr>
        <w:t>трат</w:t>
      </w:r>
      <w:r w:rsidR="007D41F1" w:rsidRPr="00042924">
        <w:rPr>
          <w:rFonts w:ascii="Times New Roman" w:eastAsia="Times New Roman" w:hAnsi="Times New Roman" w:cs="Times New Roman"/>
          <w:color w:val="000000" w:themeColor="text1"/>
          <w:sz w:val="28"/>
          <w:szCs w:val="28"/>
          <w:lang w:val="uk-UA"/>
        </w:rPr>
        <w:t>и</w:t>
      </w:r>
      <w:r w:rsidR="00D25680" w:rsidRPr="00042924">
        <w:rPr>
          <w:rFonts w:ascii="Times New Roman" w:eastAsia="Times New Roman" w:hAnsi="Times New Roman" w:cs="Times New Roman"/>
          <w:color w:val="000000" w:themeColor="text1"/>
          <w:sz w:val="28"/>
          <w:szCs w:val="28"/>
          <w:lang w:val="uk-UA"/>
        </w:rPr>
        <w:t xml:space="preserve"> ринків збуту та складнощі</w:t>
      </w:r>
      <w:r w:rsidR="007D41F1" w:rsidRPr="00042924">
        <w:rPr>
          <w:rFonts w:ascii="Times New Roman" w:eastAsia="Times New Roman" w:hAnsi="Times New Roman" w:cs="Times New Roman"/>
          <w:color w:val="000000" w:themeColor="text1"/>
          <w:sz w:val="28"/>
          <w:szCs w:val="28"/>
          <w:lang w:val="uk-UA"/>
        </w:rPr>
        <w:t>в</w:t>
      </w:r>
      <w:r w:rsidR="00D25680" w:rsidRPr="00042924">
        <w:rPr>
          <w:rFonts w:ascii="Times New Roman" w:eastAsia="Times New Roman" w:hAnsi="Times New Roman" w:cs="Times New Roman"/>
          <w:color w:val="000000" w:themeColor="text1"/>
          <w:sz w:val="28"/>
          <w:szCs w:val="28"/>
          <w:lang w:val="uk-UA"/>
        </w:rPr>
        <w:t xml:space="preserve"> з логістикою через війну</w:t>
      </w:r>
      <w:r w:rsidR="007D41F1" w:rsidRPr="00042924">
        <w:rPr>
          <w:rFonts w:ascii="Times New Roman" w:eastAsia="Times New Roman" w:hAnsi="Times New Roman" w:cs="Times New Roman"/>
          <w:color w:val="000000" w:themeColor="text1"/>
          <w:sz w:val="28"/>
          <w:szCs w:val="28"/>
          <w:lang w:val="uk-UA"/>
        </w:rPr>
        <w:t xml:space="preserve"> та падіння світового попиту на фоні уповільнення глобальної економіки</w:t>
      </w:r>
      <w:r w:rsidR="00D25680" w:rsidRPr="00042924">
        <w:rPr>
          <w:rFonts w:ascii="Times New Roman" w:eastAsia="Times New Roman" w:hAnsi="Times New Roman" w:cs="Times New Roman"/>
          <w:color w:val="000000" w:themeColor="text1"/>
          <w:sz w:val="28"/>
          <w:szCs w:val="28"/>
          <w:lang w:val="uk-UA"/>
        </w:rPr>
        <w:t>.</w:t>
      </w:r>
    </w:p>
    <w:p w14:paraId="02295C1C" w14:textId="77777777" w:rsidR="00D25680" w:rsidRPr="00042924" w:rsidRDefault="004134E6"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6.</w:t>
      </w:r>
      <w:r w:rsidR="00D25680" w:rsidRPr="00042924">
        <w:rPr>
          <w:rFonts w:ascii="Times New Roman" w:eastAsia="Times New Roman" w:hAnsi="Times New Roman" w:cs="Times New Roman"/>
          <w:color w:val="000000" w:themeColor="text1"/>
          <w:sz w:val="28"/>
          <w:szCs w:val="28"/>
          <w:lang w:val="uk-UA"/>
        </w:rPr>
        <w:t xml:space="preserve">Значне подорожчання </w:t>
      </w:r>
      <w:r w:rsidR="003F5783" w:rsidRPr="00042924">
        <w:rPr>
          <w:rFonts w:ascii="Times New Roman" w:eastAsia="Times New Roman" w:hAnsi="Times New Roman" w:cs="Times New Roman"/>
          <w:color w:val="000000" w:themeColor="text1"/>
          <w:sz w:val="28"/>
          <w:szCs w:val="28"/>
          <w:lang w:val="uk-UA"/>
        </w:rPr>
        <w:t>залізної руди, вугілля, газу, електроенергії, послуг залізниць та портів у 2022 році на тлі світової енергетичної та економічної кризи</w:t>
      </w:r>
      <w:r w:rsidR="00CC053D" w:rsidRPr="00042924">
        <w:rPr>
          <w:rFonts w:ascii="Times New Roman" w:eastAsia="Times New Roman" w:hAnsi="Times New Roman" w:cs="Times New Roman"/>
          <w:color w:val="000000" w:themeColor="text1"/>
          <w:sz w:val="28"/>
          <w:szCs w:val="28"/>
          <w:lang w:val="uk-UA"/>
        </w:rPr>
        <w:t xml:space="preserve"> внаслідок воєнних дій</w:t>
      </w:r>
      <w:r w:rsidR="004D62F3" w:rsidRPr="00042924">
        <w:rPr>
          <w:rFonts w:ascii="Times New Roman" w:eastAsia="Times New Roman" w:hAnsi="Times New Roman" w:cs="Times New Roman"/>
          <w:color w:val="000000" w:themeColor="text1"/>
          <w:sz w:val="28"/>
          <w:szCs w:val="28"/>
          <w:lang w:val="uk-UA"/>
        </w:rPr>
        <w:t xml:space="preserve"> на Україні</w:t>
      </w:r>
      <w:r w:rsidR="00D25680" w:rsidRPr="00042924">
        <w:rPr>
          <w:rFonts w:ascii="Times New Roman" w:eastAsia="Times New Roman" w:hAnsi="Times New Roman" w:cs="Times New Roman"/>
          <w:color w:val="000000" w:themeColor="text1"/>
          <w:sz w:val="28"/>
          <w:szCs w:val="28"/>
          <w:lang w:val="uk-UA"/>
        </w:rPr>
        <w:t>.</w:t>
      </w:r>
    </w:p>
    <w:p w14:paraId="07BF49A2" w14:textId="77777777" w:rsidR="00D25680" w:rsidRPr="00042924" w:rsidRDefault="004134E6"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7.</w:t>
      </w:r>
      <w:r w:rsidR="00D25680" w:rsidRPr="00042924">
        <w:rPr>
          <w:rFonts w:ascii="Times New Roman" w:eastAsia="Times New Roman" w:hAnsi="Times New Roman" w:cs="Times New Roman"/>
          <w:color w:val="000000" w:themeColor="text1"/>
          <w:sz w:val="28"/>
          <w:szCs w:val="28"/>
          <w:lang w:val="uk-UA"/>
        </w:rPr>
        <w:t xml:space="preserve">Масове скорочення персоналу та нестача робочої сили у зв'язку </w:t>
      </w:r>
      <w:r w:rsidR="009F000B" w:rsidRPr="00042924">
        <w:rPr>
          <w:rFonts w:ascii="Times New Roman" w:eastAsia="Times New Roman" w:hAnsi="Times New Roman" w:cs="Times New Roman"/>
          <w:color w:val="000000" w:themeColor="text1"/>
          <w:sz w:val="28"/>
          <w:szCs w:val="28"/>
          <w:lang w:val="uk-UA"/>
        </w:rPr>
        <w:t>з мобілізацією та припиненням діяльності окремих підрозділів</w:t>
      </w:r>
      <w:r w:rsidR="00D25680" w:rsidRPr="00042924">
        <w:rPr>
          <w:rFonts w:ascii="Times New Roman" w:eastAsia="Times New Roman" w:hAnsi="Times New Roman" w:cs="Times New Roman"/>
          <w:color w:val="000000" w:themeColor="text1"/>
          <w:sz w:val="28"/>
          <w:szCs w:val="28"/>
          <w:lang w:val="uk-UA"/>
        </w:rPr>
        <w:t xml:space="preserve">. </w:t>
      </w:r>
      <w:r w:rsidR="00404307" w:rsidRPr="00042924">
        <w:rPr>
          <w:rFonts w:ascii="Times New Roman" w:eastAsia="Times New Roman" w:hAnsi="Times New Roman" w:cs="Times New Roman"/>
          <w:color w:val="000000" w:themeColor="text1"/>
          <w:sz w:val="28"/>
          <w:szCs w:val="28"/>
          <w:lang w:val="uk-UA"/>
        </w:rPr>
        <w:t>Це поглибило дефіцит робочої сили та ускладнило забезпечення операційних процесів необхідними трудовими ресурсами.</w:t>
      </w:r>
    </w:p>
    <w:p w14:paraId="50788CD1" w14:textId="77777777" w:rsidR="003B0419" w:rsidRPr="00042924" w:rsidRDefault="004134E6"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8.</w:t>
      </w:r>
      <w:r w:rsidR="00D25680" w:rsidRPr="00042924">
        <w:rPr>
          <w:rFonts w:ascii="Times New Roman" w:eastAsia="Times New Roman" w:hAnsi="Times New Roman" w:cs="Times New Roman"/>
          <w:color w:val="000000" w:themeColor="text1"/>
          <w:sz w:val="28"/>
          <w:szCs w:val="28"/>
          <w:lang w:val="uk-UA"/>
        </w:rPr>
        <w:t xml:space="preserve">Відсутність інвестицій у модернізацію через високі фінансові ризики та </w:t>
      </w:r>
      <w:r w:rsidR="003B0419" w:rsidRPr="00042924">
        <w:rPr>
          <w:rFonts w:ascii="Times New Roman" w:eastAsia="Times New Roman" w:hAnsi="Times New Roman" w:cs="Times New Roman"/>
          <w:color w:val="000000" w:themeColor="text1"/>
          <w:sz w:val="28"/>
          <w:szCs w:val="28"/>
          <w:lang w:val="uk-UA"/>
        </w:rPr>
        <w:t xml:space="preserve">економічну </w:t>
      </w:r>
      <w:r w:rsidR="00D25680" w:rsidRPr="00042924">
        <w:rPr>
          <w:rFonts w:ascii="Times New Roman" w:eastAsia="Times New Roman" w:hAnsi="Times New Roman" w:cs="Times New Roman"/>
          <w:color w:val="000000" w:themeColor="text1"/>
          <w:sz w:val="28"/>
          <w:szCs w:val="28"/>
          <w:lang w:val="uk-UA"/>
        </w:rPr>
        <w:t>невизначеність в країні</w:t>
      </w:r>
      <w:r w:rsidR="003B0419" w:rsidRPr="00042924">
        <w:rPr>
          <w:rFonts w:ascii="Times New Roman" w:eastAsia="Times New Roman" w:hAnsi="Times New Roman" w:cs="Times New Roman"/>
          <w:color w:val="000000" w:themeColor="text1"/>
          <w:sz w:val="28"/>
          <w:szCs w:val="28"/>
          <w:lang w:val="uk-UA"/>
        </w:rPr>
        <w:t xml:space="preserve"> неможливо залучити інвестиції для оновлення застарілого обладнання та технологій</w:t>
      </w:r>
      <w:r w:rsidR="00D25680" w:rsidRPr="00042924">
        <w:rPr>
          <w:rFonts w:ascii="Times New Roman" w:eastAsia="Times New Roman" w:hAnsi="Times New Roman" w:cs="Times New Roman"/>
          <w:color w:val="000000" w:themeColor="text1"/>
          <w:sz w:val="28"/>
          <w:szCs w:val="28"/>
          <w:lang w:val="uk-UA"/>
        </w:rPr>
        <w:t xml:space="preserve">. </w:t>
      </w:r>
      <w:r w:rsidR="003B0419" w:rsidRPr="00042924">
        <w:rPr>
          <w:rFonts w:ascii="Times New Roman" w:eastAsia="Times New Roman" w:hAnsi="Times New Roman" w:cs="Times New Roman"/>
          <w:color w:val="000000" w:themeColor="text1"/>
          <w:sz w:val="28"/>
          <w:szCs w:val="28"/>
          <w:lang w:val="uk-UA"/>
        </w:rPr>
        <w:t>Це гальмує модернізацію виробничих потужностей, впровадження інновацій, підвищення ефективності та конкурентоспроможності.</w:t>
      </w:r>
    </w:p>
    <w:p w14:paraId="3BBF0AE7" w14:textId="77777777" w:rsidR="00EF37E8" w:rsidRDefault="005D0DEF" w:rsidP="009671A9">
      <w:pPr>
        <w:spacing w:after="0" w:line="240" w:lineRule="auto"/>
        <w:ind w:firstLine="709"/>
        <w:jc w:val="both"/>
        <w:rPr>
          <w:rFonts w:ascii="Times New Roman" w:eastAsia="Times New Roman" w:hAnsi="Times New Roman" w:cs="Times New Roman"/>
          <w:color w:val="000000" w:themeColor="text1"/>
          <w:sz w:val="28"/>
          <w:szCs w:val="28"/>
          <w:lang w:val="uk-UA"/>
        </w:rPr>
      </w:pPr>
      <w:bookmarkStart w:id="28" w:name="_Hlk151898203"/>
      <w:r w:rsidRPr="005D0DEF">
        <w:rPr>
          <w:rFonts w:ascii="Times New Roman" w:eastAsia="Times New Roman" w:hAnsi="Times New Roman" w:cs="Times New Roman"/>
          <w:color w:val="000000" w:themeColor="text1"/>
          <w:sz w:val="28"/>
          <w:szCs w:val="28"/>
          <w:lang w:val="uk-UA"/>
        </w:rPr>
        <w:t xml:space="preserve">Отже, комплекс цих проблем ставить під загрозу подальше функціонування ПАТ «АМКР» і вимагає негайного реагування та системних заходів антикризового управління. Інакше існує висока ймовірність банкрутства підприємства </w:t>
      </w:r>
      <w:r w:rsidR="00675FD4">
        <w:rPr>
          <w:rFonts w:ascii="Times New Roman" w:eastAsia="Times New Roman" w:hAnsi="Times New Roman" w:cs="Times New Roman"/>
          <w:color w:val="000000" w:themeColor="text1"/>
          <w:sz w:val="28"/>
          <w:szCs w:val="28"/>
          <w:lang w:val="uk-UA"/>
        </w:rPr>
        <w:t>в</w:t>
      </w:r>
      <w:r w:rsidR="00675FD4" w:rsidRPr="00675FD4">
        <w:rPr>
          <w:rFonts w:ascii="Times New Roman" w:eastAsia="Times New Roman" w:hAnsi="Times New Roman" w:cs="Times New Roman"/>
          <w:color w:val="000000" w:themeColor="text1"/>
          <w:sz w:val="28"/>
          <w:szCs w:val="28"/>
          <w:lang w:val="uk-UA"/>
        </w:rPr>
        <w:t xml:space="preserve"> недалекому майбутньому</w:t>
      </w:r>
      <w:r w:rsidRPr="005D0DEF">
        <w:rPr>
          <w:rFonts w:ascii="Times New Roman" w:eastAsia="Times New Roman" w:hAnsi="Times New Roman" w:cs="Times New Roman"/>
          <w:color w:val="000000" w:themeColor="text1"/>
          <w:sz w:val="28"/>
          <w:szCs w:val="28"/>
          <w:lang w:val="uk-UA"/>
        </w:rPr>
        <w:t>. У контексті цієї ситуації, наявність звіту, проведеного незалежними аудиторами [4</w:t>
      </w:r>
      <w:r w:rsidR="000101A9" w:rsidRPr="000101A9">
        <w:rPr>
          <w:rFonts w:ascii="Times New Roman" w:eastAsia="Times New Roman" w:hAnsi="Times New Roman" w:cs="Times New Roman"/>
          <w:color w:val="000000" w:themeColor="text1"/>
          <w:sz w:val="28"/>
          <w:szCs w:val="28"/>
          <w:lang w:val="uk-UA"/>
        </w:rPr>
        <w:t>0</w:t>
      </w:r>
      <w:r w:rsidRPr="005D0DEF">
        <w:rPr>
          <w:rFonts w:ascii="Times New Roman" w:eastAsia="Times New Roman" w:hAnsi="Times New Roman" w:cs="Times New Roman"/>
          <w:color w:val="000000" w:themeColor="text1"/>
          <w:sz w:val="28"/>
          <w:szCs w:val="28"/>
          <w:lang w:val="uk-UA"/>
        </w:rPr>
        <w:t xml:space="preserve">], дозволяє зробити висновок щодо доцільності </w:t>
      </w:r>
      <w:r w:rsidRPr="005D0DEF">
        <w:rPr>
          <w:rFonts w:ascii="Times New Roman" w:eastAsia="Times New Roman" w:hAnsi="Times New Roman" w:cs="Times New Roman"/>
          <w:color w:val="000000" w:themeColor="text1"/>
          <w:sz w:val="28"/>
          <w:szCs w:val="28"/>
          <w:lang w:val="uk-UA"/>
        </w:rPr>
        <w:lastRenderedPageBreak/>
        <w:t>припущення про здатність компанії продовжувати свою діяльність на безперервній основі у найближчій перспективі. Це визначається ефективністю заходів, що були вжиті у відповідь на ці виклики та врахуванням факторів, які визначають стан фінансового здоров'я підприємства</w:t>
      </w:r>
      <w:r>
        <w:rPr>
          <w:rFonts w:ascii="Times New Roman" w:eastAsia="Times New Roman" w:hAnsi="Times New Roman" w:cs="Times New Roman"/>
          <w:color w:val="000000" w:themeColor="text1"/>
          <w:sz w:val="28"/>
          <w:szCs w:val="28"/>
          <w:lang w:val="uk-UA"/>
        </w:rPr>
        <w:t>:</w:t>
      </w:r>
    </w:p>
    <w:p w14:paraId="2B121A6F" w14:textId="77777777" w:rsidR="005D0DEF" w:rsidRPr="000C2AF6" w:rsidRDefault="00AD76D8" w:rsidP="005D0D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D0DEF" w:rsidRPr="000C2AF6">
        <w:rPr>
          <w:rFonts w:ascii="Times New Roman" w:hAnsi="Times New Roman" w:cs="Times New Roman"/>
          <w:sz w:val="28"/>
          <w:szCs w:val="28"/>
          <w:lang w:val="uk-UA"/>
        </w:rPr>
        <w:t>Незважаючи на складну ситуацію, заблоковані морські порти та військові дії, які ведуться на відносно незначній відстані, компанії вдалося перенаправити канали продажів та ланцюги постачань основної сировини для продовження своєї операційної діяльності на Європу за допомогою залізничних перевезень. Це свідчить про гнучкість та адаптивність компанії в умовах негативних впливів, а також її здатність швидко реагувати на виклики зовнішнього середовища.</w:t>
      </w:r>
    </w:p>
    <w:p w14:paraId="708CD7FB" w14:textId="77777777" w:rsidR="005D0DEF" w:rsidRPr="000C2AF6" w:rsidRDefault="005D0DEF" w:rsidP="005D0D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C2AF6">
        <w:rPr>
          <w:rFonts w:ascii="Times New Roman" w:hAnsi="Times New Roman" w:cs="Times New Roman"/>
          <w:sz w:val="28"/>
          <w:szCs w:val="28"/>
          <w:lang w:val="uk-UA"/>
        </w:rPr>
        <w:t>Компанія має достатній рівень ліквідності для забезпечення виконання всіх своїх короткострокових зобов'язань. На думку керівництва компанії, вона має достатній запас міцності та здатність провадити операційну діяльність у найближчому майбутньому. Зокрема, більша частина торгової дебіторської заборгованості компанії належить до отримання від іноземних компаній компанії АрселорМіттал. Компанія планує отримати цю дебіторську заборгованість, коли буде необхідно, для виконання своїх поточних зобов'язань в ході звичайної господарської діяльності, включно з виплатою заробітної плати, податків, а також оплатами за поставки сировини та енергоресурсів.</w:t>
      </w:r>
    </w:p>
    <w:p w14:paraId="6646B935" w14:textId="77777777" w:rsidR="005D0DEF" w:rsidRPr="000C2AF6" w:rsidRDefault="005D0DEF" w:rsidP="005D0D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C2AF6">
        <w:rPr>
          <w:rFonts w:ascii="Times New Roman" w:hAnsi="Times New Roman" w:cs="Times New Roman"/>
          <w:sz w:val="28"/>
          <w:szCs w:val="28"/>
          <w:lang w:val="uk-UA"/>
        </w:rPr>
        <w:t>Станом на 31 грудня 2022 року підприємство мала відкриті під корпоративні гарантії кредитні лінії на суму 1 982 мільйона гривень, які, в основному, використовуються для випуску акредитивів. Окрім цього, підприємство має доступну невикористану частину довгострокових кредитів у розмірі 1828 мільйона гривень. Це створює додаткові можливості для фінансування потреб компанії та забезпечення її фінансової стійкості у важливий період.</w:t>
      </w:r>
    </w:p>
    <w:p w14:paraId="423C1E5D" w14:textId="77777777" w:rsidR="005D0DEF" w:rsidRPr="000C2AF6" w:rsidRDefault="005D0DEF" w:rsidP="005D0D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C2AF6">
        <w:rPr>
          <w:rFonts w:ascii="Times New Roman" w:hAnsi="Times New Roman" w:cs="Times New Roman"/>
          <w:sz w:val="28"/>
          <w:szCs w:val="28"/>
          <w:lang w:val="uk-UA"/>
        </w:rPr>
        <w:t>Підприємство навіть розглянула сценарій повної зупинки виробництва і дійшла висновку, що у неї є достатні ресурси для продовження операційної діяльності протягом як мінімум дванадцяти місяців. Це свідчить про високий рівень стратегічного планування та готовність до управління в екстремальних обставинах.</w:t>
      </w:r>
    </w:p>
    <w:p w14:paraId="1765B625" w14:textId="77777777" w:rsidR="005D0DEF" w:rsidRDefault="005D0DEF" w:rsidP="005D0D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C2AF6">
        <w:rPr>
          <w:rFonts w:ascii="Times New Roman" w:hAnsi="Times New Roman" w:cs="Times New Roman"/>
          <w:sz w:val="28"/>
          <w:szCs w:val="28"/>
          <w:lang w:val="uk-UA"/>
        </w:rPr>
        <w:t>У випадку потенційного пошкодження окремих виробничих об'єктів внаслідок військових дій підприємство має достатні можливості для їх заміни у виробничому процесі за рахунок тих, які наразі не працюють, оскільки лише приблизно 20-25% виробничих потужностей було задіяно у 2022 році після початку повномасштабної війни. Це свідчить про гнучкість та резервні можливості управління виробничими ресурсами, спрямованими на збереження та відновлення виробничих процесів.</w:t>
      </w:r>
    </w:p>
    <w:p w14:paraId="3409738C" w14:textId="77777777" w:rsidR="005D0DEF" w:rsidRPr="00D70511" w:rsidRDefault="005D0DEF" w:rsidP="005D0DE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70511">
        <w:rPr>
          <w:rFonts w:ascii="Times New Roman" w:hAnsi="Times New Roman" w:cs="Times New Roman"/>
          <w:sz w:val="28"/>
          <w:szCs w:val="28"/>
          <w:lang w:val="uk-UA"/>
        </w:rPr>
        <w:t xml:space="preserve">Для забезпечення безперебійності енергопостачання підприємство може використовувати власні електрогенеруючі потужності, як у разі короткочасних перебоїв в електропостачанні, так і для підтримки обмеженого рівня виробництва протягом більш тривалого періоду. </w:t>
      </w:r>
      <w:bookmarkStart w:id="29" w:name="_Hlk153277146"/>
      <w:r w:rsidRPr="00D70511">
        <w:rPr>
          <w:rFonts w:ascii="Times New Roman" w:hAnsi="Times New Roman" w:cs="Times New Roman"/>
          <w:sz w:val="28"/>
          <w:szCs w:val="28"/>
          <w:lang w:val="uk-UA"/>
        </w:rPr>
        <w:t xml:space="preserve">Крім того, </w:t>
      </w:r>
      <w:bookmarkStart w:id="30" w:name="_Hlk153280596"/>
      <w:r w:rsidRPr="00D70511">
        <w:rPr>
          <w:rFonts w:ascii="Times New Roman" w:hAnsi="Times New Roman" w:cs="Times New Roman"/>
          <w:sz w:val="28"/>
          <w:szCs w:val="28"/>
          <w:lang w:val="uk-UA"/>
        </w:rPr>
        <w:t>при виникненні несприятливих умов або перебоїв у постачанні електроенергії зовнішніми постачальниками</w:t>
      </w:r>
      <w:bookmarkEnd w:id="30"/>
      <w:r w:rsidRPr="00D70511">
        <w:rPr>
          <w:rFonts w:ascii="Times New Roman" w:hAnsi="Times New Roman" w:cs="Times New Roman"/>
          <w:sz w:val="28"/>
          <w:szCs w:val="28"/>
          <w:lang w:val="uk-UA"/>
        </w:rPr>
        <w:t>, власні резервні потужності дозволяють підтримувати ефективність виробничих процесів.</w:t>
      </w:r>
      <w:r>
        <w:rPr>
          <w:rFonts w:ascii="Times New Roman" w:hAnsi="Times New Roman" w:cs="Times New Roman"/>
          <w:sz w:val="28"/>
          <w:szCs w:val="28"/>
          <w:lang w:val="uk-UA"/>
        </w:rPr>
        <w:t xml:space="preserve"> </w:t>
      </w:r>
      <w:r w:rsidRPr="009442F8">
        <w:rPr>
          <w:rFonts w:ascii="Times New Roman" w:hAnsi="Times New Roman" w:cs="Times New Roman"/>
          <w:sz w:val="28"/>
          <w:szCs w:val="28"/>
          <w:lang w:val="uk-UA"/>
        </w:rPr>
        <w:t xml:space="preserve">У разі дефіциту природного газу можливе його часткове заміщення коксовим і доменним газами власного виробництва, а також твердим паливом. </w:t>
      </w:r>
      <w:bookmarkEnd w:id="29"/>
      <w:r w:rsidRPr="009442F8">
        <w:rPr>
          <w:rFonts w:ascii="Times New Roman" w:hAnsi="Times New Roman" w:cs="Times New Roman"/>
          <w:sz w:val="28"/>
          <w:szCs w:val="28"/>
          <w:lang w:val="uk-UA"/>
        </w:rPr>
        <w:t>Це ст</w:t>
      </w:r>
      <w:r w:rsidRPr="00D70511">
        <w:rPr>
          <w:rFonts w:ascii="Times New Roman" w:hAnsi="Times New Roman" w:cs="Times New Roman"/>
          <w:sz w:val="28"/>
          <w:szCs w:val="28"/>
          <w:lang w:val="uk-UA"/>
        </w:rPr>
        <w:t xml:space="preserve">ратегічне рішення надає підприємству гнучкість у виборі джерел енергії та забезпечує </w:t>
      </w:r>
      <w:r w:rsidRPr="00D70511">
        <w:rPr>
          <w:rFonts w:ascii="Times New Roman" w:hAnsi="Times New Roman" w:cs="Times New Roman"/>
          <w:sz w:val="28"/>
          <w:szCs w:val="28"/>
          <w:lang w:val="uk-UA"/>
        </w:rPr>
        <w:lastRenderedPageBreak/>
        <w:t>стабільність виробництва навіть у складних умовах, пов'язаних з нестабільністю постачання природних ресурсів.</w:t>
      </w:r>
    </w:p>
    <w:p w14:paraId="69A28DFC" w14:textId="77777777" w:rsidR="00B527C6" w:rsidRPr="00042924" w:rsidRDefault="00B527C6"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 xml:space="preserve">Підсумовуючи результати 2-го розділу, можна визначити, що фінансовий стан підприємства є надзвичайно нестабільним. У 2022 році спостерігається різке зниження показників прибутку, ліквідності, рентабельності, а також скорочення виробництва та експорту, що </w:t>
      </w:r>
      <w:r w:rsidR="003B7773">
        <w:rPr>
          <w:rFonts w:ascii="Times New Roman" w:eastAsia="Times New Roman" w:hAnsi="Times New Roman" w:cs="Times New Roman"/>
          <w:color w:val="000000" w:themeColor="text1"/>
          <w:sz w:val="28"/>
          <w:szCs w:val="28"/>
          <w:lang w:val="uk-UA"/>
        </w:rPr>
        <w:t>вказує на</w:t>
      </w:r>
      <w:r w:rsidRPr="00042924">
        <w:rPr>
          <w:rFonts w:ascii="Times New Roman" w:eastAsia="Times New Roman" w:hAnsi="Times New Roman" w:cs="Times New Roman"/>
          <w:color w:val="000000" w:themeColor="text1"/>
          <w:sz w:val="28"/>
          <w:szCs w:val="28"/>
          <w:lang w:val="uk-UA"/>
        </w:rPr>
        <w:t xml:space="preserve"> глибоку системну кризу.</w:t>
      </w:r>
    </w:p>
    <w:p w14:paraId="1C2DEB5E" w14:textId="77777777" w:rsidR="00B527C6" w:rsidRPr="00042924" w:rsidRDefault="00B527C6"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 xml:space="preserve">За результатами інтегральної діагностики, проведеної за 6 моделями, ймовірність банкрутства у 2022 році є вкрай високою і залишатиметься значною і в подальшому, якщо не будуть прийняті термінові заходи. </w:t>
      </w:r>
      <w:r w:rsidR="008909F6" w:rsidRPr="00042924">
        <w:rPr>
          <w:rFonts w:ascii="Times New Roman" w:eastAsia="Times New Roman" w:hAnsi="Times New Roman" w:cs="Times New Roman"/>
          <w:color w:val="000000" w:themeColor="text1"/>
          <w:sz w:val="28"/>
          <w:szCs w:val="28"/>
          <w:lang w:val="uk-UA"/>
        </w:rPr>
        <w:t>До того ж</w:t>
      </w:r>
      <w:r w:rsidR="00E92ADD" w:rsidRPr="00042924">
        <w:rPr>
          <w:rFonts w:ascii="Times New Roman" w:eastAsia="Times New Roman" w:hAnsi="Times New Roman" w:cs="Times New Roman"/>
          <w:color w:val="000000" w:themeColor="text1"/>
          <w:sz w:val="28"/>
          <w:szCs w:val="28"/>
          <w:lang w:val="uk-UA"/>
        </w:rPr>
        <w:t xml:space="preserve"> в</w:t>
      </w:r>
      <w:r w:rsidRPr="00042924">
        <w:rPr>
          <w:rFonts w:ascii="Times New Roman" w:eastAsia="Times New Roman" w:hAnsi="Times New Roman" w:cs="Times New Roman"/>
          <w:color w:val="000000" w:themeColor="text1"/>
          <w:sz w:val="28"/>
          <w:szCs w:val="28"/>
          <w:lang w:val="uk-UA"/>
        </w:rPr>
        <w:t>иявлено низку ключових проблем, що породжують кризу, таких як застарілі основні фонди, висока ресурсомісткість, неефективна структура управління, низька рентабельність,</w:t>
      </w:r>
      <w:r w:rsidR="009B2B50" w:rsidRPr="00042924">
        <w:rPr>
          <w:rFonts w:ascii="Times New Roman" w:eastAsia="Times New Roman" w:hAnsi="Times New Roman" w:cs="Times New Roman"/>
          <w:color w:val="000000" w:themeColor="text1"/>
          <w:sz w:val="28"/>
          <w:szCs w:val="28"/>
          <w:lang w:val="uk-UA"/>
        </w:rPr>
        <w:t xml:space="preserve"> </w:t>
      </w:r>
      <w:r w:rsidRPr="00042924">
        <w:rPr>
          <w:rFonts w:ascii="Times New Roman" w:eastAsia="Times New Roman" w:hAnsi="Times New Roman" w:cs="Times New Roman"/>
          <w:color w:val="000000" w:themeColor="text1"/>
          <w:sz w:val="28"/>
          <w:szCs w:val="28"/>
          <w:lang w:val="uk-UA"/>
        </w:rPr>
        <w:t xml:space="preserve">скорочення </w:t>
      </w:r>
      <w:r w:rsidR="009B2B50" w:rsidRPr="00042924">
        <w:rPr>
          <w:rFonts w:ascii="Times New Roman" w:eastAsia="Times New Roman" w:hAnsi="Times New Roman" w:cs="Times New Roman"/>
          <w:color w:val="000000" w:themeColor="text1"/>
          <w:sz w:val="28"/>
          <w:szCs w:val="28"/>
          <w:lang w:val="uk-UA"/>
        </w:rPr>
        <w:t xml:space="preserve">як </w:t>
      </w:r>
      <w:r w:rsidRPr="00042924">
        <w:rPr>
          <w:rFonts w:ascii="Times New Roman" w:eastAsia="Times New Roman" w:hAnsi="Times New Roman" w:cs="Times New Roman"/>
          <w:color w:val="000000" w:themeColor="text1"/>
          <w:sz w:val="28"/>
          <w:szCs w:val="28"/>
          <w:lang w:val="uk-UA"/>
        </w:rPr>
        <w:t>виробництва та</w:t>
      </w:r>
      <w:r w:rsidR="009B2B50" w:rsidRPr="00042924">
        <w:rPr>
          <w:rFonts w:ascii="Times New Roman" w:eastAsia="Times New Roman" w:hAnsi="Times New Roman" w:cs="Times New Roman"/>
          <w:color w:val="000000" w:themeColor="text1"/>
          <w:sz w:val="28"/>
          <w:szCs w:val="28"/>
          <w:lang w:val="uk-UA"/>
        </w:rPr>
        <w:t>к і</w:t>
      </w:r>
      <w:r w:rsidRPr="00042924">
        <w:rPr>
          <w:rFonts w:ascii="Times New Roman" w:eastAsia="Times New Roman" w:hAnsi="Times New Roman" w:cs="Times New Roman"/>
          <w:color w:val="000000" w:themeColor="text1"/>
          <w:sz w:val="28"/>
          <w:szCs w:val="28"/>
          <w:lang w:val="uk-UA"/>
        </w:rPr>
        <w:t xml:space="preserve"> експорту, дефіцит робочої сили тощо.</w:t>
      </w:r>
    </w:p>
    <w:p w14:paraId="28AB416D" w14:textId="77777777" w:rsidR="005C4CC1" w:rsidRPr="00042924" w:rsidRDefault="005C4CC1" w:rsidP="009671A9">
      <w:pPr>
        <w:spacing w:after="0" w:line="240" w:lineRule="auto"/>
        <w:ind w:firstLine="709"/>
        <w:jc w:val="both"/>
        <w:rPr>
          <w:rFonts w:ascii="Times New Roman" w:eastAsia="Times New Roman" w:hAnsi="Times New Roman" w:cs="Times New Roman"/>
          <w:color w:val="000000" w:themeColor="text1"/>
          <w:sz w:val="28"/>
          <w:szCs w:val="28"/>
          <w:lang w:val="uk-UA"/>
        </w:rPr>
      </w:pPr>
      <w:r w:rsidRPr="00042924">
        <w:rPr>
          <w:rFonts w:ascii="Times New Roman" w:eastAsia="Times New Roman" w:hAnsi="Times New Roman" w:cs="Times New Roman"/>
          <w:color w:val="000000" w:themeColor="text1"/>
          <w:sz w:val="28"/>
          <w:szCs w:val="28"/>
          <w:lang w:val="uk-UA"/>
        </w:rPr>
        <w:t>Без термінової державної підтримки та приваблення значних інвестицій підприємство приречене на подальше скорочення виробництва і припинення діяльності через банкрутство.</w:t>
      </w:r>
      <w:bookmarkEnd w:id="19"/>
      <w:bookmarkEnd w:id="28"/>
    </w:p>
    <w:bookmarkEnd w:id="0"/>
    <w:p w14:paraId="4CF9C8FD" w14:textId="77777777" w:rsidR="0034588A" w:rsidRPr="00042924" w:rsidRDefault="0034588A">
      <w:pPr>
        <w:rPr>
          <w:rFonts w:ascii="Times New Roman" w:eastAsia="Times New Roman" w:hAnsi="Times New Roman" w:cs="Times New Roman"/>
          <w:sz w:val="28"/>
          <w:szCs w:val="28"/>
          <w:lang w:val="uk-UA"/>
        </w:rPr>
      </w:pPr>
      <w:r w:rsidRPr="00042924">
        <w:rPr>
          <w:rFonts w:ascii="Times New Roman" w:eastAsia="Times New Roman" w:hAnsi="Times New Roman" w:cs="Times New Roman"/>
          <w:sz w:val="28"/>
          <w:szCs w:val="28"/>
          <w:lang w:val="uk-UA"/>
        </w:rPr>
        <w:br w:type="page"/>
      </w:r>
    </w:p>
    <w:p w14:paraId="25A07C4F" w14:textId="77777777" w:rsidR="000D189F" w:rsidRPr="00042924" w:rsidRDefault="000D189F" w:rsidP="000D189F">
      <w:pPr>
        <w:spacing w:after="0" w:line="240" w:lineRule="auto"/>
        <w:jc w:val="center"/>
        <w:rPr>
          <w:rFonts w:ascii="Times New Roman" w:eastAsia="Times New Roman" w:hAnsi="Times New Roman" w:cs="Times New Roman"/>
          <w:b/>
          <w:bCs/>
          <w:sz w:val="28"/>
          <w:szCs w:val="28"/>
          <w:lang w:val="uk-UA"/>
        </w:rPr>
      </w:pPr>
      <w:bookmarkStart w:id="31" w:name="_Hlk152609156"/>
      <w:r>
        <w:rPr>
          <w:rFonts w:ascii="Times New Roman" w:eastAsia="Times New Roman" w:hAnsi="Times New Roman" w:cs="Times New Roman"/>
          <w:b/>
          <w:bCs/>
          <w:sz w:val="28"/>
          <w:szCs w:val="28"/>
          <w:lang w:val="uk-UA"/>
        </w:rPr>
        <w:lastRenderedPageBreak/>
        <w:t>ВИСНОВКИ ТА РЕКОМЕНДАЦІЇ</w:t>
      </w:r>
    </w:p>
    <w:p w14:paraId="18CDB9D8" w14:textId="77777777" w:rsidR="005610F8" w:rsidRDefault="005610F8" w:rsidP="005610F8">
      <w:pPr>
        <w:spacing w:after="0" w:line="240" w:lineRule="auto"/>
        <w:ind w:firstLine="709"/>
        <w:jc w:val="both"/>
        <w:rPr>
          <w:rFonts w:ascii="Times New Roman" w:eastAsia="Times New Roman" w:hAnsi="Times New Roman" w:cs="Times New Roman"/>
          <w:b/>
          <w:bCs/>
          <w:sz w:val="28"/>
          <w:szCs w:val="28"/>
          <w:lang w:val="uk-UA"/>
        </w:rPr>
      </w:pPr>
    </w:p>
    <w:p w14:paraId="275F5076" w14:textId="77777777" w:rsidR="00B6396E" w:rsidRPr="00042924" w:rsidRDefault="00B6396E" w:rsidP="005610F8">
      <w:pPr>
        <w:spacing w:after="0" w:line="240" w:lineRule="auto"/>
        <w:ind w:firstLine="709"/>
        <w:jc w:val="both"/>
        <w:rPr>
          <w:rFonts w:ascii="Times New Roman" w:eastAsia="Times New Roman" w:hAnsi="Times New Roman" w:cs="Times New Roman"/>
          <w:b/>
          <w:bCs/>
          <w:sz w:val="28"/>
          <w:szCs w:val="28"/>
          <w:lang w:val="uk-UA"/>
        </w:rPr>
      </w:pPr>
    </w:p>
    <w:p w14:paraId="0E9E932A" w14:textId="77777777" w:rsidR="00CE561F" w:rsidRPr="00095B60" w:rsidRDefault="00366872" w:rsidP="00CE561F">
      <w:pPr>
        <w:spacing w:after="0" w:line="240" w:lineRule="auto"/>
        <w:ind w:firstLine="709"/>
        <w:jc w:val="both"/>
        <w:rPr>
          <w:rFonts w:ascii="Times New Roman" w:eastAsia="Times New Roman" w:hAnsi="Times New Roman" w:cs="Times New Roman"/>
          <w:sz w:val="28"/>
          <w:lang w:val="uk-UA"/>
        </w:rPr>
      </w:pPr>
      <w:r w:rsidRPr="00095B60">
        <w:rPr>
          <w:rFonts w:ascii="Times New Roman" w:eastAsia="Times New Roman" w:hAnsi="Times New Roman" w:cs="Times New Roman"/>
          <w:sz w:val="28"/>
          <w:lang w:val="uk-UA"/>
        </w:rPr>
        <w:t>У</w:t>
      </w:r>
      <w:r w:rsidR="00CE561F" w:rsidRPr="00095B60">
        <w:rPr>
          <w:rFonts w:ascii="Times New Roman" w:eastAsia="Times New Roman" w:hAnsi="Times New Roman" w:cs="Times New Roman"/>
          <w:sz w:val="28"/>
          <w:lang w:val="uk-UA"/>
        </w:rPr>
        <w:t xml:space="preserve"> роботі ґрунтовно узагальнено сучасні теоретико-методологічні підходи до фундаментальних досліджень природи, причин і наслідків банкрутства суб’єктів господарювання в умовах динамічного та складного ринкового середовища. Ретельно проаналізовано багатогранну багаторівневу сутність цього складного комплексного економічного, фінансового, управлінського та правового явища. Виокремлено численні типи, форми, різновиди, причини та наслідки банкрутства суб’єктів господарської діяльності. Всебічно охарактеризовано широкий спектр сучасних методів діагностики ймовірності банкрутства та прогнозування фінансової неспроможності підприємств – експертний, статистичне моделювання, методи штучного інтелекту, комплексний фундаментальний фінансовий аналіз. Детально розглянуто їх переваги, недоліки, можливості та доцільні умови оптимального практичного застосування на різних етапах аналізу.</w:t>
      </w:r>
    </w:p>
    <w:p w14:paraId="748072FE" w14:textId="77777777" w:rsidR="00CE561F" w:rsidRPr="00095B60" w:rsidRDefault="000705D2" w:rsidP="00CE561F">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Детально</w:t>
      </w:r>
      <w:r w:rsidR="00CE561F" w:rsidRPr="00095B60">
        <w:rPr>
          <w:rFonts w:ascii="Times New Roman" w:eastAsia="Times New Roman" w:hAnsi="Times New Roman" w:cs="Times New Roman"/>
          <w:color w:val="000000" w:themeColor="text1"/>
          <w:sz w:val="28"/>
          <w:lang w:val="uk-UA"/>
        </w:rPr>
        <w:t xml:space="preserve"> досліджено реальний кризовий стан значної частини діючих суб’єктів господарювання в Україні, які перебувають на межі фінансової катастрофи та реального банкрутства внаслідок поєднаного впливу цілого комплексу потужних дестабілізуючих факторів. Останні включають як глибинні наслідки військової агресії Росії на території України, хронічні галузеві та макроекономічні диспропорції внаслідок неефективної національної економічної політики, так і суттєві системні недоліки чинного вітчизняного законодавства, яке регламентує процедури банкрутства підприємств. На основі узагальнення зарубіжного досвіду обґрунтовано необхідність термінової розробки і реалізації стратегічних </w:t>
      </w:r>
      <w:r w:rsidR="001D64A6" w:rsidRPr="00095B60">
        <w:rPr>
          <w:rFonts w:ascii="Times New Roman" w:eastAsia="Times New Roman" w:hAnsi="Times New Roman" w:cs="Times New Roman"/>
          <w:color w:val="000000" w:themeColor="text1"/>
          <w:sz w:val="28"/>
          <w:lang w:val="uk-UA"/>
        </w:rPr>
        <w:t>узагальнених</w:t>
      </w:r>
      <w:r w:rsidR="00CE561F" w:rsidRPr="00095B60">
        <w:rPr>
          <w:rFonts w:ascii="Times New Roman" w:eastAsia="Times New Roman" w:hAnsi="Times New Roman" w:cs="Times New Roman"/>
          <w:color w:val="000000" w:themeColor="text1"/>
          <w:sz w:val="28"/>
          <w:lang w:val="uk-UA"/>
        </w:rPr>
        <w:t xml:space="preserve"> програм, спрямованих на оздоровлення національної економіки, відновлення макроекономічної рівноваги та стабільності, активізацію структурної перебудови господарського комплексу, докорінну лібералізацію регуляторних процедур та кардинальне вдосконалення нормативно-правової та інституційної бази щодо запобігання банкрутствам суб’єктів господарювання та максимально ефективного врегулювання наслідків їх фінансової неспроможності.</w:t>
      </w:r>
    </w:p>
    <w:p w14:paraId="7EC87813" w14:textId="77777777" w:rsidR="00146ADA" w:rsidRDefault="00146ADA" w:rsidP="00146ADA">
      <w:pPr>
        <w:widowControl w:val="0"/>
        <w:autoSpaceDE w:val="0"/>
        <w:autoSpaceDN w:val="0"/>
        <w:spacing w:after="0" w:line="240" w:lineRule="auto"/>
        <w:ind w:firstLine="709"/>
        <w:jc w:val="both"/>
        <w:rPr>
          <w:rFonts w:ascii="Times New Roman" w:eastAsia="Times New Roman" w:hAnsi="Times New Roman" w:cs="Times New Roman"/>
          <w:color w:val="000000" w:themeColor="text1"/>
          <w:spacing w:val="-1"/>
          <w:kern w:val="0"/>
          <w:sz w:val="28"/>
          <w:szCs w:val="28"/>
          <w:lang w:val="uk-UA"/>
          <w14:ligatures w14:val="none"/>
        </w:rPr>
      </w:pPr>
      <w:r>
        <w:rPr>
          <w:rFonts w:ascii="Times New Roman" w:eastAsia="Times New Roman" w:hAnsi="Times New Roman" w:cs="Times New Roman"/>
          <w:spacing w:val="-1"/>
          <w:kern w:val="0"/>
          <w:sz w:val="28"/>
          <w:szCs w:val="28"/>
          <w:lang w:val="uk-UA"/>
          <w14:ligatures w14:val="none"/>
        </w:rPr>
        <w:t>Публічне акціонерне товариство «АрселорМіттал Кривий Ріг» - економічний та технічний гігант</w:t>
      </w:r>
      <w:r w:rsidR="00430870">
        <w:rPr>
          <w:rFonts w:ascii="Times New Roman" w:eastAsia="Times New Roman" w:hAnsi="Times New Roman" w:cs="Times New Roman"/>
          <w:spacing w:val="-1"/>
          <w:kern w:val="0"/>
          <w:sz w:val="28"/>
          <w:szCs w:val="28"/>
          <w:lang w:val="uk-UA"/>
          <w14:ligatures w14:val="none"/>
        </w:rPr>
        <w:t xml:space="preserve">. </w:t>
      </w:r>
      <w:r>
        <w:rPr>
          <w:rFonts w:ascii="Times New Roman" w:eastAsia="Times New Roman" w:hAnsi="Times New Roman" w:cs="Times New Roman"/>
          <w:color w:val="000000" w:themeColor="text1"/>
          <w:spacing w:val="-1"/>
          <w:kern w:val="0"/>
          <w:sz w:val="28"/>
          <w:szCs w:val="28"/>
          <w:lang w:val="uk-UA"/>
          <w14:ligatures w14:val="none"/>
        </w:rPr>
        <w:t xml:space="preserve">Аналіз основних економічних показників ПАТ </w:t>
      </w:r>
      <w:r>
        <w:rPr>
          <w:rFonts w:ascii="Times New Roman" w:eastAsia="Times New Roman" w:hAnsi="Times New Roman" w:cs="Times New Roman"/>
          <w:spacing w:val="-1"/>
          <w:kern w:val="0"/>
          <w:sz w:val="28"/>
          <w:szCs w:val="28"/>
          <w:lang w:val="uk-UA"/>
          <w14:ligatures w14:val="none"/>
        </w:rPr>
        <w:t>«АМКР»</w:t>
      </w:r>
      <w:r>
        <w:rPr>
          <w:rFonts w:ascii="Times New Roman" w:eastAsia="Times New Roman" w:hAnsi="Times New Roman" w:cs="Times New Roman"/>
          <w:color w:val="000000" w:themeColor="text1"/>
          <w:spacing w:val="-1"/>
          <w:kern w:val="0"/>
          <w:sz w:val="28"/>
          <w:szCs w:val="28"/>
          <w:lang w:val="uk-UA"/>
          <w14:ligatures w14:val="none"/>
        </w:rPr>
        <w:t xml:space="preserve"> у динаміці 2020-2022 років свідчить про різке погіршення результативності, ефективності та фінансової стійкості підприємства.</w:t>
      </w:r>
      <w:r w:rsidRPr="00146ADA">
        <w:rPr>
          <w:rFonts w:ascii="Times New Roman" w:eastAsia="Times New Roman" w:hAnsi="Times New Roman" w:cs="Times New Roman"/>
          <w:color w:val="000000" w:themeColor="text1"/>
          <w:spacing w:val="-1"/>
          <w:kern w:val="0"/>
          <w:sz w:val="28"/>
          <w:szCs w:val="28"/>
          <w:lang w:val="uk-UA"/>
          <w14:ligatures w14:val="none"/>
        </w:rPr>
        <w:t xml:space="preserve"> </w:t>
      </w:r>
      <w:r>
        <w:rPr>
          <w:rFonts w:ascii="Times New Roman" w:eastAsia="Times New Roman" w:hAnsi="Times New Roman" w:cs="Times New Roman"/>
          <w:color w:val="000000" w:themeColor="text1"/>
          <w:spacing w:val="-1"/>
          <w:kern w:val="0"/>
          <w:sz w:val="28"/>
          <w:szCs w:val="28"/>
          <w:lang w:val="uk-UA"/>
          <w14:ligatures w14:val="none"/>
        </w:rPr>
        <w:t>Причиною стало різке скорочення доходів від реалізації на 30,99%, що пов'язано як з падінням світового попиту на металопродукцію через уповільнення глобальної економіки, так і з втратою частини внутрішнього ринку внаслідок війни на території України. При цьому підприємство не змогло оперативно перебудувати логістику та канали збуту, що підтверджує недостатню стратегічну гнучкість</w:t>
      </w:r>
      <w:r w:rsidRPr="00146ADA">
        <w:rPr>
          <w:rFonts w:ascii="Times New Roman" w:eastAsia="Times New Roman" w:hAnsi="Times New Roman" w:cs="Times New Roman"/>
          <w:color w:val="000000" w:themeColor="text1"/>
          <w:spacing w:val="-1"/>
          <w:kern w:val="0"/>
          <w:sz w:val="28"/>
          <w:szCs w:val="28"/>
          <w:lang w:val="uk-UA"/>
          <w14:ligatures w14:val="none"/>
        </w:rPr>
        <w:t xml:space="preserve"> </w:t>
      </w:r>
      <w:r>
        <w:rPr>
          <w:rFonts w:ascii="Times New Roman" w:eastAsia="Times New Roman" w:hAnsi="Times New Roman" w:cs="Times New Roman"/>
          <w:color w:val="000000" w:themeColor="text1"/>
          <w:spacing w:val="-1"/>
          <w:kern w:val="0"/>
          <w:sz w:val="28"/>
          <w:szCs w:val="28"/>
          <w:lang w:val="uk-UA"/>
          <w14:ligatures w14:val="none"/>
        </w:rPr>
        <w:t>необхідним є термінове вжиття заходів щодо оптимізації витрат, підвищення ефективності використання активів, а також відновлення інвестицій в оновлення основних фондів для забезпечення довгострокової конкурентоспроможності ПАТ «АМКР».</w:t>
      </w:r>
    </w:p>
    <w:p w14:paraId="6BB37034" w14:textId="77777777" w:rsidR="00146ADA" w:rsidRDefault="00430870" w:rsidP="00146ADA">
      <w:pPr>
        <w:tabs>
          <w:tab w:val="left" w:pos="3137"/>
          <w:tab w:val="left" w:pos="5281"/>
        </w:tabs>
        <w:spacing w:after="0" w:line="240" w:lineRule="auto"/>
        <w:ind w:firstLine="709"/>
        <w:jc w:val="both"/>
        <w:rPr>
          <w:rFonts w:ascii="Times New Roman" w:hAnsi="Times New Roman" w:cs="Times New Roman"/>
          <w:kern w:val="0"/>
          <w:sz w:val="28"/>
          <w:szCs w:val="28"/>
          <w:lang w:val="uk-UA"/>
        </w:rPr>
      </w:pPr>
      <w:r>
        <w:rPr>
          <w:rFonts w:ascii="Times New Roman" w:hAnsi="Times New Roman" w:cs="Times New Roman"/>
          <w:kern w:val="0"/>
          <w:sz w:val="28"/>
          <w:szCs w:val="28"/>
          <w:lang w:val="uk-UA"/>
        </w:rPr>
        <w:t>П</w:t>
      </w:r>
      <w:r w:rsidR="00146ADA">
        <w:rPr>
          <w:rFonts w:ascii="Times New Roman" w:hAnsi="Times New Roman" w:cs="Times New Roman"/>
          <w:kern w:val="0"/>
          <w:sz w:val="28"/>
          <w:szCs w:val="28"/>
          <w:lang w:val="uk-UA"/>
        </w:rPr>
        <w:t>роведен</w:t>
      </w:r>
      <w:r>
        <w:rPr>
          <w:rFonts w:ascii="Times New Roman" w:hAnsi="Times New Roman" w:cs="Times New Roman"/>
          <w:kern w:val="0"/>
          <w:sz w:val="28"/>
          <w:szCs w:val="28"/>
          <w:lang w:val="uk-UA"/>
        </w:rPr>
        <w:t>ий</w:t>
      </w:r>
      <w:r w:rsidR="00146ADA">
        <w:rPr>
          <w:rFonts w:ascii="Times New Roman" w:hAnsi="Times New Roman" w:cs="Times New Roman"/>
          <w:kern w:val="0"/>
          <w:sz w:val="28"/>
          <w:szCs w:val="28"/>
          <w:lang w:val="uk-UA"/>
        </w:rPr>
        <w:t xml:space="preserve"> SWOT-аналіз</w:t>
      </w:r>
      <w:r>
        <w:rPr>
          <w:rFonts w:ascii="Times New Roman" w:hAnsi="Times New Roman" w:cs="Times New Roman"/>
          <w:kern w:val="0"/>
          <w:sz w:val="28"/>
          <w:szCs w:val="28"/>
          <w:lang w:val="uk-UA"/>
        </w:rPr>
        <w:t xml:space="preserve"> підтвердив, що</w:t>
      </w:r>
      <w:r w:rsidR="00146ADA">
        <w:rPr>
          <w:rFonts w:ascii="Times New Roman" w:hAnsi="Times New Roman" w:cs="Times New Roman"/>
          <w:kern w:val="0"/>
          <w:sz w:val="28"/>
          <w:szCs w:val="28"/>
          <w:lang w:val="uk-UA"/>
        </w:rPr>
        <w:t xml:space="preserve"> підприємство володіє значним виробничим потенціалом завдяки наявності повного технологічного циклу, кваліфікованого персоналу та підтримці потужної міжнародної корпорації. Проте </w:t>
      </w:r>
      <w:r w:rsidR="00146ADA">
        <w:rPr>
          <w:rFonts w:ascii="Times New Roman" w:hAnsi="Times New Roman" w:cs="Times New Roman"/>
          <w:kern w:val="0"/>
          <w:sz w:val="28"/>
          <w:szCs w:val="28"/>
          <w:lang w:val="uk-UA"/>
        </w:rPr>
        <w:lastRenderedPageBreak/>
        <w:t>реалізація цього потенціалу ускладнюється через застарілі основні фонди, що зумовлює високу ресурсомісткість, а також через недостатньо ефективне управління виробництвом. Фінансовий стан підприємства є вкрай нестійким, існує значна ймовірність його банкрутства в найближчій перспективі. Спостерігається збитковість діяльності, низький рівень рентабельності, скорочення обсягів виробництва та експорту продукції.</w:t>
      </w:r>
    </w:p>
    <w:p w14:paraId="5DE46C1B" w14:textId="77777777" w:rsidR="00CC6103" w:rsidRPr="00095B60" w:rsidRDefault="00CC6103" w:rsidP="00CC610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У результаті детального комплексного аналізу широкого спектру фінансово-економічних показників діяльності ПАТ «АМКР» за період 2020-2022 рр. з використанням сучасних методів економіко-математичного моделювання, інформаційних технологій та програмного забезпечення встановлено стрімке погіршення ефективності, результативності, фінансової стабільності та перспектив подальшого розвитку підприємства.</w:t>
      </w:r>
    </w:p>
    <w:p w14:paraId="1F143355" w14:textId="77777777" w:rsidR="00CC6103" w:rsidRPr="00095B60" w:rsidRDefault="00CC6103" w:rsidP="00CC610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Зокрема, за підсумками 2022 року зафіксовано безпрецедентні збитки на рівні 49 млрд грн, скорочення обсягів виробництва продукції на 70-76% порівняно з 2020 роком, що засвідчує наявність ознак глибокої системної кризи та реальної загрози банкрутства підприємства в найближчій перспективі.</w:t>
      </w:r>
    </w:p>
    <w:p w14:paraId="65021074" w14:textId="77777777" w:rsidR="00CC6103" w:rsidRPr="00095B60" w:rsidRDefault="00CC6103" w:rsidP="00CC610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 xml:space="preserve">Проведений факторний аналіз динаміки показників ліквідності </w:t>
      </w:r>
      <w:r w:rsidR="009B67FF" w:rsidRPr="009B67FF">
        <w:rPr>
          <w:rFonts w:ascii="Times New Roman" w:eastAsia="Times New Roman" w:hAnsi="Times New Roman" w:cs="Times New Roman"/>
          <w:color w:val="000000" w:themeColor="text1"/>
          <w:sz w:val="28"/>
          <w:lang w:val="uk-UA"/>
        </w:rPr>
        <w:t>ПАТ «АМКР»</w:t>
      </w:r>
      <w:r w:rsidR="009B67FF">
        <w:rPr>
          <w:rFonts w:ascii="Times New Roman" w:eastAsia="Times New Roman" w:hAnsi="Times New Roman" w:cs="Times New Roman"/>
          <w:color w:val="000000" w:themeColor="text1"/>
          <w:sz w:val="28"/>
          <w:lang w:val="uk-UA"/>
        </w:rPr>
        <w:t xml:space="preserve"> </w:t>
      </w:r>
      <w:r w:rsidRPr="00095B60">
        <w:rPr>
          <w:rFonts w:ascii="Times New Roman" w:eastAsia="Times New Roman" w:hAnsi="Times New Roman" w:cs="Times New Roman"/>
          <w:color w:val="000000" w:themeColor="text1"/>
          <w:sz w:val="28"/>
          <w:lang w:val="uk-UA"/>
        </w:rPr>
        <w:t>продемонстрував різке падіння у 2022 р. порівняно з 2021 р. таких індикаторів як: загальний коефіцієнт ліквідності (з 2,08 до 1,61), коефіцієнт швидкої ліквідності (з 1,42 до 0,85), коефіцієнт співвідношення дебіторської та кредиторської заборгованості (з 1,55 до 1,06). Це свідчить про втрату платоспроможності, погіршення структури активів та здатності своєчасно розраховуватися за поточними зобов’язаннями.</w:t>
      </w:r>
    </w:p>
    <w:p w14:paraId="1B3E2469" w14:textId="77777777" w:rsidR="00CC6103" w:rsidRPr="00095B60" w:rsidRDefault="00CC6103" w:rsidP="00CC610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Показники рентабельності активів і капіталу в умовах збитковості основних видів операційної діяльності та хронічного дефіциту грошових потоків набули у 2022 році від’ємних значень. Зокрема рентабельність продажів склала -1,118, рентабельність власного капіталу - -1,737, що свідчить про абсолютно неефективне використання наявних ресурсів та активів підприємства в умовах ринкової кон’юнктури, яка склалась.</w:t>
      </w:r>
    </w:p>
    <w:p w14:paraId="3A0783B2" w14:textId="77777777" w:rsidR="00CC6103" w:rsidRPr="00095B60" w:rsidRDefault="00CC6103" w:rsidP="00CC610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 xml:space="preserve">Поглиблений </w:t>
      </w:r>
      <w:r w:rsidRPr="00511EF6">
        <w:rPr>
          <w:rFonts w:ascii="Times New Roman" w:eastAsia="Times New Roman" w:hAnsi="Times New Roman" w:cs="Times New Roman"/>
          <w:color w:val="000000" w:themeColor="text1"/>
          <w:sz w:val="28"/>
          <w:lang w:val="uk-UA"/>
        </w:rPr>
        <w:t>аналіз</w:t>
      </w:r>
      <w:r w:rsidRPr="00095B60">
        <w:rPr>
          <w:rFonts w:ascii="Times New Roman" w:eastAsia="Times New Roman" w:hAnsi="Times New Roman" w:cs="Times New Roman"/>
          <w:color w:val="000000" w:themeColor="text1"/>
          <w:sz w:val="28"/>
          <w:lang w:val="uk-UA"/>
        </w:rPr>
        <w:t xml:space="preserve"> показників фінансової стійкості засвідчив їх різке погіршення у 2022 році порівняно з попередніми періодами. Зокрема, коефіцієнт автономії знизився на 21% і склав 0,54; коефіцієнт фінансової залежності збільшився на 22% - до 1,87; коефіцієнт фінансових ризиків зріс удвічі до позначки 0,87. Це свідчить про виснаження власних джерел фінансування, зростання частки позикового капіталу в структурі джерел, що разом призвело до втрати фінансової рівноваги та стійкості, підвищення загрози банкрутства та ризиків втрати ліквідності.</w:t>
      </w:r>
    </w:p>
    <w:p w14:paraId="4D541C4E" w14:textId="77777777" w:rsidR="00CC6103" w:rsidRPr="00095B60" w:rsidRDefault="00CC6103" w:rsidP="00CC6103">
      <w:pPr>
        <w:spacing w:after="0" w:line="240" w:lineRule="auto"/>
        <w:ind w:firstLine="709"/>
        <w:jc w:val="both"/>
        <w:rPr>
          <w:rFonts w:ascii="Times New Roman" w:eastAsia="Times New Roman" w:hAnsi="Times New Roman" w:cs="Times New Roman"/>
          <w:color w:val="000000" w:themeColor="text1"/>
          <w:sz w:val="28"/>
          <w:lang w:val="uk-UA"/>
        </w:rPr>
      </w:pPr>
      <w:r w:rsidRPr="007E3039">
        <w:rPr>
          <w:rFonts w:ascii="Times New Roman" w:eastAsia="Times New Roman" w:hAnsi="Times New Roman" w:cs="Times New Roman"/>
          <w:color w:val="000000" w:themeColor="text1"/>
          <w:sz w:val="28"/>
          <w:lang w:val="uk-UA"/>
        </w:rPr>
        <w:t>Таким чином, за результатами</w:t>
      </w:r>
      <w:r w:rsidR="007E3039">
        <w:rPr>
          <w:rFonts w:ascii="Times New Roman" w:eastAsia="Times New Roman" w:hAnsi="Times New Roman" w:cs="Times New Roman"/>
          <w:color w:val="000000" w:themeColor="text1"/>
          <w:sz w:val="28"/>
          <w:lang w:val="uk-UA"/>
        </w:rPr>
        <w:t xml:space="preserve"> </w:t>
      </w:r>
      <w:r w:rsidR="001E1C1E" w:rsidRPr="007E3039">
        <w:rPr>
          <w:rFonts w:ascii="Times New Roman" w:eastAsia="Times New Roman" w:hAnsi="Times New Roman" w:cs="Times New Roman"/>
          <w:color w:val="000000" w:themeColor="text1"/>
          <w:sz w:val="28"/>
          <w:lang w:val="uk-UA"/>
        </w:rPr>
        <w:t>проведеного</w:t>
      </w:r>
      <w:r w:rsidRPr="007E3039">
        <w:rPr>
          <w:rFonts w:ascii="Times New Roman" w:eastAsia="Times New Roman" w:hAnsi="Times New Roman" w:cs="Times New Roman"/>
          <w:color w:val="000000" w:themeColor="text1"/>
          <w:sz w:val="28"/>
          <w:lang w:val="uk-UA"/>
        </w:rPr>
        <w:t xml:space="preserve"> дослідження доведено, що фінансово-економічний стан ПАТ «АМКР» є абсолютно незадовільним та характеризується усіма ознаками глибокої системної кризи з високим ступенем імовірності банкрутства в найближчій перспективі за відсутності ефективних антикризових заходів.</w:t>
      </w:r>
    </w:p>
    <w:p w14:paraId="2ECEB19B"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sz w:val="28"/>
          <w:lang w:val="uk-UA"/>
        </w:rPr>
        <w:t>За результатами інтегральної діагностики ймовірності банкрутства</w:t>
      </w:r>
      <w:r w:rsidRPr="00095B60">
        <w:rPr>
          <w:rFonts w:ascii="Times New Roman" w:eastAsia="Times New Roman" w:hAnsi="Times New Roman" w:cs="Times New Roman"/>
          <w:color w:val="000000" w:themeColor="text1"/>
          <w:sz w:val="28"/>
          <w:lang w:val="uk-UA"/>
        </w:rPr>
        <w:t xml:space="preserve"> ПАТ «АМКР» за період з 2020 по 2022 роки можна визначити ряд значущих тенденцій </w:t>
      </w:r>
      <w:r w:rsidRPr="00095B60">
        <w:rPr>
          <w:rFonts w:ascii="Times New Roman" w:eastAsia="Times New Roman" w:hAnsi="Times New Roman" w:cs="Times New Roman"/>
          <w:color w:val="000000" w:themeColor="text1"/>
          <w:sz w:val="28"/>
          <w:lang w:val="uk-UA"/>
        </w:rPr>
        <w:lastRenderedPageBreak/>
        <w:t>та висновків, які відображають не тільки поточну ситуацію, а й ставлять питання стосовно майбутньої стратегії підприємства.</w:t>
      </w:r>
    </w:p>
    <w:p w14:paraId="4A8055E8"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 xml:space="preserve">За період досліджень виявлено, що інтегральна оцінка ймовірності банкрутства демонструє різкі зміни в динаміці, яка може викликати серйозні занепокоєння. Зокрема, за моделлю Альтмана висока ймовірність банкрутства в 2019 та 2022 роках, а в 2020 році вона залишалася на високому рівні. Спрінгейт та Таффлер також підтверджують високий ризик у 2019, 2020 та 2022 роках. Ліс вказує на зростання ймовірності в 2022 році, тоді як Терещенко показує наявність напівбанкрутського стану підприємства у 2022 році. </w:t>
      </w:r>
      <w:r w:rsidR="000419C7" w:rsidRPr="00095B60">
        <w:rPr>
          <w:rFonts w:ascii="Times New Roman" w:eastAsia="Times New Roman" w:hAnsi="Times New Roman" w:cs="Times New Roman"/>
          <w:color w:val="000000" w:themeColor="text1"/>
          <w:sz w:val="28"/>
          <w:lang w:val="uk-UA"/>
        </w:rPr>
        <w:t>Не зважаючи на несподіваність цього висновку, за Матвійчуком фінансовий стан визначається як задовільний у період з 2019 по 2022 роки.</w:t>
      </w:r>
    </w:p>
    <w:p w14:paraId="386C93E0"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Результати також свідчать про суттєве погіршення показників ефективності використання основних засобів у 2022 році. Фондовіддача зменшилася на 70%, досягнувши рівня 1,24, фондоозброєність праці втратила 26,8%, становлячи 2059,76 тис. грн/чол., та частка зносу зросла до 84,86%.</w:t>
      </w:r>
    </w:p>
    <w:p w14:paraId="3871D61C"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Показники фінансової стійкості також зазнали серйозного впливу, як свідчать про їхнє погіршення. Коефіцієнт фінансової автономії втратив 18 п.п., знижуючись до 0,54, коефіцієнт фінансової залежності зріс на 0,49 п.п., становлячи 1,87, та коефіцієнт покриття інвестицій знизився з 0,79 до 0,65.</w:t>
      </w:r>
    </w:p>
    <w:p w14:paraId="022FD2EE"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Коефіцієнти рентабельності активів в 2022 році демонструють від'ємні значення, що вказує на невиправдані втрати та непродуктивне використання активів. Зокрема, рентабельність за чистим прибутком становить -61,85%, за EBIT -63,36%, а за EBITDA -55,57%.</w:t>
      </w:r>
    </w:p>
    <w:p w14:paraId="7FBBB75E"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Ділова активність підприємства також уповільнюється, що обумовлено зниженням оборотності власного капіталу на 47%, до 0,84 оборотів, та збільшенням періоду оборотності оборотних активів на 148%, до 309,39 днів.</w:t>
      </w:r>
    </w:p>
    <w:p w14:paraId="5F769938"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Зменшення власного капіталу на 48,3 млрд грн, грошових коштів на 51,1 млрд грн та зростання дебіторської заборгованості на 26,7 млрд грн у 2022 році викликає негативну динаміку складових балансу.</w:t>
      </w:r>
    </w:p>
    <w:p w14:paraId="63E0E4DD" w14:textId="77777777" w:rsidR="003C3A53" w:rsidRPr="00095B60" w:rsidRDefault="003C3A53" w:rsidP="003C3A53">
      <w:pPr>
        <w:spacing w:after="0" w:line="240" w:lineRule="auto"/>
        <w:ind w:firstLine="709"/>
        <w:jc w:val="both"/>
        <w:rPr>
          <w:rFonts w:ascii="Times New Roman" w:eastAsia="Times New Roman" w:hAnsi="Times New Roman" w:cs="Times New Roman"/>
          <w:color w:val="000000" w:themeColor="text1"/>
          <w:sz w:val="28"/>
          <w:lang w:val="uk-UA"/>
        </w:rPr>
      </w:pPr>
      <w:r w:rsidRPr="00095B60">
        <w:rPr>
          <w:rFonts w:ascii="Times New Roman" w:eastAsia="Times New Roman" w:hAnsi="Times New Roman" w:cs="Times New Roman"/>
          <w:color w:val="000000" w:themeColor="text1"/>
          <w:sz w:val="28"/>
          <w:lang w:val="uk-UA"/>
        </w:rPr>
        <w:t>Таким чином, загальна картину фінансового стану ПАТ «АМКР» в 2022 році є критичною та вимагає негайного впровадження комплексу антикризових заходів для уникнення банкрутства та відновлення фінансової стійкості підприємства у найближчій перспективі.</w:t>
      </w:r>
    </w:p>
    <w:p w14:paraId="45B8E53A" w14:textId="77777777" w:rsidR="002D2952" w:rsidRPr="002D2952" w:rsidRDefault="002D2952" w:rsidP="001612A4">
      <w:pPr>
        <w:spacing w:after="0" w:line="240" w:lineRule="auto"/>
        <w:ind w:firstLine="709"/>
        <w:jc w:val="both"/>
        <w:rPr>
          <w:rFonts w:ascii="Times New Roman" w:eastAsia="Times New Roman" w:hAnsi="Times New Roman" w:cs="Times New Roman"/>
          <w:sz w:val="28"/>
          <w:lang w:val="uk-UA"/>
        </w:rPr>
      </w:pPr>
      <w:r w:rsidRPr="002D2952">
        <w:rPr>
          <w:rFonts w:ascii="Times New Roman" w:eastAsia="Times New Roman" w:hAnsi="Times New Roman" w:cs="Times New Roman"/>
          <w:sz w:val="28"/>
          <w:lang w:val="uk-UA"/>
        </w:rPr>
        <w:t>Отже, в результаті ґрунтовного комплексного дослідження та аналізу документації підприємства, що включало фінансову звітність за останні 3 роки, протоколи засідань ради директорів, внутрішню управлінську документацію та операційні регламенти, було узагальнено та систематизовано виявлені причини та рушійні сили, що спричинили стрімке загострення хронічної фінансової кризи та створили катастрофічні передумови для реальних загроз неплатоспроможності і банкрутства ПАТ «АМКР».</w:t>
      </w:r>
    </w:p>
    <w:p w14:paraId="613EADF9"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bookmarkStart w:id="32" w:name="_Hlk153352031"/>
      <w:r w:rsidRPr="00546EB7">
        <w:rPr>
          <w:rFonts w:ascii="Times New Roman" w:eastAsia="Times New Roman" w:hAnsi="Times New Roman" w:cs="Times New Roman"/>
          <w:sz w:val="28"/>
          <w:lang w:val="uk-UA"/>
        </w:rPr>
        <w:t>З метою запобігання банкрутству та відновлення фінансової стабільності ПАТ “АМКР” запропоновано комплекс антикризових заходів за такими напрямками:</w:t>
      </w:r>
    </w:p>
    <w:p w14:paraId="3CA5035F"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1.</w:t>
      </w:r>
      <w:r w:rsidRPr="00546EB7">
        <w:rPr>
          <w:rFonts w:ascii="Segoe UI" w:eastAsia="Times New Roman" w:hAnsi="Segoe UI" w:cs="Segoe UI"/>
          <w:color w:val="1C1917"/>
          <w:sz w:val="27"/>
          <w:szCs w:val="27"/>
          <w:lang w:val="uk-UA" w:eastAsia="uk-UA"/>
        </w:rPr>
        <w:t xml:space="preserve"> </w:t>
      </w:r>
      <w:r w:rsidRPr="00546EB7">
        <w:rPr>
          <w:rFonts w:ascii="Times New Roman" w:eastAsia="Times New Roman" w:hAnsi="Times New Roman" w:cs="Times New Roman"/>
          <w:color w:val="1C1917"/>
          <w:sz w:val="28"/>
          <w:szCs w:val="28"/>
          <w:lang w:val="uk-UA" w:eastAsia="uk-UA"/>
        </w:rPr>
        <w:t>Інвестиції</w:t>
      </w:r>
      <w:r w:rsidRPr="00546EB7">
        <w:rPr>
          <w:rFonts w:ascii="Times New Roman" w:eastAsia="Times New Roman" w:hAnsi="Times New Roman" w:cs="Times New Roman"/>
          <w:sz w:val="28"/>
          <w:lang w:val="uk-UA"/>
        </w:rPr>
        <w:t>. Пропонується укласти кредитну угоду з Європейським банком реконструкції та розвитку (ЄБРР) на суму 100 млн</w:t>
      </w:r>
      <w:r w:rsidR="00401688">
        <w:rPr>
          <w:rFonts w:ascii="Times New Roman" w:eastAsia="Times New Roman" w:hAnsi="Times New Roman" w:cs="Times New Roman"/>
          <w:sz w:val="28"/>
          <w:lang w:val="uk-UA"/>
        </w:rPr>
        <w:t>.</w:t>
      </w:r>
      <w:r w:rsidRPr="00546EB7">
        <w:rPr>
          <w:rFonts w:ascii="Times New Roman" w:eastAsia="Times New Roman" w:hAnsi="Times New Roman" w:cs="Times New Roman"/>
          <w:sz w:val="28"/>
          <w:lang w:val="uk-UA"/>
        </w:rPr>
        <w:t xml:space="preserve"> доларів США строком на 2 роки </w:t>
      </w:r>
      <w:r w:rsidRPr="00546EB7">
        <w:rPr>
          <w:rFonts w:ascii="Times New Roman" w:eastAsia="Times New Roman" w:hAnsi="Times New Roman" w:cs="Times New Roman"/>
          <w:sz w:val="28"/>
          <w:lang w:val="uk-UA"/>
        </w:rPr>
        <w:lastRenderedPageBreak/>
        <w:t>з річною відсотковою ставкою 2,9% для підтримання ліквідності та поповнення обігових коштів підприємства ПАТ "АрселорМіттал Кривий Ріг".</w:t>
      </w:r>
    </w:p>
    <w:p w14:paraId="217F2C27"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 xml:space="preserve">Кошти планується спрямувати на оновлення основних фондів шляхом </w:t>
      </w:r>
      <w:r w:rsidR="00CC2CEF">
        <w:rPr>
          <w:rFonts w:ascii="Times New Roman" w:eastAsia="Times New Roman" w:hAnsi="Times New Roman" w:cs="Times New Roman"/>
          <w:sz w:val="28"/>
          <w:lang w:val="uk-UA"/>
        </w:rPr>
        <w:t>модернізації</w:t>
      </w:r>
      <w:r w:rsidRPr="002271D0">
        <w:rPr>
          <w:rFonts w:ascii="Times New Roman" w:eastAsia="Times New Roman" w:hAnsi="Times New Roman" w:cs="Times New Roman"/>
          <w:sz w:val="28"/>
          <w:lang w:val="uk-UA"/>
        </w:rPr>
        <w:t xml:space="preserve"> устаткування, що дозволить підвищити ефективність виробництва та знизити витрати. Також частину коштів буде використано для поповнення обігового капіталу та вирішення поточних фінансових проблем компанії, пов'язаних із економічною кризою внаслідок війни.</w:t>
      </w:r>
    </w:p>
    <w:p w14:paraId="26CDA970" w14:textId="77777777" w:rsidR="00FA742F" w:rsidRPr="002271D0"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Для ефективного вирішення цієї проблеми визначено послідовність заходів, розроблену на основі глибокого аналізу та практичної наукової експертизи:</w:t>
      </w:r>
    </w:p>
    <w:p w14:paraId="3AE9FC4A" w14:textId="77777777" w:rsidR="00FA742F" w:rsidRPr="002271D0" w:rsidRDefault="00FA742F" w:rsidP="00FA742F">
      <w:pPr>
        <w:numPr>
          <w:ilvl w:val="0"/>
          <w:numId w:val="6"/>
        </w:numPr>
        <w:spacing w:after="0" w:line="240" w:lineRule="auto"/>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Підготовка необхідних документів для отримання кредиту: фінансова звітність компанії за останні 2-3 роки, бізнес-план оновлення виробництва, техніко-економічне обґрунтування інвестицій у нове обладнання.</w:t>
      </w:r>
    </w:p>
    <w:p w14:paraId="3D806B1D" w14:textId="77777777" w:rsidR="00FA742F" w:rsidRPr="002271D0" w:rsidRDefault="00FA742F" w:rsidP="00FA742F">
      <w:pPr>
        <w:numPr>
          <w:ilvl w:val="0"/>
          <w:numId w:val="6"/>
        </w:numPr>
        <w:spacing w:after="0" w:line="240" w:lineRule="auto"/>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Подання кредитної заявки до ЄБРР з усіма необхідними документами.</w:t>
      </w:r>
    </w:p>
    <w:p w14:paraId="029A1546" w14:textId="77777777" w:rsidR="00FA742F" w:rsidRPr="002271D0" w:rsidRDefault="00FA742F" w:rsidP="00FA742F">
      <w:pPr>
        <w:numPr>
          <w:ilvl w:val="0"/>
          <w:numId w:val="6"/>
        </w:numPr>
        <w:spacing w:after="0" w:line="240" w:lineRule="auto"/>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Аналіз заявки кредитним комітетом ЄБРР. Погодження основних умов кредитування.</w:t>
      </w:r>
    </w:p>
    <w:p w14:paraId="6C2EDAD2" w14:textId="77777777" w:rsidR="00FA742F" w:rsidRPr="002271D0" w:rsidRDefault="00FA742F" w:rsidP="00FA742F">
      <w:pPr>
        <w:numPr>
          <w:ilvl w:val="0"/>
          <w:numId w:val="6"/>
        </w:numPr>
        <w:spacing w:after="0" w:line="240" w:lineRule="auto"/>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Підписання кредитного договору. Отримання траншів кредитних коштів.</w:t>
      </w:r>
    </w:p>
    <w:p w14:paraId="5C8D9390" w14:textId="77777777" w:rsidR="00FA742F" w:rsidRPr="002271D0" w:rsidRDefault="00FA742F" w:rsidP="00FA742F">
      <w:pPr>
        <w:numPr>
          <w:ilvl w:val="0"/>
          <w:numId w:val="6"/>
        </w:numPr>
        <w:spacing w:after="0" w:line="240" w:lineRule="auto"/>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Реалізація інвестиційного проекту оновлення обладнання, поповнення обігових коштів.</w:t>
      </w:r>
    </w:p>
    <w:p w14:paraId="3E62F406" w14:textId="77777777" w:rsidR="00FA742F" w:rsidRPr="002271D0" w:rsidRDefault="00FA742F" w:rsidP="00FA742F">
      <w:pPr>
        <w:numPr>
          <w:ilvl w:val="0"/>
          <w:numId w:val="6"/>
        </w:numPr>
        <w:spacing w:after="0" w:line="240" w:lineRule="auto"/>
        <w:jc w:val="both"/>
        <w:rPr>
          <w:rFonts w:ascii="Times New Roman" w:eastAsia="Times New Roman" w:hAnsi="Times New Roman" w:cs="Times New Roman"/>
          <w:sz w:val="28"/>
          <w:lang w:val="uk-UA"/>
        </w:rPr>
      </w:pPr>
      <w:r w:rsidRPr="002271D0">
        <w:rPr>
          <w:rFonts w:ascii="Times New Roman" w:eastAsia="Times New Roman" w:hAnsi="Times New Roman" w:cs="Times New Roman"/>
          <w:sz w:val="28"/>
          <w:lang w:val="uk-UA"/>
        </w:rPr>
        <w:t>Своєчасне обслуговування та погашення кредиту (Додаток В).</w:t>
      </w:r>
    </w:p>
    <w:p w14:paraId="7538558E"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 xml:space="preserve">Економічний ефект: </w:t>
      </w:r>
      <w:r w:rsidR="00EC436D">
        <w:rPr>
          <w:rFonts w:ascii="Times New Roman" w:eastAsia="Times New Roman" w:hAnsi="Times New Roman" w:cs="Times New Roman"/>
          <w:sz w:val="28"/>
          <w:lang w:val="uk-UA"/>
        </w:rPr>
        <w:t xml:space="preserve">збільшення коефіцієнту </w:t>
      </w:r>
      <w:r w:rsidRPr="00546EB7">
        <w:rPr>
          <w:rFonts w:ascii="Times New Roman" w:eastAsia="Times New Roman" w:hAnsi="Times New Roman" w:cs="Times New Roman"/>
          <w:sz w:val="28"/>
          <w:lang w:val="uk-UA"/>
        </w:rPr>
        <w:t>ліквідн</w:t>
      </w:r>
      <w:r w:rsidR="00EC436D">
        <w:rPr>
          <w:rFonts w:ascii="Times New Roman" w:eastAsia="Times New Roman" w:hAnsi="Times New Roman" w:cs="Times New Roman"/>
          <w:sz w:val="28"/>
          <w:lang w:val="uk-UA"/>
        </w:rPr>
        <w:t>ості</w:t>
      </w:r>
      <w:r w:rsidRPr="00546EB7">
        <w:rPr>
          <w:rFonts w:ascii="Times New Roman" w:eastAsia="Times New Roman" w:hAnsi="Times New Roman" w:cs="Times New Roman"/>
          <w:sz w:val="28"/>
          <w:lang w:val="uk-UA"/>
        </w:rPr>
        <w:t xml:space="preserve"> підприємства</w:t>
      </w:r>
      <w:r w:rsidR="00EC436D">
        <w:rPr>
          <w:rFonts w:ascii="Times New Roman" w:eastAsia="Times New Roman" w:hAnsi="Times New Roman" w:cs="Times New Roman"/>
          <w:sz w:val="28"/>
          <w:lang w:val="uk-UA"/>
        </w:rPr>
        <w:t xml:space="preserve"> на 18</w:t>
      </w:r>
      <w:r w:rsidRPr="00546EB7">
        <w:rPr>
          <w:rFonts w:ascii="Times New Roman" w:eastAsia="Times New Roman" w:hAnsi="Times New Roman" w:cs="Times New Roman"/>
          <w:sz w:val="28"/>
          <w:lang w:val="uk-UA"/>
        </w:rPr>
        <w:t>,</w:t>
      </w:r>
      <w:r w:rsidR="00EC436D">
        <w:rPr>
          <w:rFonts w:ascii="Times New Roman" w:eastAsia="Times New Roman" w:hAnsi="Times New Roman" w:cs="Times New Roman"/>
          <w:sz w:val="28"/>
          <w:lang w:val="uk-UA"/>
        </w:rPr>
        <w:t>6%</w:t>
      </w:r>
      <w:r w:rsidR="00287C83">
        <w:rPr>
          <w:rFonts w:ascii="Times New Roman" w:eastAsia="Times New Roman" w:hAnsi="Times New Roman" w:cs="Times New Roman"/>
          <w:sz w:val="28"/>
          <w:lang w:val="uk-UA"/>
        </w:rPr>
        <w:t xml:space="preserve"> (до 1,15)</w:t>
      </w:r>
      <w:r w:rsidRPr="00546EB7">
        <w:rPr>
          <w:rFonts w:ascii="Times New Roman" w:eastAsia="Times New Roman" w:hAnsi="Times New Roman" w:cs="Times New Roman"/>
          <w:sz w:val="28"/>
          <w:lang w:val="uk-UA"/>
        </w:rPr>
        <w:t xml:space="preserve"> </w:t>
      </w:r>
      <w:r w:rsidR="00CC2CEF">
        <w:rPr>
          <w:rFonts w:ascii="Times New Roman" w:eastAsia="Times New Roman" w:hAnsi="Times New Roman" w:cs="Times New Roman"/>
          <w:sz w:val="28"/>
          <w:lang w:val="uk-UA"/>
        </w:rPr>
        <w:t>за рахунок збільшення обігового капіталу на 12,5%</w:t>
      </w:r>
      <w:r w:rsidR="00287C83">
        <w:rPr>
          <w:rFonts w:ascii="Times New Roman" w:eastAsia="Times New Roman" w:hAnsi="Times New Roman" w:cs="Times New Roman"/>
          <w:sz w:val="28"/>
          <w:lang w:val="uk-UA"/>
        </w:rPr>
        <w:t xml:space="preserve"> (до </w:t>
      </w:r>
      <w:r w:rsidR="00C37FCF">
        <w:rPr>
          <w:rFonts w:ascii="Times New Roman" w:eastAsia="Times New Roman" w:hAnsi="Times New Roman" w:cs="Times New Roman"/>
          <w:sz w:val="28"/>
          <w:lang w:val="uk-UA"/>
        </w:rPr>
        <w:t>33 млрд. грн.)</w:t>
      </w:r>
      <w:r w:rsidR="002A2C4D">
        <w:rPr>
          <w:rFonts w:ascii="Times New Roman" w:eastAsia="Times New Roman" w:hAnsi="Times New Roman" w:cs="Times New Roman"/>
          <w:sz w:val="28"/>
          <w:lang w:val="uk-UA"/>
        </w:rPr>
        <w:t>. Таким чином буде</w:t>
      </w:r>
      <w:r w:rsidR="00CC2CEF">
        <w:rPr>
          <w:rFonts w:ascii="Times New Roman" w:eastAsia="Times New Roman" w:hAnsi="Times New Roman" w:cs="Times New Roman"/>
          <w:sz w:val="28"/>
          <w:lang w:val="uk-UA"/>
        </w:rPr>
        <w:t xml:space="preserve"> </w:t>
      </w:r>
      <w:r w:rsidRPr="00546EB7">
        <w:rPr>
          <w:rFonts w:ascii="Times New Roman" w:eastAsia="Times New Roman" w:hAnsi="Times New Roman" w:cs="Times New Roman"/>
          <w:sz w:val="28"/>
          <w:lang w:val="uk-UA"/>
        </w:rPr>
        <w:t>реаліз</w:t>
      </w:r>
      <w:r w:rsidR="002A2C4D">
        <w:rPr>
          <w:rFonts w:ascii="Times New Roman" w:eastAsia="Times New Roman" w:hAnsi="Times New Roman" w:cs="Times New Roman"/>
          <w:sz w:val="28"/>
          <w:lang w:val="uk-UA"/>
        </w:rPr>
        <w:t>ований</w:t>
      </w:r>
      <w:r w:rsidRPr="00546EB7">
        <w:rPr>
          <w:rFonts w:ascii="Times New Roman" w:eastAsia="Times New Roman" w:hAnsi="Times New Roman" w:cs="Times New Roman"/>
          <w:sz w:val="28"/>
          <w:lang w:val="uk-UA"/>
        </w:rPr>
        <w:t xml:space="preserve"> інвестиційн</w:t>
      </w:r>
      <w:r w:rsidR="002A2C4D">
        <w:rPr>
          <w:rFonts w:ascii="Times New Roman" w:eastAsia="Times New Roman" w:hAnsi="Times New Roman" w:cs="Times New Roman"/>
          <w:sz w:val="28"/>
          <w:lang w:val="uk-UA"/>
        </w:rPr>
        <w:t>ий</w:t>
      </w:r>
      <w:r w:rsidRPr="00546EB7">
        <w:rPr>
          <w:rFonts w:ascii="Times New Roman" w:eastAsia="Times New Roman" w:hAnsi="Times New Roman" w:cs="Times New Roman"/>
          <w:sz w:val="28"/>
          <w:lang w:val="uk-UA"/>
        </w:rPr>
        <w:t xml:space="preserve"> проект та покраще</w:t>
      </w:r>
      <w:r w:rsidR="002A2C4D">
        <w:rPr>
          <w:rFonts w:ascii="Times New Roman" w:eastAsia="Times New Roman" w:hAnsi="Times New Roman" w:cs="Times New Roman"/>
          <w:sz w:val="28"/>
          <w:lang w:val="uk-UA"/>
        </w:rPr>
        <w:t>но</w:t>
      </w:r>
      <w:r w:rsidRPr="00546EB7">
        <w:rPr>
          <w:rFonts w:ascii="Times New Roman" w:eastAsia="Times New Roman" w:hAnsi="Times New Roman" w:cs="Times New Roman"/>
          <w:sz w:val="28"/>
          <w:lang w:val="uk-UA"/>
        </w:rPr>
        <w:t xml:space="preserve"> фінансов</w:t>
      </w:r>
      <w:r w:rsidR="0009476C">
        <w:rPr>
          <w:rFonts w:ascii="Times New Roman" w:eastAsia="Times New Roman" w:hAnsi="Times New Roman" w:cs="Times New Roman"/>
          <w:sz w:val="28"/>
          <w:lang w:val="uk-UA"/>
        </w:rPr>
        <w:t>ий</w:t>
      </w:r>
      <w:r w:rsidRPr="00546EB7">
        <w:rPr>
          <w:rFonts w:ascii="Times New Roman" w:eastAsia="Times New Roman" w:hAnsi="Times New Roman" w:cs="Times New Roman"/>
          <w:sz w:val="28"/>
          <w:lang w:val="uk-UA"/>
        </w:rPr>
        <w:t xml:space="preserve"> стану</w:t>
      </w:r>
      <w:r w:rsidR="0009476C">
        <w:rPr>
          <w:rFonts w:ascii="Times New Roman" w:eastAsia="Times New Roman" w:hAnsi="Times New Roman" w:cs="Times New Roman"/>
          <w:sz w:val="28"/>
          <w:lang w:val="uk-UA"/>
        </w:rPr>
        <w:t xml:space="preserve"> компанії</w:t>
      </w:r>
      <w:r w:rsidRPr="00546EB7">
        <w:rPr>
          <w:rFonts w:ascii="Times New Roman" w:eastAsia="Times New Roman" w:hAnsi="Times New Roman" w:cs="Times New Roman"/>
          <w:sz w:val="28"/>
          <w:lang w:val="uk-UA"/>
        </w:rPr>
        <w:t xml:space="preserve"> в цілому</w:t>
      </w:r>
      <w:r w:rsidR="008F34AC">
        <w:rPr>
          <w:rFonts w:ascii="Times New Roman" w:eastAsia="Times New Roman" w:hAnsi="Times New Roman" w:cs="Times New Roman"/>
          <w:sz w:val="28"/>
          <w:lang w:val="uk-UA"/>
        </w:rPr>
        <w:t xml:space="preserve"> (додаток Д).</w:t>
      </w:r>
    </w:p>
    <w:p w14:paraId="0D371E74"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Організаційний ефект: впровадження нових технологій, оптимізація бізнес-процесів, підвищення конкурентоспроможності.</w:t>
      </w:r>
    </w:p>
    <w:p w14:paraId="1697F0FB"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Соціальний ефект: збереження та створення робочих місць, покращення умов праці, розвиток регіону.</w:t>
      </w:r>
    </w:p>
    <w:p w14:paraId="5E04806F"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Організаційний механізм: створення робочої групи, розробка та затвердження плану, контроль з боку директорів, інформування колективу.</w:t>
      </w:r>
    </w:p>
    <w:p w14:paraId="6DC00574" w14:textId="77777777" w:rsidR="00FA742F" w:rsidRPr="00AC3069" w:rsidRDefault="00FA742F" w:rsidP="00FA742F">
      <w:pPr>
        <w:spacing w:after="0" w:line="240" w:lineRule="auto"/>
        <w:ind w:firstLine="709"/>
        <w:jc w:val="both"/>
        <w:rPr>
          <w:rFonts w:ascii="Times New Roman" w:hAnsi="Times New Roman" w:cs="Times New Roman"/>
          <w:sz w:val="28"/>
          <w:szCs w:val="28"/>
          <w:lang w:val="uk-UA"/>
        </w:rPr>
      </w:pPr>
      <w:r w:rsidRPr="00546EB7">
        <w:rPr>
          <w:rFonts w:ascii="Times New Roman" w:eastAsia="Times New Roman" w:hAnsi="Times New Roman" w:cs="Times New Roman"/>
          <w:sz w:val="28"/>
          <w:szCs w:val="28"/>
          <w:lang w:val="uk-UA"/>
        </w:rPr>
        <w:t>2.</w:t>
      </w:r>
      <w:r w:rsidRPr="00546EB7">
        <w:rPr>
          <w:sz w:val="28"/>
          <w:szCs w:val="28"/>
          <w:lang w:val="uk-UA"/>
        </w:rPr>
        <w:t xml:space="preserve"> </w:t>
      </w:r>
      <w:r w:rsidRPr="00546EB7">
        <w:rPr>
          <w:rFonts w:ascii="Times New Roman" w:hAnsi="Times New Roman" w:cs="Times New Roman"/>
          <w:sz w:val="28"/>
          <w:szCs w:val="28"/>
          <w:lang w:val="uk-UA"/>
        </w:rPr>
        <w:t>Енергоефективність.</w:t>
      </w:r>
      <w:r w:rsidRPr="00546EB7">
        <w:rPr>
          <w:rFonts w:ascii="Times New Roman" w:eastAsia="Times New Roman" w:hAnsi="Times New Roman" w:cs="Times New Roman"/>
          <w:sz w:val="28"/>
          <w:szCs w:val="28"/>
          <w:lang w:val="uk-UA"/>
        </w:rPr>
        <w:t xml:space="preserve"> </w:t>
      </w:r>
      <w:r w:rsidR="00AC3069" w:rsidRPr="00AC3069">
        <w:rPr>
          <w:rFonts w:ascii="Times New Roman" w:eastAsia="Times New Roman" w:hAnsi="Times New Roman" w:cs="Times New Roman"/>
          <w:sz w:val="28"/>
          <w:szCs w:val="28"/>
          <w:lang w:val="uk-UA"/>
        </w:rPr>
        <w:t>З метою забезпечення стабільності функціонування підприємства та оптимізації витрат у ситуаціях негативного впливу чинників або перебоїв у постачанні електроенергії із зовнішніми постачальниками, розроблено комплекс заходів, спрямованих на забезпечення ефективної та надійної енергетичної інфраструктури підприємства.</w:t>
      </w:r>
    </w:p>
    <w:p w14:paraId="7A9E18E4" w14:textId="77777777" w:rsidR="00FA742F" w:rsidRPr="00546EB7" w:rsidRDefault="00FA742F" w:rsidP="00FA742F">
      <w:pPr>
        <w:spacing w:after="0" w:line="240" w:lineRule="auto"/>
        <w:ind w:firstLine="709"/>
        <w:jc w:val="both"/>
        <w:rPr>
          <w:rFonts w:ascii="Times New Roman" w:hAnsi="Times New Roman" w:cs="Times New Roman"/>
          <w:sz w:val="28"/>
          <w:szCs w:val="28"/>
          <w:lang w:val="uk-UA"/>
        </w:rPr>
      </w:pPr>
      <w:r w:rsidRPr="00546EB7">
        <w:rPr>
          <w:rFonts w:ascii="Times New Roman" w:eastAsia="Times New Roman" w:hAnsi="Times New Roman" w:cs="Times New Roman"/>
          <w:sz w:val="28"/>
          <w:lang w:val="uk-UA"/>
        </w:rPr>
        <w:t>Для ефективного вирішення цієї проблеми визначено послідовність заходів, розроблену на основі глибокого аналізу та практичної наукової експертизи:</w:t>
      </w:r>
    </w:p>
    <w:p w14:paraId="1E2DD672"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Герметизація агломашин для зменшення витрат електроенергії на роботу ексгаустерів. Це дозволить скоротити споживання електроенергії до 70%.</w:t>
      </w:r>
    </w:p>
    <w:p w14:paraId="5F889161"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Використання вторинних енергоресурсів (доменного газу, коксодоменної суміші) замість дорогого природного газу для розпалювання аглошихти. Це зменшить витрати палива в 2 рази.</w:t>
      </w:r>
    </w:p>
    <w:p w14:paraId="153E1866"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Оптимізація фракційного складу аглопалива для зменшення витрат на розпалювання шихти.</w:t>
      </w:r>
    </w:p>
    <w:p w14:paraId="0A3AB296"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Впровадження системи утилізації тепла відхідних газів в агловиробництві.</w:t>
      </w:r>
    </w:p>
    <w:p w14:paraId="08E1DA72"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lastRenderedPageBreak/>
        <w:t>Утеплення чавунних жолобів на ливарному дворі для зменшення теплових втрат чавуну.</w:t>
      </w:r>
    </w:p>
    <w:p w14:paraId="5B85F27F"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Використання енергії гарячих шлаків для випалу вапняку.</w:t>
      </w:r>
    </w:p>
    <w:p w14:paraId="3CB4DCFC" w14:textId="77777777" w:rsidR="00FA742F" w:rsidRPr="00546EB7" w:rsidRDefault="00FA742F" w:rsidP="00FA742F">
      <w:pPr>
        <w:pStyle w:val="a3"/>
        <w:numPr>
          <w:ilvl w:val="0"/>
          <w:numId w:val="7"/>
        </w:numPr>
        <w:spacing w:after="0" w:line="240" w:lineRule="auto"/>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Застосування методів інтенсифікації доменного процесу: збагачення дуття киснем, оптимізація шихтових матеріалів, стабілізація технологічного режиму тощо.</w:t>
      </w:r>
    </w:p>
    <w:p w14:paraId="018E8A24" w14:textId="77777777" w:rsidR="00FA742F" w:rsidRPr="00546EB7" w:rsidRDefault="00FA742F" w:rsidP="00FA742F">
      <w:pPr>
        <w:spacing w:after="0" w:line="240" w:lineRule="auto"/>
        <w:ind w:firstLine="709"/>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Економічний ефект від впровадження цих заходів може скласти зменшення витрат ПАТ</w:t>
      </w:r>
      <w:r w:rsidR="00FB2569">
        <w:rPr>
          <w:rFonts w:ascii="Times New Roman" w:hAnsi="Times New Roman" w:cs="Times New Roman"/>
          <w:sz w:val="28"/>
          <w:szCs w:val="28"/>
          <w:lang w:val="uk-UA"/>
        </w:rPr>
        <w:t xml:space="preserve"> </w:t>
      </w:r>
      <w:r w:rsidRPr="00546EB7">
        <w:rPr>
          <w:rFonts w:ascii="Times New Roman" w:hAnsi="Times New Roman" w:cs="Times New Roman"/>
          <w:sz w:val="28"/>
          <w:szCs w:val="28"/>
          <w:lang w:val="uk-UA"/>
        </w:rPr>
        <w:t xml:space="preserve"> на енергоресурси</w:t>
      </w:r>
      <w:r w:rsidR="00FB2569">
        <w:rPr>
          <w:rFonts w:ascii="Times New Roman" w:hAnsi="Times New Roman" w:cs="Times New Roman"/>
          <w:sz w:val="28"/>
          <w:szCs w:val="28"/>
          <w:lang w:val="uk-UA"/>
        </w:rPr>
        <w:t xml:space="preserve"> які складають – </w:t>
      </w:r>
      <w:r w:rsidR="00F9513C">
        <w:rPr>
          <w:rFonts w:ascii="Times New Roman" w:hAnsi="Times New Roman" w:cs="Times New Roman"/>
          <w:sz w:val="28"/>
          <w:szCs w:val="28"/>
          <w:lang w:val="uk-UA"/>
        </w:rPr>
        <w:t>25</w:t>
      </w:r>
      <w:r w:rsidR="00AF2A3F">
        <w:rPr>
          <w:rFonts w:ascii="Times New Roman" w:hAnsi="Times New Roman" w:cs="Times New Roman"/>
          <w:sz w:val="28"/>
          <w:szCs w:val="28"/>
          <w:lang w:val="uk-UA"/>
        </w:rPr>
        <w:t>,</w:t>
      </w:r>
      <w:r w:rsidR="00E9145B">
        <w:rPr>
          <w:rFonts w:ascii="Times New Roman" w:hAnsi="Times New Roman" w:cs="Times New Roman"/>
          <w:sz w:val="28"/>
          <w:szCs w:val="28"/>
          <w:lang w:val="uk-UA"/>
        </w:rPr>
        <w:t>8</w:t>
      </w:r>
      <w:r w:rsidR="00AF2A3F">
        <w:rPr>
          <w:rFonts w:ascii="Times New Roman" w:hAnsi="Times New Roman" w:cs="Times New Roman"/>
          <w:sz w:val="28"/>
          <w:szCs w:val="28"/>
          <w:lang w:val="uk-UA"/>
        </w:rPr>
        <w:t xml:space="preserve"> млрд. грн. за 2022 р.</w:t>
      </w:r>
      <w:r w:rsidR="00FB2569">
        <w:rPr>
          <w:rFonts w:ascii="Times New Roman" w:hAnsi="Times New Roman" w:cs="Times New Roman"/>
          <w:sz w:val="28"/>
          <w:szCs w:val="28"/>
          <w:lang w:val="uk-UA"/>
        </w:rPr>
        <w:t xml:space="preserve"> </w:t>
      </w:r>
      <w:r w:rsidRPr="00546EB7">
        <w:rPr>
          <w:rFonts w:ascii="Times New Roman" w:hAnsi="Times New Roman" w:cs="Times New Roman"/>
          <w:sz w:val="28"/>
          <w:szCs w:val="28"/>
          <w:lang w:val="uk-UA"/>
        </w:rPr>
        <w:t xml:space="preserve"> на </w:t>
      </w:r>
      <w:r w:rsidR="00EC4422">
        <w:rPr>
          <w:rFonts w:ascii="Times New Roman" w:hAnsi="Times New Roman" w:cs="Times New Roman"/>
          <w:sz w:val="28"/>
          <w:szCs w:val="28"/>
          <w:lang w:val="uk-UA"/>
        </w:rPr>
        <w:t>4</w:t>
      </w:r>
      <w:r w:rsidRPr="00546EB7">
        <w:rPr>
          <w:rFonts w:ascii="Times New Roman" w:hAnsi="Times New Roman" w:cs="Times New Roman"/>
          <w:sz w:val="28"/>
          <w:szCs w:val="28"/>
          <w:lang w:val="uk-UA"/>
        </w:rPr>
        <w:t>0%</w:t>
      </w:r>
      <w:r w:rsidR="00AD09FE">
        <w:rPr>
          <w:rFonts w:ascii="Times New Roman" w:hAnsi="Times New Roman" w:cs="Times New Roman"/>
          <w:sz w:val="28"/>
          <w:szCs w:val="28"/>
          <w:lang w:val="uk-UA"/>
        </w:rPr>
        <w:t xml:space="preserve"> що складає – </w:t>
      </w:r>
      <w:r w:rsidR="00CD3338">
        <w:rPr>
          <w:rFonts w:ascii="Times New Roman" w:hAnsi="Times New Roman" w:cs="Times New Roman"/>
          <w:sz w:val="28"/>
          <w:szCs w:val="28"/>
          <w:lang w:val="uk-UA"/>
        </w:rPr>
        <w:t>10,3</w:t>
      </w:r>
      <w:r w:rsidR="00AD09FE">
        <w:rPr>
          <w:rFonts w:ascii="Times New Roman" w:hAnsi="Times New Roman" w:cs="Times New Roman"/>
          <w:sz w:val="28"/>
          <w:szCs w:val="28"/>
          <w:lang w:val="uk-UA"/>
        </w:rPr>
        <w:t xml:space="preserve"> млрд. грн.</w:t>
      </w:r>
      <w:r w:rsidR="002E72F8">
        <w:rPr>
          <w:rFonts w:ascii="Times New Roman" w:hAnsi="Times New Roman" w:cs="Times New Roman"/>
          <w:sz w:val="28"/>
          <w:szCs w:val="28"/>
          <w:lang w:val="uk-UA"/>
        </w:rPr>
        <w:t xml:space="preserve"> економії</w:t>
      </w:r>
      <w:r w:rsidR="008F34AC">
        <w:rPr>
          <w:rFonts w:ascii="Times New Roman" w:hAnsi="Times New Roman" w:cs="Times New Roman"/>
          <w:sz w:val="28"/>
          <w:szCs w:val="28"/>
          <w:lang w:val="uk-UA"/>
        </w:rPr>
        <w:t xml:space="preserve"> </w:t>
      </w:r>
      <w:r w:rsidR="008F34AC">
        <w:rPr>
          <w:rFonts w:ascii="Times New Roman" w:eastAsia="Times New Roman" w:hAnsi="Times New Roman" w:cs="Times New Roman"/>
          <w:sz w:val="28"/>
          <w:lang w:val="uk-UA"/>
        </w:rPr>
        <w:t>(додаток Д).</w:t>
      </w:r>
    </w:p>
    <w:p w14:paraId="54562B58" w14:textId="77777777" w:rsidR="00FA742F" w:rsidRPr="00546EB7" w:rsidRDefault="00FA742F" w:rsidP="00FA742F">
      <w:pPr>
        <w:spacing w:after="0" w:line="240" w:lineRule="auto"/>
        <w:ind w:firstLine="709"/>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Організаційний механізм впровадження: розробка ТЕО проектів, виділення фінансування з бюджету ПАТ, здійснення необхідних інженерних робіт та монтаж обладнання, контроль реалізації.</w:t>
      </w:r>
    </w:p>
    <w:p w14:paraId="08C9A584" w14:textId="77777777" w:rsidR="00FA742F" w:rsidRPr="00546EB7" w:rsidRDefault="00FA742F" w:rsidP="00FA742F">
      <w:pPr>
        <w:spacing w:after="0" w:line="240" w:lineRule="auto"/>
        <w:ind w:firstLine="709"/>
        <w:jc w:val="both"/>
        <w:rPr>
          <w:rFonts w:ascii="Times New Roman" w:hAnsi="Times New Roman" w:cs="Times New Roman"/>
          <w:sz w:val="28"/>
          <w:szCs w:val="28"/>
          <w:lang w:val="uk-UA"/>
        </w:rPr>
      </w:pPr>
      <w:r w:rsidRPr="00546EB7">
        <w:rPr>
          <w:rFonts w:ascii="Times New Roman" w:hAnsi="Times New Roman" w:cs="Times New Roman"/>
          <w:sz w:val="28"/>
          <w:szCs w:val="28"/>
          <w:lang w:val="uk-UA"/>
        </w:rPr>
        <w:t>Соціальний ефект: підвищення рентабельності та конкурентоспроможності підприємства, стабільна виплата заробітної плати працівникам, сплата податків до бюджету, поліпшення екологічної ситуації в регіоні.</w:t>
      </w:r>
    </w:p>
    <w:p w14:paraId="3ADF7007" w14:textId="77777777" w:rsidR="00FA742F" w:rsidRPr="00546EB7" w:rsidRDefault="00FA742F" w:rsidP="00FA742F">
      <w:pPr>
        <w:spacing w:after="0" w:line="240" w:lineRule="auto"/>
        <w:ind w:firstLine="709"/>
        <w:jc w:val="both"/>
        <w:rPr>
          <w:rFonts w:ascii="Times New Roman" w:eastAsia="Times New Roman" w:hAnsi="Times New Roman" w:cs="Times New Roman"/>
          <w:sz w:val="28"/>
          <w:szCs w:val="28"/>
          <w:lang w:val="uk-UA"/>
        </w:rPr>
      </w:pPr>
      <w:r w:rsidRPr="00546EB7">
        <w:rPr>
          <w:rFonts w:ascii="Times New Roman" w:hAnsi="Times New Roman" w:cs="Times New Roman"/>
          <w:sz w:val="28"/>
          <w:szCs w:val="28"/>
          <w:lang w:val="uk-UA"/>
        </w:rPr>
        <w:t>Отже, запропоновані заходи з енергозбереження матимуть позитивний вплив на фінансово-господарську діяльність ПАТ АрселорМіттал Кривий Ріг, а також суттєвий економічний, організаційний та соціальний ефект.</w:t>
      </w:r>
    </w:p>
    <w:p w14:paraId="28D9836D" w14:textId="77777777" w:rsidR="00FA742F" w:rsidRPr="0015615F" w:rsidRDefault="00FA742F" w:rsidP="00FA742F">
      <w:pPr>
        <w:spacing w:after="0" w:line="240" w:lineRule="auto"/>
        <w:ind w:firstLine="709"/>
        <w:jc w:val="both"/>
        <w:rPr>
          <w:rFonts w:ascii="Times New Roman" w:eastAsia="Times New Roman" w:hAnsi="Times New Roman" w:cs="Times New Roman"/>
          <w:sz w:val="28"/>
          <w:szCs w:val="28"/>
        </w:rPr>
      </w:pPr>
      <w:r w:rsidRPr="00546EB7">
        <w:rPr>
          <w:rFonts w:ascii="Times New Roman" w:eastAsia="Times New Roman" w:hAnsi="Times New Roman" w:cs="Times New Roman"/>
          <w:sz w:val="28"/>
          <w:szCs w:val="28"/>
          <w:lang w:val="uk-UA"/>
        </w:rPr>
        <w:t>3.Логістика. Для покращення логістичної маневреності та збуту товару пропонується запровадити представленні заходи:</w:t>
      </w:r>
    </w:p>
    <w:p w14:paraId="3B93BFFE" w14:textId="77777777" w:rsidR="00FA742F" w:rsidRPr="00546EB7" w:rsidRDefault="00FA742F" w:rsidP="00FA742F">
      <w:pPr>
        <w:spacing w:after="0" w:line="240" w:lineRule="auto"/>
        <w:ind w:firstLine="709"/>
        <w:jc w:val="both"/>
        <w:rPr>
          <w:rFonts w:ascii="Times New Roman" w:hAnsi="Times New Roman" w:cs="Times New Roman"/>
          <w:sz w:val="28"/>
          <w:szCs w:val="28"/>
          <w:shd w:val="clear" w:color="auto" w:fill="FFFFFF"/>
          <w:lang w:val="uk-UA"/>
        </w:rPr>
      </w:pPr>
      <w:r w:rsidRPr="00546EB7">
        <w:rPr>
          <w:rFonts w:ascii="Times New Roman" w:eastAsia="Times New Roman" w:hAnsi="Times New Roman" w:cs="Times New Roman"/>
          <w:sz w:val="28"/>
          <w:szCs w:val="28"/>
          <w:lang w:val="uk-UA"/>
        </w:rPr>
        <w:t xml:space="preserve">- Створення на кордоні з Польшею так званих «прикордоних портів» для збільшення об’ємів експортної продукції, а точніше для зберігання та подальшого експорту продукції до країн Європи та  Африки. </w:t>
      </w:r>
      <w:r w:rsidRPr="00546EB7">
        <w:rPr>
          <w:rFonts w:ascii="Times New Roman" w:hAnsi="Times New Roman" w:cs="Times New Roman"/>
          <w:sz w:val="28"/>
          <w:szCs w:val="28"/>
          <w:shd w:val="clear" w:color="auto" w:fill="FFFFFF"/>
          <w:lang w:val="uk-UA"/>
        </w:rPr>
        <w:t>На    ринку    Африки    корпорація АрселорМіттал займає майже 50% обсягів загальносвітового збуту, ПАТ «АрселорМiттал  Кривий  Рiг»  припадає лише  10%.  Майже  15%  металопродукції корпорації  виробляється  безпосередньо  в Африці.</w:t>
      </w:r>
    </w:p>
    <w:p w14:paraId="2E39537C" w14:textId="77777777" w:rsidR="00FA742F" w:rsidRPr="00546EB7" w:rsidRDefault="00FA742F" w:rsidP="00FA742F">
      <w:pPr>
        <w:spacing w:after="0" w:line="240" w:lineRule="auto"/>
        <w:ind w:firstLine="709"/>
        <w:jc w:val="both"/>
        <w:rPr>
          <w:rFonts w:ascii="Times New Roman" w:hAnsi="Times New Roman" w:cs="Times New Roman"/>
          <w:sz w:val="28"/>
          <w:szCs w:val="28"/>
          <w:shd w:val="clear" w:color="auto" w:fill="FFFFFF"/>
          <w:lang w:val="uk-UA"/>
        </w:rPr>
      </w:pPr>
      <w:r w:rsidRPr="00546EB7">
        <w:rPr>
          <w:rFonts w:ascii="Times New Roman" w:eastAsia="Times New Roman" w:hAnsi="Times New Roman" w:cs="Times New Roman"/>
          <w:sz w:val="28"/>
          <w:lang w:val="uk-UA"/>
        </w:rPr>
        <w:t>Для ефективного вирішення цієї проблеми визначено послідовність заходів, розроблену на основі глибокого аналізу та практичної наукової експертизи:</w:t>
      </w:r>
    </w:p>
    <w:p w14:paraId="68447836"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Визначення оптимальних місць розташування "прикордонних портів" поблизу кордону з Польщею, підготовка техніко-економічних обґрунтувань.</w:t>
      </w:r>
    </w:p>
    <w:p w14:paraId="25C4AA5A"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Розробка бізнес-планів будівництва складських приміщень та інфраструктури "прикордонних портів".</w:t>
      </w:r>
    </w:p>
    <w:p w14:paraId="04C80668"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Залучення інвестицій для реалізації проектів, у т.ч. кредитні кошти, гранти ЄС, власні кошти компанії.</w:t>
      </w:r>
    </w:p>
    <w:p w14:paraId="08AA70BE"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Будівництво складських приміщень, створення транспортної та логістичної інфраструктури.</w:t>
      </w:r>
    </w:p>
    <w:p w14:paraId="0DB3DBE7"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Встановлення партнерських відносин з логістичними та транспортними компаніями ЄС та Африки.</w:t>
      </w:r>
    </w:p>
    <w:p w14:paraId="4807ED35"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Організація експортних поставок металопродукції через "прикордонні порти", збільшення обсягів продажів.</w:t>
      </w:r>
    </w:p>
    <w:p w14:paraId="7323DE3F" w14:textId="77777777" w:rsidR="00FA742F" w:rsidRPr="00B272E9" w:rsidRDefault="00FA742F" w:rsidP="00FA742F">
      <w:pPr>
        <w:numPr>
          <w:ilvl w:val="0"/>
          <w:numId w:val="8"/>
        </w:numPr>
        <w:spacing w:after="0" w:line="240" w:lineRule="auto"/>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Аналіз ефективності роботи "прикордонних портів", коригування логістики та обсягів збуту.</w:t>
      </w:r>
    </w:p>
    <w:p w14:paraId="4212087A" w14:textId="77777777" w:rsidR="00FA742F" w:rsidRPr="00B272E9" w:rsidRDefault="00FA742F" w:rsidP="00FA742F">
      <w:pPr>
        <w:spacing w:after="0" w:line="240" w:lineRule="auto"/>
        <w:ind w:firstLine="709"/>
        <w:jc w:val="both"/>
        <w:rPr>
          <w:rFonts w:ascii="Times New Roman" w:hAnsi="Times New Roman" w:cs="Times New Roman"/>
          <w:sz w:val="28"/>
          <w:szCs w:val="28"/>
          <w:shd w:val="clear" w:color="auto" w:fill="FFFFFF"/>
          <w:lang w:val="uk-UA"/>
        </w:rPr>
      </w:pPr>
      <w:r w:rsidRPr="00546EB7">
        <w:rPr>
          <w:rFonts w:ascii="Times New Roman" w:hAnsi="Times New Roman" w:cs="Times New Roman"/>
          <w:sz w:val="28"/>
          <w:szCs w:val="28"/>
          <w:shd w:val="clear" w:color="auto" w:fill="FFFFFF"/>
          <w:lang w:val="uk-UA"/>
        </w:rPr>
        <w:t>Економічний ефект: збільшення обсягів експорту металопродукції</w:t>
      </w:r>
      <w:r w:rsidR="0015615F">
        <w:rPr>
          <w:rFonts w:ascii="Times New Roman" w:hAnsi="Times New Roman" w:cs="Times New Roman"/>
          <w:sz w:val="28"/>
          <w:szCs w:val="28"/>
          <w:shd w:val="clear" w:color="auto" w:fill="FFFFFF"/>
          <w:lang w:val="uk-UA"/>
        </w:rPr>
        <w:t xml:space="preserve"> у Африку </w:t>
      </w:r>
      <w:r w:rsidR="001C121F">
        <w:rPr>
          <w:rFonts w:ascii="Times New Roman" w:hAnsi="Times New Roman" w:cs="Times New Roman"/>
          <w:sz w:val="28"/>
          <w:szCs w:val="28"/>
          <w:shd w:val="clear" w:color="auto" w:fill="FFFFFF"/>
          <w:lang w:val="uk-UA"/>
        </w:rPr>
        <w:t>на 82,4%</w:t>
      </w:r>
      <w:r w:rsidR="005912A1">
        <w:rPr>
          <w:rFonts w:ascii="Times New Roman" w:hAnsi="Times New Roman" w:cs="Times New Roman"/>
          <w:sz w:val="28"/>
          <w:szCs w:val="28"/>
          <w:shd w:val="clear" w:color="auto" w:fill="FFFFFF"/>
          <w:lang w:val="uk-UA"/>
        </w:rPr>
        <w:t xml:space="preserve"> (до 1 млн.т.)</w:t>
      </w:r>
      <w:r w:rsidRPr="00546EB7">
        <w:rPr>
          <w:rFonts w:ascii="Times New Roman" w:hAnsi="Times New Roman" w:cs="Times New Roman"/>
          <w:sz w:val="28"/>
          <w:szCs w:val="28"/>
          <w:shd w:val="clear" w:color="auto" w:fill="FFFFFF"/>
          <w:lang w:val="uk-UA"/>
        </w:rPr>
        <w:t>, зростання чистого доходу компанії</w:t>
      </w:r>
      <w:r w:rsidR="00DE6C10">
        <w:rPr>
          <w:rFonts w:ascii="Times New Roman" w:hAnsi="Times New Roman" w:cs="Times New Roman"/>
          <w:sz w:val="28"/>
          <w:szCs w:val="28"/>
          <w:shd w:val="clear" w:color="auto" w:fill="FFFFFF"/>
          <w:lang w:val="uk-UA"/>
        </w:rPr>
        <w:t xml:space="preserve"> з експорту</w:t>
      </w:r>
      <w:r w:rsidR="00305FD9">
        <w:rPr>
          <w:rFonts w:ascii="Times New Roman" w:hAnsi="Times New Roman" w:cs="Times New Roman"/>
          <w:sz w:val="28"/>
          <w:szCs w:val="28"/>
          <w:shd w:val="clear" w:color="auto" w:fill="FFFFFF"/>
          <w:lang w:val="uk-UA"/>
        </w:rPr>
        <w:t xml:space="preserve"> </w:t>
      </w:r>
      <w:r w:rsidR="00843FE1">
        <w:rPr>
          <w:rFonts w:ascii="Times New Roman" w:hAnsi="Times New Roman" w:cs="Times New Roman"/>
          <w:sz w:val="28"/>
          <w:szCs w:val="28"/>
          <w:shd w:val="clear" w:color="auto" w:fill="FFFFFF"/>
          <w:lang w:val="uk-UA"/>
        </w:rPr>
        <w:t xml:space="preserve">на 3 787,5 </w:t>
      </w:r>
      <w:r w:rsidR="007A0A3B">
        <w:rPr>
          <w:rFonts w:ascii="Times New Roman" w:hAnsi="Times New Roman" w:cs="Times New Roman"/>
          <w:sz w:val="28"/>
          <w:szCs w:val="28"/>
          <w:shd w:val="clear" w:color="auto" w:fill="FFFFFF"/>
          <w:lang w:val="uk-UA"/>
        </w:rPr>
        <w:t>млн</w:t>
      </w:r>
      <w:r w:rsidR="00843FE1">
        <w:rPr>
          <w:rFonts w:ascii="Times New Roman" w:hAnsi="Times New Roman" w:cs="Times New Roman"/>
          <w:sz w:val="28"/>
          <w:szCs w:val="28"/>
          <w:shd w:val="clear" w:color="auto" w:fill="FFFFFF"/>
          <w:lang w:val="uk-UA"/>
        </w:rPr>
        <w:t xml:space="preserve">. </w:t>
      </w:r>
      <w:r w:rsidR="00843FE1">
        <w:rPr>
          <w:rFonts w:ascii="Times New Roman" w:hAnsi="Times New Roman" w:cs="Times New Roman"/>
          <w:sz w:val="28"/>
          <w:szCs w:val="28"/>
          <w:shd w:val="clear" w:color="auto" w:fill="FFFFFF"/>
          <w:lang w:val="uk-UA"/>
        </w:rPr>
        <w:lastRenderedPageBreak/>
        <w:t>грн.</w:t>
      </w:r>
      <w:r w:rsidRPr="00546EB7">
        <w:rPr>
          <w:rFonts w:ascii="Times New Roman" w:hAnsi="Times New Roman" w:cs="Times New Roman"/>
          <w:sz w:val="28"/>
          <w:szCs w:val="28"/>
          <w:shd w:val="clear" w:color="auto" w:fill="FFFFFF"/>
          <w:lang w:val="uk-UA"/>
        </w:rPr>
        <w:t>, підвищення рентабельності експортних операцій, прискорення обіговості оборотних коштів, залучення додаткових інвестицій в регіон</w:t>
      </w:r>
      <w:r w:rsidR="008F34AC">
        <w:rPr>
          <w:rFonts w:ascii="Times New Roman" w:hAnsi="Times New Roman" w:cs="Times New Roman"/>
          <w:sz w:val="28"/>
          <w:szCs w:val="28"/>
          <w:shd w:val="clear" w:color="auto" w:fill="FFFFFF"/>
          <w:lang w:val="uk-UA"/>
        </w:rPr>
        <w:t xml:space="preserve"> </w:t>
      </w:r>
      <w:r w:rsidR="008F34AC">
        <w:rPr>
          <w:rFonts w:ascii="Times New Roman" w:eastAsia="Times New Roman" w:hAnsi="Times New Roman" w:cs="Times New Roman"/>
          <w:sz w:val="28"/>
          <w:lang w:val="uk-UA"/>
        </w:rPr>
        <w:t>(додаток Д).</w:t>
      </w:r>
    </w:p>
    <w:p w14:paraId="48DC183F" w14:textId="77777777" w:rsidR="00FA742F" w:rsidRPr="00B272E9" w:rsidRDefault="00FA742F" w:rsidP="00FA742F">
      <w:pPr>
        <w:spacing w:after="0" w:line="240" w:lineRule="auto"/>
        <w:ind w:firstLine="709"/>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 xml:space="preserve">Організаційний ефект: </w:t>
      </w:r>
      <w:r w:rsidRPr="00546EB7">
        <w:rPr>
          <w:rFonts w:ascii="Times New Roman" w:hAnsi="Times New Roman" w:cs="Times New Roman"/>
          <w:sz w:val="28"/>
          <w:szCs w:val="28"/>
          <w:shd w:val="clear" w:color="auto" w:fill="FFFFFF"/>
          <w:lang w:val="uk-UA"/>
        </w:rPr>
        <w:t>оптимізація логістичних схем доставки продукції на експорт, скорочення транспортних витрат, прискорення оформлення експортної документації, налагодження тісної співпраці з транспортними компаніями, впровадження сучасних логістичних іт-рішень.</w:t>
      </w:r>
    </w:p>
    <w:p w14:paraId="3E9B0041" w14:textId="77777777" w:rsidR="00FA742F" w:rsidRPr="00B272E9" w:rsidRDefault="00FA742F" w:rsidP="00FA742F">
      <w:pPr>
        <w:spacing w:after="0" w:line="240" w:lineRule="auto"/>
        <w:ind w:firstLine="709"/>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 xml:space="preserve">Соціальний ефект: </w:t>
      </w:r>
      <w:r w:rsidRPr="00546EB7">
        <w:rPr>
          <w:rFonts w:ascii="Times New Roman" w:hAnsi="Times New Roman" w:cs="Times New Roman"/>
          <w:sz w:val="28"/>
          <w:szCs w:val="28"/>
          <w:shd w:val="clear" w:color="auto" w:fill="FFFFFF"/>
          <w:lang w:val="uk-UA"/>
        </w:rPr>
        <w:t>створення додаткових робочих місць та пoкpaщeння iмiджy кoмпaнiї як надійного пapтнepa.</w:t>
      </w:r>
    </w:p>
    <w:p w14:paraId="5B658F82" w14:textId="77777777" w:rsidR="00FA742F" w:rsidRPr="00B272E9" w:rsidRDefault="00FA742F" w:rsidP="00FA742F">
      <w:pPr>
        <w:spacing w:after="0" w:line="240" w:lineRule="auto"/>
        <w:ind w:firstLine="709"/>
        <w:jc w:val="both"/>
        <w:rPr>
          <w:rFonts w:ascii="Times New Roman" w:hAnsi="Times New Roman" w:cs="Times New Roman"/>
          <w:sz w:val="28"/>
          <w:szCs w:val="28"/>
          <w:shd w:val="clear" w:color="auto" w:fill="FFFFFF"/>
          <w:lang w:val="uk-UA"/>
        </w:rPr>
      </w:pPr>
      <w:r w:rsidRPr="00B272E9">
        <w:rPr>
          <w:rFonts w:ascii="Times New Roman" w:hAnsi="Times New Roman" w:cs="Times New Roman"/>
          <w:sz w:val="28"/>
          <w:szCs w:val="28"/>
          <w:shd w:val="clear" w:color="auto" w:fill="FFFFFF"/>
          <w:lang w:val="uk-UA"/>
        </w:rPr>
        <w:t xml:space="preserve">Оргмеханізм: </w:t>
      </w:r>
      <w:r w:rsidRPr="00546EB7">
        <w:rPr>
          <w:rFonts w:ascii="Times New Roman" w:hAnsi="Times New Roman" w:cs="Times New Roman"/>
          <w:sz w:val="28"/>
          <w:szCs w:val="28"/>
          <w:shd w:val="clear" w:color="auto" w:fill="FFFFFF"/>
          <w:lang w:val="uk-UA"/>
        </w:rPr>
        <w:t>створення департаменту з реалізації проекту, розробка та затвердження плану заходів з ключовими показниками, щотижневі наради з моніторингу реалізації, щомісячна звітність перед правлінням, підбір та навчання персоналу "прикордонних портів", взаємодія з місцевою владою та громадськістю.</w:t>
      </w:r>
    </w:p>
    <w:p w14:paraId="623F5C85" w14:textId="77777777" w:rsidR="00FA742F" w:rsidRPr="00546EB7" w:rsidRDefault="00FA742F" w:rsidP="00FA742F">
      <w:pPr>
        <w:spacing w:after="0" w:line="240" w:lineRule="auto"/>
        <w:ind w:firstLine="709"/>
        <w:jc w:val="both"/>
        <w:rPr>
          <w:rFonts w:ascii="Times New Roman" w:eastAsia="Times New Roman" w:hAnsi="Times New Roman" w:cs="Times New Roman"/>
          <w:sz w:val="28"/>
          <w:szCs w:val="28"/>
          <w:lang w:val="uk-UA"/>
        </w:rPr>
      </w:pPr>
      <w:r w:rsidRPr="00DD1BD0">
        <w:rPr>
          <w:rFonts w:ascii="Times New Roman" w:eastAsia="Times New Roman" w:hAnsi="Times New Roman" w:cs="Times New Roman"/>
          <w:sz w:val="28"/>
          <w:szCs w:val="28"/>
          <w:lang w:val="uk-UA"/>
        </w:rPr>
        <w:t>- Створення віртуальних торговельних майданчиків для промислових підприємств із впровадженням системи моніторингу та прогнозування кон’юнктури на внутрішньому ринку сприятиме удосконаленню  інфраструктури  реалізації української металопродукції на внутрішньому ринку.</w:t>
      </w:r>
    </w:p>
    <w:p w14:paraId="33CD428B" w14:textId="77777777" w:rsidR="00FA742F" w:rsidRPr="00546EB7" w:rsidRDefault="00FA742F" w:rsidP="00FA742F">
      <w:pPr>
        <w:spacing w:after="0" w:line="240" w:lineRule="auto"/>
        <w:ind w:firstLine="709"/>
        <w:jc w:val="both"/>
        <w:rPr>
          <w:rFonts w:ascii="Times New Roman" w:eastAsia="Times New Roman" w:hAnsi="Times New Roman" w:cs="Times New Roman"/>
          <w:sz w:val="28"/>
          <w:szCs w:val="28"/>
          <w:lang w:val="uk-UA"/>
        </w:rPr>
      </w:pPr>
      <w:r w:rsidRPr="00546EB7">
        <w:rPr>
          <w:rFonts w:ascii="Times New Roman" w:eastAsia="Times New Roman" w:hAnsi="Times New Roman" w:cs="Times New Roman"/>
          <w:sz w:val="28"/>
          <w:lang w:val="uk-UA"/>
        </w:rPr>
        <w:t>Для ефективного вирішення цієї проблеми визначено послідовність заходів, розроблену на основі глибокого аналізу та практичної наукової експертизи:</w:t>
      </w:r>
    </w:p>
    <w:p w14:paraId="647E9B5F" w14:textId="77777777" w:rsidR="00FA742F" w:rsidRPr="00B6628F" w:rsidRDefault="00FA742F" w:rsidP="00FA742F">
      <w:pPr>
        <w:numPr>
          <w:ilvl w:val="0"/>
          <w:numId w:val="9"/>
        </w:numPr>
        <w:spacing w:after="0" w:line="240" w:lineRule="auto"/>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Підготовка технічного завдання на створення віртуальних торговельних майданчиків та впровадження системи моніторингу і прогнозування кон'юнктури внутрішнього ринку металопродукції.</w:t>
      </w:r>
    </w:p>
    <w:p w14:paraId="681B7349" w14:textId="77777777" w:rsidR="00FA742F" w:rsidRPr="00B6628F" w:rsidRDefault="00FA742F" w:rsidP="00FA742F">
      <w:pPr>
        <w:numPr>
          <w:ilvl w:val="0"/>
          <w:numId w:val="9"/>
        </w:numPr>
        <w:spacing w:after="0" w:line="240" w:lineRule="auto"/>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Розробка та тестування програмного забезпечення для віртуальних торговельних майданчиків.</w:t>
      </w:r>
    </w:p>
    <w:p w14:paraId="0022A751" w14:textId="77777777" w:rsidR="00FA742F" w:rsidRPr="00B6628F" w:rsidRDefault="00FA742F" w:rsidP="00FA742F">
      <w:pPr>
        <w:numPr>
          <w:ilvl w:val="0"/>
          <w:numId w:val="9"/>
        </w:numPr>
        <w:spacing w:after="0" w:line="240" w:lineRule="auto"/>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Впровадження системи збору та аналізу даних про попит і пропозицію на внутрішньому ринку металопродукції.</w:t>
      </w:r>
    </w:p>
    <w:p w14:paraId="4C798233" w14:textId="77777777" w:rsidR="00FA742F" w:rsidRPr="00B6628F" w:rsidRDefault="00FA742F" w:rsidP="00FA742F">
      <w:pPr>
        <w:numPr>
          <w:ilvl w:val="0"/>
          <w:numId w:val="9"/>
        </w:numPr>
        <w:spacing w:after="0" w:line="240" w:lineRule="auto"/>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Запуск віртуальних торговельних майданчиків і системи моніторингу та прогнозування кон'юнктури ринку.</w:t>
      </w:r>
    </w:p>
    <w:p w14:paraId="6C84CC12" w14:textId="77777777" w:rsidR="00FA742F" w:rsidRPr="00B6628F" w:rsidRDefault="00FA742F" w:rsidP="00FA742F">
      <w:pPr>
        <w:numPr>
          <w:ilvl w:val="0"/>
          <w:numId w:val="9"/>
        </w:numPr>
        <w:spacing w:after="0" w:line="240" w:lineRule="auto"/>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Використання отриманої інформації для оптимізації виробництва і збуту металопродукції.</w:t>
      </w:r>
    </w:p>
    <w:p w14:paraId="3D95CC32" w14:textId="77777777" w:rsidR="00FA742F" w:rsidRPr="00B6628F" w:rsidRDefault="00FA742F" w:rsidP="00FA742F">
      <w:pPr>
        <w:spacing w:after="0" w:line="240" w:lineRule="auto"/>
        <w:ind w:firstLine="709"/>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Економічний ефект: зниження витрат на збут продукції</w:t>
      </w:r>
      <w:r w:rsidR="00DE6C10">
        <w:rPr>
          <w:rFonts w:ascii="Times New Roman" w:eastAsia="Times New Roman" w:hAnsi="Times New Roman" w:cs="Times New Roman"/>
          <w:sz w:val="28"/>
          <w:szCs w:val="28"/>
          <w:lang w:val="uk-UA"/>
        </w:rPr>
        <w:t xml:space="preserve"> та </w:t>
      </w:r>
      <w:r w:rsidR="00210DDE" w:rsidRPr="00546EB7">
        <w:rPr>
          <w:rFonts w:ascii="Times New Roman" w:hAnsi="Times New Roman" w:cs="Times New Roman"/>
          <w:sz w:val="28"/>
          <w:szCs w:val="28"/>
          <w:shd w:val="clear" w:color="auto" w:fill="FFFFFF"/>
          <w:lang w:val="uk-UA"/>
        </w:rPr>
        <w:t>зростання чистого доходу компанії</w:t>
      </w:r>
      <w:r w:rsidR="00210DDE">
        <w:rPr>
          <w:rFonts w:ascii="Times New Roman" w:hAnsi="Times New Roman" w:cs="Times New Roman"/>
          <w:sz w:val="28"/>
          <w:szCs w:val="28"/>
          <w:shd w:val="clear" w:color="auto" w:fill="FFFFFF"/>
          <w:lang w:val="uk-UA"/>
        </w:rPr>
        <w:t xml:space="preserve"> з внутрішнього ринку на </w:t>
      </w:r>
      <w:r w:rsidR="00276251">
        <w:rPr>
          <w:rFonts w:ascii="Times New Roman" w:hAnsi="Times New Roman" w:cs="Times New Roman"/>
          <w:sz w:val="28"/>
          <w:szCs w:val="28"/>
          <w:shd w:val="clear" w:color="auto" w:fill="FFFFFF"/>
          <w:lang w:val="uk-UA"/>
        </w:rPr>
        <w:t>793,2 млн. грн.</w:t>
      </w:r>
      <w:r w:rsidRPr="00B6628F">
        <w:rPr>
          <w:rFonts w:ascii="Times New Roman" w:eastAsia="Times New Roman" w:hAnsi="Times New Roman" w:cs="Times New Roman"/>
          <w:sz w:val="28"/>
          <w:szCs w:val="28"/>
          <w:lang w:val="uk-UA"/>
        </w:rPr>
        <w:t>, підвищення обсягів реалізації на внутрішньому ринку</w:t>
      </w:r>
      <w:r w:rsidR="00DD1BD0">
        <w:rPr>
          <w:rFonts w:ascii="Times New Roman" w:eastAsia="Times New Roman" w:hAnsi="Times New Roman" w:cs="Times New Roman"/>
          <w:sz w:val="28"/>
          <w:szCs w:val="28"/>
          <w:lang w:val="uk-UA"/>
        </w:rPr>
        <w:t xml:space="preserve"> на 30%</w:t>
      </w:r>
      <w:r w:rsidR="00DE3585">
        <w:rPr>
          <w:rFonts w:ascii="Times New Roman" w:eastAsia="Times New Roman" w:hAnsi="Times New Roman" w:cs="Times New Roman"/>
          <w:sz w:val="28"/>
          <w:szCs w:val="28"/>
          <w:lang w:val="uk-UA"/>
        </w:rPr>
        <w:t xml:space="preserve"> з 220 тис. т. до </w:t>
      </w:r>
      <w:r w:rsidR="00DE6C10">
        <w:rPr>
          <w:rFonts w:ascii="Times New Roman" w:eastAsia="Times New Roman" w:hAnsi="Times New Roman" w:cs="Times New Roman"/>
          <w:sz w:val="28"/>
          <w:szCs w:val="28"/>
          <w:lang w:val="uk-UA"/>
        </w:rPr>
        <w:t>286 тис. т</w:t>
      </w:r>
      <w:r w:rsidRPr="00B6628F">
        <w:rPr>
          <w:rFonts w:ascii="Times New Roman" w:eastAsia="Times New Roman" w:hAnsi="Times New Roman" w:cs="Times New Roman"/>
          <w:sz w:val="28"/>
          <w:szCs w:val="28"/>
          <w:lang w:val="uk-UA"/>
        </w:rPr>
        <w:t>.</w:t>
      </w:r>
      <w:r w:rsidR="008F34AC">
        <w:rPr>
          <w:rFonts w:ascii="Times New Roman" w:eastAsia="Times New Roman" w:hAnsi="Times New Roman" w:cs="Times New Roman"/>
          <w:sz w:val="28"/>
          <w:szCs w:val="28"/>
          <w:lang w:val="uk-UA"/>
        </w:rPr>
        <w:t xml:space="preserve"> </w:t>
      </w:r>
      <w:r w:rsidR="008F34AC">
        <w:rPr>
          <w:rFonts w:ascii="Times New Roman" w:eastAsia="Times New Roman" w:hAnsi="Times New Roman" w:cs="Times New Roman"/>
          <w:sz w:val="28"/>
          <w:lang w:val="uk-UA"/>
        </w:rPr>
        <w:t>(додаток Д).</w:t>
      </w:r>
    </w:p>
    <w:p w14:paraId="36C7652B" w14:textId="77777777" w:rsidR="00FA742F" w:rsidRPr="00B6628F" w:rsidRDefault="00FA742F" w:rsidP="00FA742F">
      <w:pPr>
        <w:spacing w:after="0" w:line="240" w:lineRule="auto"/>
        <w:ind w:firstLine="709"/>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Організаційний ефект: вдосконалення інфраструктури реалізації металопродукції, прискорення обміну даними між учасниками ринку.</w:t>
      </w:r>
    </w:p>
    <w:p w14:paraId="1A80F5A5" w14:textId="77777777" w:rsidR="00FA742F" w:rsidRPr="00B6628F" w:rsidRDefault="00FA742F" w:rsidP="00FA742F">
      <w:pPr>
        <w:spacing w:after="0" w:line="240" w:lineRule="auto"/>
        <w:ind w:firstLine="709"/>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Соціальний ефект: розвиток вітчизняного виробництва металопродукції, підвищення завантаження виробничих потужностей.</w:t>
      </w:r>
    </w:p>
    <w:p w14:paraId="605C784E" w14:textId="77777777" w:rsidR="00FA742F" w:rsidRPr="00B6628F" w:rsidRDefault="00FA742F" w:rsidP="00FA742F">
      <w:pPr>
        <w:spacing w:after="0" w:line="240" w:lineRule="auto"/>
        <w:ind w:firstLine="709"/>
        <w:jc w:val="both"/>
        <w:rPr>
          <w:rFonts w:ascii="Times New Roman" w:eastAsia="Times New Roman" w:hAnsi="Times New Roman" w:cs="Times New Roman"/>
          <w:sz w:val="28"/>
          <w:szCs w:val="28"/>
          <w:lang w:val="uk-UA"/>
        </w:rPr>
      </w:pPr>
      <w:r w:rsidRPr="00B6628F">
        <w:rPr>
          <w:rFonts w:ascii="Times New Roman" w:eastAsia="Times New Roman" w:hAnsi="Times New Roman" w:cs="Times New Roman"/>
          <w:sz w:val="28"/>
          <w:szCs w:val="28"/>
          <w:lang w:val="uk-UA"/>
        </w:rPr>
        <w:t>Організаційний механізм: створення робочої групи, контроль реалізації проекту з боку керівництва, інформування співробітників.</w:t>
      </w:r>
    </w:p>
    <w:p w14:paraId="56803F79"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szCs w:val="28"/>
          <w:lang w:val="uk-UA"/>
        </w:rPr>
        <w:t xml:space="preserve">4.Факторинг. </w:t>
      </w:r>
      <w:r w:rsidR="003755C2">
        <w:rPr>
          <w:rFonts w:ascii="Times New Roman" w:eastAsia="Times New Roman" w:hAnsi="Times New Roman" w:cs="Times New Roman"/>
          <w:sz w:val="28"/>
          <w:lang w:val="uk-UA"/>
        </w:rPr>
        <w:t>Дебіторську заборгованість за продукцію товари та послуги</w:t>
      </w:r>
      <w:r w:rsidRPr="00546EB7">
        <w:rPr>
          <w:rFonts w:ascii="Times New Roman" w:eastAsia="Times New Roman" w:hAnsi="Times New Roman" w:cs="Times New Roman"/>
          <w:sz w:val="28"/>
          <w:lang w:val="uk-UA"/>
        </w:rPr>
        <w:t xml:space="preserve"> досягла 7,</w:t>
      </w:r>
      <w:r w:rsidR="003755C2">
        <w:rPr>
          <w:rFonts w:ascii="Times New Roman" w:eastAsia="Times New Roman" w:hAnsi="Times New Roman" w:cs="Times New Roman"/>
          <w:sz w:val="28"/>
          <w:lang w:val="uk-UA"/>
        </w:rPr>
        <w:t>5</w:t>
      </w:r>
      <w:r w:rsidRPr="00546EB7">
        <w:rPr>
          <w:rFonts w:ascii="Times New Roman" w:eastAsia="Times New Roman" w:hAnsi="Times New Roman" w:cs="Times New Roman"/>
          <w:sz w:val="28"/>
          <w:lang w:val="uk-UA"/>
        </w:rPr>
        <w:t xml:space="preserve"> млрд</w:t>
      </w:r>
      <w:r>
        <w:rPr>
          <w:rFonts w:ascii="Times New Roman" w:eastAsia="Times New Roman" w:hAnsi="Times New Roman" w:cs="Times New Roman"/>
          <w:sz w:val="28"/>
          <w:lang w:val="uk-UA"/>
        </w:rPr>
        <w:t>.</w:t>
      </w:r>
      <w:r w:rsidRPr="00546EB7">
        <w:rPr>
          <w:rFonts w:ascii="Times New Roman" w:eastAsia="Times New Roman" w:hAnsi="Times New Roman" w:cs="Times New Roman"/>
          <w:sz w:val="28"/>
          <w:lang w:val="uk-UA"/>
        </w:rPr>
        <w:t xml:space="preserve"> грн, включаючи</w:t>
      </w:r>
      <w:r>
        <w:rPr>
          <w:rFonts w:ascii="Times New Roman" w:eastAsia="Times New Roman" w:hAnsi="Times New Roman" w:cs="Times New Roman"/>
          <w:sz w:val="28"/>
          <w:lang w:val="uk-UA"/>
        </w:rPr>
        <w:t xml:space="preserve"> </w:t>
      </w:r>
      <w:r w:rsidR="003755C2">
        <w:rPr>
          <w:rFonts w:ascii="Times New Roman" w:eastAsia="Times New Roman" w:hAnsi="Times New Roman" w:cs="Times New Roman"/>
          <w:sz w:val="28"/>
          <w:lang w:val="uk-UA"/>
        </w:rPr>
        <w:t>дебіторську заборгованість за видами авансів</w:t>
      </w:r>
      <w:r w:rsidR="002F476F">
        <w:rPr>
          <w:rFonts w:ascii="Times New Roman" w:eastAsia="Times New Roman" w:hAnsi="Times New Roman" w:cs="Times New Roman"/>
          <w:sz w:val="28"/>
          <w:lang w:val="uk-UA"/>
        </w:rPr>
        <w:t xml:space="preserve"> – 157 981 тис. грн.</w:t>
      </w:r>
      <w:r w:rsidR="003755C2">
        <w:rPr>
          <w:rFonts w:ascii="Times New Roman" w:eastAsia="Times New Roman" w:hAnsi="Times New Roman" w:cs="Times New Roman"/>
          <w:sz w:val="28"/>
          <w:lang w:val="uk-UA"/>
        </w:rPr>
        <w:t xml:space="preserve"> та інш</w:t>
      </w:r>
      <w:r w:rsidR="00C176D9">
        <w:rPr>
          <w:rFonts w:ascii="Times New Roman" w:eastAsia="Times New Roman" w:hAnsi="Times New Roman" w:cs="Times New Roman"/>
          <w:sz w:val="28"/>
          <w:lang w:val="uk-UA"/>
        </w:rPr>
        <w:t>у</w:t>
      </w:r>
      <w:r w:rsidR="003755C2">
        <w:rPr>
          <w:rFonts w:ascii="Times New Roman" w:eastAsia="Times New Roman" w:hAnsi="Times New Roman" w:cs="Times New Roman"/>
          <w:sz w:val="28"/>
          <w:lang w:val="uk-UA"/>
        </w:rPr>
        <w:t xml:space="preserve"> дебіторськ</w:t>
      </w:r>
      <w:r w:rsidR="00C176D9">
        <w:rPr>
          <w:rFonts w:ascii="Times New Roman" w:eastAsia="Times New Roman" w:hAnsi="Times New Roman" w:cs="Times New Roman"/>
          <w:sz w:val="28"/>
          <w:lang w:val="uk-UA"/>
        </w:rPr>
        <w:t>у</w:t>
      </w:r>
      <w:r w:rsidR="003755C2">
        <w:rPr>
          <w:rFonts w:ascii="Times New Roman" w:eastAsia="Times New Roman" w:hAnsi="Times New Roman" w:cs="Times New Roman"/>
          <w:sz w:val="28"/>
          <w:lang w:val="uk-UA"/>
        </w:rPr>
        <w:t xml:space="preserve"> заборгован</w:t>
      </w:r>
      <w:r w:rsidR="00C176D9">
        <w:rPr>
          <w:rFonts w:ascii="Times New Roman" w:eastAsia="Times New Roman" w:hAnsi="Times New Roman" w:cs="Times New Roman"/>
          <w:sz w:val="28"/>
          <w:lang w:val="uk-UA"/>
        </w:rPr>
        <w:t>ість</w:t>
      </w:r>
      <w:r w:rsidR="002F476F">
        <w:rPr>
          <w:rFonts w:ascii="Times New Roman" w:eastAsia="Times New Roman" w:hAnsi="Times New Roman" w:cs="Times New Roman"/>
          <w:sz w:val="28"/>
          <w:lang w:val="uk-UA"/>
        </w:rPr>
        <w:t xml:space="preserve"> </w:t>
      </w:r>
      <w:r w:rsidR="00C176D9">
        <w:rPr>
          <w:rFonts w:ascii="Times New Roman" w:eastAsia="Times New Roman" w:hAnsi="Times New Roman" w:cs="Times New Roman"/>
          <w:sz w:val="28"/>
          <w:lang w:val="uk-UA"/>
        </w:rPr>
        <w:t>– 241 050 тис</w:t>
      </w:r>
      <w:r>
        <w:rPr>
          <w:rFonts w:ascii="Times New Roman" w:eastAsia="Times New Roman" w:hAnsi="Times New Roman" w:cs="Times New Roman"/>
          <w:sz w:val="28"/>
          <w:lang w:val="uk-UA"/>
        </w:rPr>
        <w:t>. грн.</w:t>
      </w:r>
      <w:r w:rsidRPr="00546EB7">
        <w:rPr>
          <w:rFonts w:ascii="Times New Roman" w:eastAsia="Times New Roman" w:hAnsi="Times New Roman" w:cs="Times New Roman"/>
          <w:sz w:val="28"/>
          <w:lang w:val="uk-UA"/>
        </w:rPr>
        <w:t>, що суттєво впливає на обігові кошти та ліквідність компанії. Надмірно довгий період інкасації (1</w:t>
      </w:r>
      <w:r>
        <w:rPr>
          <w:rFonts w:ascii="Times New Roman" w:eastAsia="Times New Roman" w:hAnsi="Times New Roman" w:cs="Times New Roman"/>
          <w:sz w:val="28"/>
          <w:lang w:val="uk-UA"/>
        </w:rPr>
        <w:t>4</w:t>
      </w:r>
      <w:r w:rsidRPr="00546EB7">
        <w:rPr>
          <w:rFonts w:ascii="Times New Roman" w:eastAsia="Times New Roman" w:hAnsi="Times New Roman" w:cs="Times New Roman"/>
          <w:sz w:val="28"/>
          <w:lang w:val="uk-UA"/>
        </w:rPr>
        <w:t>0 днів) у порівнянні з періодом відстрочки для боржників (30-60 днів) ускладнює ситуацію, породжуючи дефіцит обігових коштів [4</w:t>
      </w:r>
      <w:r w:rsidR="000101A9" w:rsidRPr="000101A9">
        <w:rPr>
          <w:rFonts w:ascii="Times New Roman" w:eastAsia="Times New Roman" w:hAnsi="Times New Roman" w:cs="Times New Roman"/>
          <w:sz w:val="28"/>
          <w:lang w:val="uk-UA"/>
        </w:rPr>
        <w:t>0</w:t>
      </w:r>
      <w:r w:rsidRPr="00546EB7">
        <w:rPr>
          <w:rFonts w:ascii="Times New Roman" w:eastAsia="Times New Roman" w:hAnsi="Times New Roman" w:cs="Times New Roman"/>
          <w:sz w:val="28"/>
          <w:lang w:val="uk-UA"/>
        </w:rPr>
        <w:t>].</w:t>
      </w:r>
    </w:p>
    <w:p w14:paraId="110FD775" w14:textId="77777777" w:rsidR="00FA742F" w:rsidRPr="00546EB7" w:rsidRDefault="00FA742F" w:rsidP="00FA742F">
      <w:pPr>
        <w:spacing w:after="0" w:line="240" w:lineRule="auto"/>
        <w:ind w:firstLine="709"/>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lastRenderedPageBreak/>
        <w:t>Для ефективного вирішення цієї проблеми визначено послідовність заходів, розроблену на основі глибокого аналізу та практичної наукової експертизи:</w:t>
      </w:r>
    </w:p>
    <w:p w14:paraId="27C95675"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sz w:val="28"/>
          <w:lang w:val="uk-UA"/>
        </w:rPr>
      </w:pPr>
      <w:r w:rsidRPr="00496DF5">
        <w:rPr>
          <w:rFonts w:ascii="Times New Roman" w:eastAsia="Times New Roman" w:hAnsi="Times New Roman" w:cs="Times New Roman"/>
          <w:sz w:val="28"/>
          <w:lang w:val="uk-UA"/>
        </w:rPr>
        <w:t>ABC-аналіз дебіторської заборгованості сформований на основі середньозважених показників факторингових компаній:</w:t>
      </w:r>
    </w:p>
    <w:p w14:paraId="72068DC2" w14:textId="77777777" w:rsidR="00FA742F" w:rsidRPr="00546EB7" w:rsidRDefault="00FA742F" w:rsidP="00FA742F">
      <w:pPr>
        <w:spacing w:after="0" w:line="240" w:lineRule="auto"/>
        <w:ind w:left="1418"/>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 xml:space="preserve">а) Групу A </w:t>
      </w:r>
      <w:r w:rsidR="00F44214">
        <w:rPr>
          <w:rFonts w:ascii="Times New Roman" w:eastAsia="Times New Roman" w:hAnsi="Times New Roman" w:cs="Times New Roman"/>
          <w:sz w:val="28"/>
          <w:lang w:val="uk-UA"/>
        </w:rPr>
        <w:t>–</w:t>
      </w:r>
      <w:r w:rsidRPr="00546EB7">
        <w:rPr>
          <w:rFonts w:ascii="Times New Roman" w:eastAsia="Times New Roman" w:hAnsi="Times New Roman" w:cs="Times New Roman"/>
          <w:sz w:val="28"/>
          <w:lang w:val="uk-UA"/>
        </w:rPr>
        <w:t xml:space="preserve"> складають найбільші боржники на суму понад 500 млн грн кожен.</w:t>
      </w:r>
    </w:p>
    <w:p w14:paraId="007941B8" w14:textId="77777777" w:rsidR="00FA742F" w:rsidRPr="00546EB7" w:rsidRDefault="00FA742F" w:rsidP="00FA742F">
      <w:pPr>
        <w:spacing w:after="0" w:line="240" w:lineRule="auto"/>
        <w:ind w:left="1418"/>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б) Група B – боржники від 100 до 500 млн грн.</w:t>
      </w:r>
    </w:p>
    <w:p w14:paraId="46DAD53C" w14:textId="77777777" w:rsidR="00FA742F" w:rsidRPr="00546EB7" w:rsidRDefault="00FA742F" w:rsidP="00FA742F">
      <w:pPr>
        <w:spacing w:after="0" w:line="240" w:lineRule="auto"/>
        <w:ind w:left="1418"/>
        <w:jc w:val="both"/>
        <w:rPr>
          <w:rFonts w:ascii="Times New Roman" w:eastAsia="Times New Roman" w:hAnsi="Times New Roman" w:cs="Times New Roman"/>
          <w:sz w:val="28"/>
          <w:lang w:val="uk-UA"/>
        </w:rPr>
      </w:pPr>
      <w:r w:rsidRPr="00546EB7">
        <w:rPr>
          <w:rFonts w:ascii="Times New Roman" w:eastAsia="Times New Roman" w:hAnsi="Times New Roman" w:cs="Times New Roman"/>
          <w:sz w:val="28"/>
          <w:lang w:val="uk-UA"/>
        </w:rPr>
        <w:t>в) Група C – дрібні боржники до 100 млн грн.</w:t>
      </w:r>
    </w:p>
    <w:p w14:paraId="54332AC6"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color w:val="000000" w:themeColor="text1"/>
          <w:sz w:val="28"/>
          <w:lang w:val="uk-UA"/>
        </w:rPr>
      </w:pPr>
      <w:r w:rsidRPr="00496DF5">
        <w:rPr>
          <w:rFonts w:ascii="Times New Roman" w:eastAsia="Times New Roman" w:hAnsi="Times New Roman" w:cs="Times New Roman"/>
          <w:color w:val="000000" w:themeColor="text1"/>
          <w:sz w:val="28"/>
          <w:lang w:val="uk-UA"/>
        </w:rPr>
        <w:t>Виділення проблемних боргів: Вибір 5 найбільш проблемних боргів з групи A з простроченням понад 120 днів та обсягом фінансування до 80% від загальної суми.</w:t>
      </w:r>
    </w:p>
    <w:p w14:paraId="49FCDA47"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color w:val="000000" w:themeColor="text1"/>
          <w:sz w:val="28"/>
          <w:lang w:val="uk-UA"/>
        </w:rPr>
      </w:pPr>
      <w:r w:rsidRPr="00496DF5">
        <w:rPr>
          <w:rFonts w:ascii="Times New Roman" w:eastAsia="Times New Roman" w:hAnsi="Times New Roman" w:cs="Times New Roman"/>
          <w:color w:val="000000" w:themeColor="text1"/>
          <w:sz w:val="28"/>
          <w:lang w:val="uk-UA"/>
        </w:rPr>
        <w:t>Залучення факторингових компаній: Відправлення комерційних пропозицій щодо факторингу відібраних боргів провідним факторинговим компаніям (додаток Г): Факторинг Фінанс; Європейська факторингова компанія розвитку; Міжрегіональна інвестиційно-лізингова компанія; Скай сіті груп; Центр Факторингових Послуг.</w:t>
      </w:r>
    </w:p>
    <w:p w14:paraId="044EA24C"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sz w:val="28"/>
          <w:lang w:val="uk-UA"/>
        </w:rPr>
      </w:pPr>
      <w:r w:rsidRPr="00496DF5">
        <w:rPr>
          <w:rFonts w:ascii="Times New Roman" w:eastAsia="Times New Roman" w:hAnsi="Times New Roman" w:cs="Times New Roman"/>
          <w:sz w:val="28"/>
          <w:lang w:val="uk-UA"/>
        </w:rPr>
        <w:t xml:space="preserve">Вибір оптимальної пропозиції: Порівняння умов та обрання найвигіднішої пропозиції від </w:t>
      </w:r>
      <w:r w:rsidRPr="00496DF5">
        <w:rPr>
          <w:rFonts w:ascii="Times New Roman" w:eastAsia="Times New Roman" w:hAnsi="Times New Roman" w:cs="Times New Roman"/>
          <w:color w:val="000000" w:themeColor="text1"/>
          <w:sz w:val="28"/>
          <w:lang w:val="uk-UA"/>
        </w:rPr>
        <w:t>Європейська факторингова компанія розвитку</w:t>
      </w:r>
      <w:r w:rsidRPr="00496DF5">
        <w:rPr>
          <w:rFonts w:ascii="Times New Roman" w:eastAsia="Times New Roman" w:hAnsi="Times New Roman" w:cs="Times New Roman"/>
          <w:sz w:val="28"/>
          <w:lang w:val="uk-UA"/>
        </w:rPr>
        <w:t xml:space="preserve"> із дисконтною ставкою до 24% річних та терміном факторингу до 270 днів.</w:t>
      </w:r>
    </w:p>
    <w:p w14:paraId="57B5028B"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sz w:val="28"/>
          <w:lang w:val="uk-UA"/>
        </w:rPr>
      </w:pPr>
      <w:r w:rsidRPr="00496DF5">
        <w:rPr>
          <w:rFonts w:ascii="Times New Roman" w:eastAsia="Times New Roman" w:hAnsi="Times New Roman" w:cs="Times New Roman"/>
          <w:sz w:val="28"/>
          <w:lang w:val="uk-UA"/>
        </w:rPr>
        <w:t xml:space="preserve">Укладання договору факторингу: Укладання договору факторингу з </w:t>
      </w:r>
      <w:r w:rsidRPr="00496DF5">
        <w:rPr>
          <w:rFonts w:ascii="Times New Roman" w:eastAsia="Times New Roman" w:hAnsi="Times New Roman" w:cs="Times New Roman"/>
          <w:color w:val="000000" w:themeColor="text1"/>
          <w:sz w:val="28"/>
          <w:lang w:val="uk-UA"/>
        </w:rPr>
        <w:t>Європейською факторинговою компанією розвитку</w:t>
      </w:r>
      <w:r w:rsidRPr="00496DF5">
        <w:rPr>
          <w:rFonts w:ascii="Times New Roman" w:eastAsia="Times New Roman" w:hAnsi="Times New Roman" w:cs="Times New Roman"/>
          <w:sz w:val="28"/>
          <w:lang w:val="uk-UA"/>
        </w:rPr>
        <w:t xml:space="preserve"> та отримання до 95% від вартості відступлених боргів.</w:t>
      </w:r>
    </w:p>
    <w:p w14:paraId="562F6C88"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sz w:val="28"/>
          <w:lang w:val="uk-UA"/>
        </w:rPr>
      </w:pPr>
      <w:r w:rsidRPr="00496DF5">
        <w:rPr>
          <w:rFonts w:ascii="Times New Roman" w:eastAsia="Times New Roman" w:hAnsi="Times New Roman" w:cs="Times New Roman"/>
          <w:sz w:val="28"/>
          <w:lang w:val="uk-UA"/>
        </w:rPr>
        <w:t>Розподіл залучених коштів: Спрямування отриманих коштів на погашення простроченої кредиторської заборгованості за енергоносії та транспортні послуги.</w:t>
      </w:r>
    </w:p>
    <w:p w14:paraId="746375AB"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sz w:val="28"/>
          <w:lang w:val="uk-UA"/>
        </w:rPr>
      </w:pPr>
      <w:r w:rsidRPr="00496DF5">
        <w:rPr>
          <w:rFonts w:ascii="Times New Roman" w:eastAsia="Times New Roman" w:hAnsi="Times New Roman" w:cs="Times New Roman"/>
          <w:sz w:val="28"/>
          <w:lang w:val="uk-UA"/>
        </w:rPr>
        <w:t>Зняття загрози для постачання: Зняття загрози призупинення постачання газу, електроенергії та перевезень залізницею.</w:t>
      </w:r>
    </w:p>
    <w:p w14:paraId="26A62047" w14:textId="77777777" w:rsidR="00FA742F" w:rsidRPr="00496DF5" w:rsidRDefault="00FA742F" w:rsidP="00FA742F">
      <w:pPr>
        <w:pStyle w:val="a3"/>
        <w:numPr>
          <w:ilvl w:val="0"/>
          <w:numId w:val="10"/>
        </w:numPr>
        <w:spacing w:after="0" w:line="240" w:lineRule="auto"/>
        <w:ind w:left="1069"/>
        <w:jc w:val="both"/>
        <w:rPr>
          <w:rFonts w:ascii="Times New Roman" w:eastAsia="Times New Roman" w:hAnsi="Times New Roman" w:cs="Times New Roman"/>
          <w:sz w:val="28"/>
          <w:lang w:val="uk-UA"/>
        </w:rPr>
      </w:pPr>
      <w:r w:rsidRPr="00496DF5">
        <w:rPr>
          <w:rFonts w:ascii="Times New Roman" w:eastAsia="Times New Roman" w:hAnsi="Times New Roman" w:cs="Times New Roman"/>
          <w:sz w:val="28"/>
          <w:lang w:val="uk-UA"/>
        </w:rPr>
        <w:t xml:space="preserve">Завершення транзакції: Після 270 днів </w:t>
      </w:r>
      <w:r w:rsidR="000673F5">
        <w:rPr>
          <w:rFonts w:ascii="Times New Roman" w:eastAsia="Times New Roman" w:hAnsi="Times New Roman" w:cs="Times New Roman"/>
          <w:sz w:val="28"/>
          <w:lang w:val="uk-UA"/>
        </w:rPr>
        <w:t>отримуємо</w:t>
      </w:r>
      <w:r w:rsidRPr="00496DF5">
        <w:rPr>
          <w:rFonts w:ascii="Times New Roman" w:eastAsia="Times New Roman" w:hAnsi="Times New Roman" w:cs="Times New Roman"/>
          <w:sz w:val="28"/>
          <w:lang w:val="uk-UA"/>
        </w:rPr>
        <w:t xml:space="preserve"> залиш</w:t>
      </w:r>
      <w:r w:rsidR="000673F5">
        <w:rPr>
          <w:rFonts w:ascii="Times New Roman" w:eastAsia="Times New Roman" w:hAnsi="Times New Roman" w:cs="Times New Roman"/>
          <w:sz w:val="28"/>
          <w:lang w:val="uk-UA"/>
        </w:rPr>
        <w:t>ок</w:t>
      </w:r>
      <w:r w:rsidRPr="00496DF5">
        <w:rPr>
          <w:rFonts w:ascii="Times New Roman" w:eastAsia="Times New Roman" w:hAnsi="Times New Roman" w:cs="Times New Roman"/>
          <w:sz w:val="28"/>
          <w:lang w:val="uk-UA"/>
        </w:rPr>
        <w:t xml:space="preserve"> боргу в розмірі 5%</w:t>
      </w:r>
      <w:r w:rsidR="00FF6B38">
        <w:rPr>
          <w:rFonts w:ascii="Times New Roman" w:eastAsia="Times New Roman" w:hAnsi="Times New Roman" w:cs="Times New Roman"/>
          <w:sz w:val="28"/>
          <w:lang w:val="uk-UA"/>
        </w:rPr>
        <w:t xml:space="preserve"> - 393 млн. грн</w:t>
      </w:r>
      <w:r w:rsidRPr="00496DF5">
        <w:rPr>
          <w:rFonts w:ascii="Times New Roman" w:eastAsia="Times New Roman" w:hAnsi="Times New Roman" w:cs="Times New Roman"/>
          <w:sz w:val="28"/>
          <w:lang w:val="uk-UA"/>
        </w:rPr>
        <w:t xml:space="preserve"> з урахуванням відсотків за факторинг</w:t>
      </w:r>
      <w:r w:rsidR="000673F5">
        <w:rPr>
          <w:rFonts w:ascii="Times New Roman" w:eastAsia="Times New Roman" w:hAnsi="Times New Roman" w:cs="Times New Roman"/>
          <w:sz w:val="28"/>
          <w:lang w:val="uk-UA"/>
        </w:rPr>
        <w:t xml:space="preserve"> 24%</w:t>
      </w:r>
      <w:r w:rsidRPr="00496DF5">
        <w:rPr>
          <w:rFonts w:ascii="Times New Roman" w:eastAsia="Times New Roman" w:hAnsi="Times New Roman" w:cs="Times New Roman"/>
          <w:sz w:val="28"/>
          <w:lang w:val="uk-UA"/>
        </w:rPr>
        <w:t xml:space="preserve"> –</w:t>
      </w:r>
      <w:r w:rsidR="000673F5">
        <w:rPr>
          <w:rFonts w:ascii="Times New Roman" w:eastAsia="Times New Roman" w:hAnsi="Times New Roman" w:cs="Times New Roman"/>
          <w:sz w:val="28"/>
          <w:lang w:val="uk-UA"/>
        </w:rPr>
        <w:t xml:space="preserve"> </w:t>
      </w:r>
      <w:r w:rsidR="00C214CB">
        <w:rPr>
          <w:rFonts w:ascii="Times New Roman" w:eastAsia="Times New Roman" w:hAnsi="Times New Roman" w:cs="Times New Roman"/>
          <w:sz w:val="28"/>
          <w:lang w:val="uk-UA"/>
        </w:rPr>
        <w:t>2 191 млн</w:t>
      </w:r>
      <w:r w:rsidRPr="00496DF5">
        <w:rPr>
          <w:rFonts w:ascii="Times New Roman" w:eastAsia="Times New Roman" w:hAnsi="Times New Roman" w:cs="Times New Roman"/>
          <w:sz w:val="28"/>
          <w:lang w:val="uk-UA"/>
        </w:rPr>
        <w:t>.</w:t>
      </w:r>
      <w:r w:rsidR="00C214CB">
        <w:rPr>
          <w:rFonts w:ascii="Times New Roman" w:eastAsia="Times New Roman" w:hAnsi="Times New Roman" w:cs="Times New Roman"/>
          <w:sz w:val="28"/>
          <w:lang w:val="uk-UA"/>
        </w:rPr>
        <w:t xml:space="preserve"> </w:t>
      </w:r>
      <w:r w:rsidRPr="00496DF5">
        <w:rPr>
          <w:rFonts w:ascii="Times New Roman" w:eastAsia="Times New Roman" w:hAnsi="Times New Roman" w:cs="Times New Roman"/>
          <w:sz w:val="28"/>
          <w:lang w:val="uk-UA"/>
        </w:rPr>
        <w:t>грн.</w:t>
      </w:r>
      <w:r w:rsidR="008F34AC">
        <w:rPr>
          <w:rFonts w:ascii="Times New Roman" w:eastAsia="Times New Roman" w:hAnsi="Times New Roman" w:cs="Times New Roman"/>
          <w:sz w:val="28"/>
          <w:lang w:val="uk-UA"/>
        </w:rPr>
        <w:t>.</w:t>
      </w:r>
    </w:p>
    <w:p w14:paraId="4E3100B6" w14:textId="77777777" w:rsidR="00FA742F" w:rsidRPr="00AC02D7" w:rsidRDefault="00FA742F" w:rsidP="00FA742F">
      <w:pPr>
        <w:spacing w:after="0"/>
        <w:ind w:firstLine="709"/>
        <w:jc w:val="both"/>
        <w:rPr>
          <w:rFonts w:ascii="Times New Roman" w:eastAsia="Times New Roman" w:hAnsi="Times New Roman" w:cs="Times New Roman"/>
          <w:sz w:val="28"/>
          <w:szCs w:val="28"/>
          <w:lang w:val="uk-UA"/>
        </w:rPr>
      </w:pPr>
      <w:r w:rsidRPr="00AC02D7">
        <w:rPr>
          <w:rFonts w:ascii="Times New Roman" w:eastAsia="Times New Roman" w:hAnsi="Times New Roman" w:cs="Times New Roman"/>
          <w:sz w:val="28"/>
          <w:szCs w:val="28"/>
          <w:lang w:val="uk-UA"/>
        </w:rPr>
        <w:t>Економічний ефект:</w:t>
      </w:r>
      <w:r>
        <w:rPr>
          <w:rFonts w:ascii="Times New Roman" w:eastAsia="Times New Roman" w:hAnsi="Times New Roman" w:cs="Times New Roman"/>
          <w:sz w:val="28"/>
          <w:szCs w:val="28"/>
          <w:lang w:val="uk-UA"/>
        </w:rPr>
        <w:t xml:space="preserve"> з</w:t>
      </w:r>
      <w:r w:rsidRPr="00AC02D7">
        <w:rPr>
          <w:rFonts w:ascii="Times New Roman" w:eastAsia="Times New Roman" w:hAnsi="Times New Roman" w:cs="Times New Roman"/>
          <w:sz w:val="28"/>
          <w:szCs w:val="28"/>
          <w:lang w:val="uk-UA"/>
        </w:rPr>
        <w:t>алучення обігових коштів у розмірі</w:t>
      </w:r>
      <w:r w:rsidR="00C214CB">
        <w:rPr>
          <w:rFonts w:ascii="Times New Roman" w:eastAsia="Times New Roman" w:hAnsi="Times New Roman" w:cs="Times New Roman"/>
          <w:sz w:val="28"/>
          <w:szCs w:val="28"/>
          <w:lang w:val="uk-UA"/>
        </w:rPr>
        <w:t xml:space="preserve"> </w:t>
      </w:r>
      <w:r w:rsidR="004368BE">
        <w:rPr>
          <w:rFonts w:ascii="Times New Roman" w:eastAsia="Times New Roman" w:hAnsi="Times New Roman" w:cs="Times New Roman"/>
          <w:sz w:val="28"/>
          <w:szCs w:val="28"/>
          <w:lang w:val="uk-UA"/>
        </w:rPr>
        <w:t>–</w:t>
      </w:r>
      <w:r w:rsidR="00C214CB">
        <w:rPr>
          <w:rFonts w:ascii="Times New Roman" w:eastAsia="Times New Roman" w:hAnsi="Times New Roman" w:cs="Times New Roman"/>
          <w:sz w:val="28"/>
          <w:szCs w:val="28"/>
          <w:lang w:val="uk-UA"/>
        </w:rPr>
        <w:t xml:space="preserve"> </w:t>
      </w:r>
      <w:r w:rsidR="004368BE">
        <w:rPr>
          <w:rFonts w:ascii="Times New Roman" w:eastAsia="Times New Roman" w:hAnsi="Times New Roman" w:cs="Times New Roman"/>
          <w:sz w:val="28"/>
          <w:szCs w:val="28"/>
          <w:lang w:val="uk-UA"/>
        </w:rPr>
        <w:t>5 695</w:t>
      </w:r>
      <w:r w:rsidR="00C214CB">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мл</w:t>
      </w:r>
      <w:r w:rsidR="00C214CB">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w:t>
      </w:r>
      <w:r w:rsidRPr="00AC02D7">
        <w:rPr>
          <w:rFonts w:ascii="Times New Roman" w:eastAsia="Times New Roman" w:hAnsi="Times New Roman" w:cs="Times New Roman"/>
          <w:sz w:val="28"/>
          <w:szCs w:val="28"/>
          <w:lang w:val="uk-UA"/>
        </w:rPr>
        <w:t xml:space="preserve"> грн</w:t>
      </w:r>
      <w:r>
        <w:rPr>
          <w:rFonts w:ascii="Times New Roman" w:eastAsia="Times New Roman" w:hAnsi="Times New Roman" w:cs="Times New Roman"/>
          <w:sz w:val="28"/>
          <w:szCs w:val="28"/>
          <w:lang w:val="uk-UA"/>
        </w:rPr>
        <w:t>., з</w:t>
      </w:r>
      <w:r w:rsidRPr="00AC02D7">
        <w:rPr>
          <w:rFonts w:ascii="Times New Roman" w:eastAsia="Times New Roman" w:hAnsi="Times New Roman" w:cs="Times New Roman"/>
          <w:sz w:val="28"/>
          <w:szCs w:val="28"/>
          <w:lang w:val="uk-UA"/>
        </w:rPr>
        <w:t>ниження ризиків неплат</w:t>
      </w:r>
      <w:r w:rsidR="00424359">
        <w:rPr>
          <w:rFonts w:ascii="Times New Roman" w:eastAsia="Times New Roman" w:hAnsi="Times New Roman" w:cs="Times New Roman"/>
          <w:sz w:val="28"/>
          <w:szCs w:val="28"/>
          <w:lang w:val="uk-UA"/>
        </w:rPr>
        <w:t>оспроможності</w:t>
      </w:r>
      <w:r w:rsidRPr="00AC02D7">
        <w:rPr>
          <w:rFonts w:ascii="Times New Roman" w:eastAsia="Times New Roman" w:hAnsi="Times New Roman" w:cs="Times New Roman"/>
          <w:sz w:val="28"/>
          <w:szCs w:val="28"/>
          <w:lang w:val="uk-UA"/>
        </w:rPr>
        <w:t xml:space="preserve"> та простроченої заборгованості</w:t>
      </w:r>
      <w:r>
        <w:rPr>
          <w:rFonts w:ascii="Times New Roman" w:eastAsia="Times New Roman" w:hAnsi="Times New Roman" w:cs="Times New Roman"/>
          <w:sz w:val="28"/>
          <w:szCs w:val="28"/>
          <w:lang w:val="uk-UA"/>
        </w:rPr>
        <w:t>, п</w:t>
      </w:r>
      <w:r w:rsidRPr="00AC02D7">
        <w:rPr>
          <w:rFonts w:ascii="Times New Roman" w:eastAsia="Times New Roman" w:hAnsi="Times New Roman" w:cs="Times New Roman"/>
          <w:sz w:val="28"/>
          <w:szCs w:val="28"/>
          <w:lang w:val="uk-UA"/>
        </w:rPr>
        <w:t>ідвищення ліквідності та фінансової стійкості компанії</w:t>
      </w:r>
      <w:r w:rsidR="00931EAC">
        <w:rPr>
          <w:rFonts w:ascii="Times New Roman" w:eastAsia="Times New Roman" w:hAnsi="Times New Roman" w:cs="Times New Roman"/>
          <w:sz w:val="28"/>
          <w:szCs w:val="28"/>
          <w:lang w:val="uk-UA"/>
        </w:rPr>
        <w:t xml:space="preserve"> </w:t>
      </w:r>
      <w:r w:rsidR="00931EAC">
        <w:rPr>
          <w:rFonts w:ascii="Times New Roman" w:eastAsia="Times New Roman" w:hAnsi="Times New Roman" w:cs="Times New Roman"/>
          <w:sz w:val="28"/>
          <w:lang w:val="uk-UA"/>
        </w:rPr>
        <w:t>(додаток Д).</w:t>
      </w:r>
    </w:p>
    <w:p w14:paraId="48F51371" w14:textId="77777777" w:rsidR="00FA742F" w:rsidRPr="00AC02D7" w:rsidRDefault="00FA742F" w:rsidP="00FA742F">
      <w:pPr>
        <w:spacing w:after="0"/>
        <w:ind w:firstLine="709"/>
        <w:jc w:val="both"/>
        <w:rPr>
          <w:rFonts w:ascii="Times New Roman" w:eastAsia="Times New Roman" w:hAnsi="Times New Roman" w:cs="Times New Roman"/>
          <w:sz w:val="28"/>
          <w:szCs w:val="28"/>
          <w:lang w:val="uk-UA"/>
        </w:rPr>
      </w:pPr>
      <w:r w:rsidRPr="00AC02D7">
        <w:rPr>
          <w:rFonts w:ascii="Times New Roman" w:eastAsia="Times New Roman" w:hAnsi="Times New Roman" w:cs="Times New Roman"/>
          <w:sz w:val="28"/>
          <w:szCs w:val="28"/>
          <w:lang w:val="uk-UA"/>
        </w:rPr>
        <w:t>Організаційний ефект:</w:t>
      </w:r>
      <w:r>
        <w:rPr>
          <w:rFonts w:ascii="Times New Roman" w:eastAsia="Times New Roman" w:hAnsi="Times New Roman" w:cs="Times New Roman"/>
          <w:sz w:val="28"/>
          <w:szCs w:val="28"/>
          <w:lang w:val="uk-UA"/>
        </w:rPr>
        <w:t xml:space="preserve"> о</w:t>
      </w:r>
      <w:r w:rsidRPr="00AC02D7">
        <w:rPr>
          <w:rFonts w:ascii="Times New Roman" w:eastAsia="Times New Roman" w:hAnsi="Times New Roman" w:cs="Times New Roman"/>
          <w:sz w:val="28"/>
          <w:szCs w:val="28"/>
          <w:lang w:val="uk-UA"/>
        </w:rPr>
        <w:t>птимізація управління дебіторською заборгованістю</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прискорення обігу коштів та інкасації боргів</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зниження витрат на утримання власних служб збору боргів</w:t>
      </w:r>
      <w:r>
        <w:rPr>
          <w:rFonts w:ascii="Times New Roman" w:eastAsia="Times New Roman" w:hAnsi="Times New Roman" w:cs="Times New Roman"/>
          <w:sz w:val="28"/>
          <w:szCs w:val="28"/>
          <w:lang w:val="uk-UA"/>
        </w:rPr>
        <w:t>.</w:t>
      </w:r>
    </w:p>
    <w:p w14:paraId="7CF7C145" w14:textId="77777777" w:rsidR="00FA742F" w:rsidRPr="00AC02D7" w:rsidRDefault="00FA742F" w:rsidP="00FA742F">
      <w:pPr>
        <w:spacing w:after="0"/>
        <w:ind w:firstLine="709"/>
        <w:jc w:val="both"/>
        <w:rPr>
          <w:rFonts w:ascii="Times New Roman" w:eastAsia="Times New Roman" w:hAnsi="Times New Roman" w:cs="Times New Roman"/>
          <w:sz w:val="28"/>
          <w:szCs w:val="28"/>
          <w:lang w:val="uk-UA"/>
        </w:rPr>
      </w:pPr>
      <w:r w:rsidRPr="00AC02D7">
        <w:rPr>
          <w:rFonts w:ascii="Times New Roman" w:eastAsia="Times New Roman" w:hAnsi="Times New Roman" w:cs="Times New Roman"/>
          <w:sz w:val="28"/>
          <w:szCs w:val="28"/>
          <w:lang w:val="uk-UA"/>
        </w:rPr>
        <w:t>Соціальний ефект:</w:t>
      </w:r>
      <w:r>
        <w:rPr>
          <w:rFonts w:ascii="Times New Roman" w:eastAsia="Times New Roman" w:hAnsi="Times New Roman" w:cs="Times New Roman"/>
          <w:sz w:val="28"/>
          <w:szCs w:val="28"/>
          <w:lang w:val="uk-UA"/>
        </w:rPr>
        <w:t xml:space="preserve"> з</w:t>
      </w:r>
      <w:r w:rsidRPr="00AC02D7">
        <w:rPr>
          <w:rFonts w:ascii="Times New Roman" w:eastAsia="Times New Roman" w:hAnsi="Times New Roman" w:cs="Times New Roman"/>
          <w:sz w:val="28"/>
          <w:szCs w:val="28"/>
          <w:lang w:val="uk-UA"/>
        </w:rPr>
        <w:t>береження робочих місць та стабільної заробітної плати</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підвищення лояльності постачальників та партнерів</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покращення іміджу компанії на ринку</w:t>
      </w:r>
      <w:r>
        <w:rPr>
          <w:rFonts w:ascii="Times New Roman" w:eastAsia="Times New Roman" w:hAnsi="Times New Roman" w:cs="Times New Roman"/>
          <w:sz w:val="28"/>
          <w:szCs w:val="28"/>
          <w:lang w:val="uk-UA"/>
        </w:rPr>
        <w:t>.</w:t>
      </w:r>
    </w:p>
    <w:p w14:paraId="47BE717F" w14:textId="77777777" w:rsidR="00FA742F" w:rsidRDefault="00FA742F" w:rsidP="00FA742F">
      <w:pPr>
        <w:spacing w:after="0"/>
        <w:ind w:firstLine="709"/>
        <w:jc w:val="both"/>
        <w:rPr>
          <w:rFonts w:ascii="Times New Roman" w:eastAsia="Times New Roman" w:hAnsi="Times New Roman" w:cs="Times New Roman"/>
          <w:sz w:val="28"/>
          <w:szCs w:val="28"/>
          <w:lang w:val="uk-UA"/>
        </w:rPr>
      </w:pPr>
      <w:r w:rsidRPr="00AC02D7">
        <w:rPr>
          <w:rFonts w:ascii="Times New Roman" w:eastAsia="Times New Roman" w:hAnsi="Times New Roman" w:cs="Times New Roman"/>
          <w:sz w:val="28"/>
          <w:szCs w:val="28"/>
          <w:lang w:val="uk-UA"/>
        </w:rPr>
        <w:t>Організаційний механізм включає:</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ABC-аналіз дебіторської заборгованості</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відбір проблемних боргів для факторингу</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відправка комерційних пропозицій факторинговим компаніям</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порівняння умов та вибір оптимальної пропозиції</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укладання договору факторингу</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розподіл залучених коштів</w:t>
      </w:r>
      <w:r>
        <w:rPr>
          <w:rFonts w:ascii="Times New Roman" w:eastAsia="Times New Roman" w:hAnsi="Times New Roman" w:cs="Times New Roman"/>
          <w:sz w:val="28"/>
          <w:szCs w:val="28"/>
          <w:lang w:val="uk-UA"/>
        </w:rPr>
        <w:t xml:space="preserve">, </w:t>
      </w:r>
      <w:r w:rsidRPr="00AC02D7">
        <w:rPr>
          <w:rFonts w:ascii="Times New Roman" w:eastAsia="Times New Roman" w:hAnsi="Times New Roman" w:cs="Times New Roman"/>
          <w:sz w:val="28"/>
          <w:szCs w:val="28"/>
          <w:lang w:val="uk-UA"/>
        </w:rPr>
        <w:t>завершення транзакції та отримання залишку боргу</w:t>
      </w:r>
      <w:r>
        <w:rPr>
          <w:rFonts w:ascii="Times New Roman" w:eastAsia="Times New Roman" w:hAnsi="Times New Roman" w:cs="Times New Roman"/>
          <w:sz w:val="28"/>
          <w:szCs w:val="28"/>
          <w:lang w:val="uk-UA"/>
        </w:rPr>
        <w:t>.</w:t>
      </w:r>
      <w:bookmarkEnd w:id="32"/>
    </w:p>
    <w:p w14:paraId="7014F1AC" w14:textId="77777777" w:rsidR="002E72FD" w:rsidRPr="002E72FD" w:rsidRDefault="002E72FD" w:rsidP="002E72FD">
      <w:pPr>
        <w:spacing w:after="0" w:line="240" w:lineRule="auto"/>
        <w:ind w:firstLine="709"/>
        <w:jc w:val="both"/>
        <w:rPr>
          <w:rFonts w:ascii="Times New Roman" w:eastAsia="Times New Roman" w:hAnsi="Times New Roman" w:cs="Times New Roman"/>
          <w:sz w:val="28"/>
          <w:szCs w:val="28"/>
          <w:lang w:val="uk-UA"/>
        </w:rPr>
      </w:pPr>
      <w:r w:rsidRPr="002E72FD">
        <w:rPr>
          <w:rFonts w:ascii="Times New Roman" w:eastAsia="Times New Roman" w:hAnsi="Times New Roman" w:cs="Times New Roman"/>
          <w:sz w:val="28"/>
          <w:szCs w:val="28"/>
          <w:lang w:val="uk-UA"/>
        </w:rPr>
        <w:lastRenderedPageBreak/>
        <w:t>Реалізація запропонованого в дослідженні комплексу антикризових заходів для ПАТ "АМКР" за чотирма стратегічними напрямами дозволить досягти синергетичного економічного ефекту в розмірі 20,6 млрд грн.</w:t>
      </w:r>
      <w:r w:rsidR="00C40A47">
        <w:rPr>
          <w:rFonts w:ascii="Times New Roman" w:eastAsia="Times New Roman" w:hAnsi="Times New Roman" w:cs="Times New Roman"/>
          <w:sz w:val="28"/>
          <w:szCs w:val="28"/>
          <w:lang w:val="uk-UA"/>
        </w:rPr>
        <w:t xml:space="preserve"> (додаток Д).</w:t>
      </w:r>
    </w:p>
    <w:p w14:paraId="6E8839D5" w14:textId="77777777" w:rsidR="002E72FD" w:rsidRPr="002E72FD" w:rsidRDefault="002E72FD" w:rsidP="002E72FD">
      <w:pPr>
        <w:spacing w:after="0" w:line="240" w:lineRule="auto"/>
        <w:ind w:firstLine="709"/>
        <w:jc w:val="both"/>
        <w:rPr>
          <w:rFonts w:ascii="Times New Roman" w:eastAsia="Times New Roman" w:hAnsi="Times New Roman" w:cs="Times New Roman"/>
          <w:sz w:val="28"/>
          <w:szCs w:val="28"/>
          <w:lang w:val="uk-UA"/>
        </w:rPr>
      </w:pPr>
      <w:r w:rsidRPr="002E72FD">
        <w:rPr>
          <w:rFonts w:ascii="Times New Roman" w:eastAsia="Times New Roman" w:hAnsi="Times New Roman" w:cs="Times New Roman"/>
          <w:sz w:val="28"/>
          <w:szCs w:val="28"/>
          <w:lang w:val="uk-UA"/>
        </w:rPr>
        <w:t>По-перше, залучення інвестиційного кредиту ЄБРР сприятиме модернізації виробництва, що, в свою чергу, підвищить продуктивність праці та конкурентоспроможність підприємства.</w:t>
      </w:r>
    </w:p>
    <w:p w14:paraId="7B1FA560" w14:textId="77777777" w:rsidR="002E72FD" w:rsidRPr="002E72FD" w:rsidRDefault="002E72FD" w:rsidP="002E72FD">
      <w:pPr>
        <w:spacing w:after="0" w:line="240" w:lineRule="auto"/>
        <w:ind w:firstLine="709"/>
        <w:jc w:val="both"/>
        <w:rPr>
          <w:rFonts w:ascii="Times New Roman" w:eastAsia="Times New Roman" w:hAnsi="Times New Roman" w:cs="Times New Roman"/>
          <w:sz w:val="28"/>
          <w:szCs w:val="28"/>
          <w:lang w:val="uk-UA"/>
        </w:rPr>
      </w:pPr>
      <w:r w:rsidRPr="002E72FD">
        <w:rPr>
          <w:rFonts w:ascii="Times New Roman" w:eastAsia="Times New Roman" w:hAnsi="Times New Roman" w:cs="Times New Roman"/>
          <w:sz w:val="28"/>
          <w:szCs w:val="28"/>
          <w:lang w:val="uk-UA"/>
        </w:rPr>
        <w:t>По-друге, впровадження запропонованих енергоощадних технологій дасть змогу оптимізувати витрати на енергоресурси та покращити фінансові результати компанії.</w:t>
      </w:r>
    </w:p>
    <w:p w14:paraId="08183D9A" w14:textId="77777777" w:rsidR="002E72FD" w:rsidRPr="002E72FD" w:rsidRDefault="002E72FD" w:rsidP="002E72FD">
      <w:pPr>
        <w:spacing w:after="0" w:line="240" w:lineRule="auto"/>
        <w:ind w:firstLine="709"/>
        <w:jc w:val="both"/>
        <w:rPr>
          <w:rFonts w:ascii="Times New Roman" w:eastAsia="Times New Roman" w:hAnsi="Times New Roman" w:cs="Times New Roman"/>
          <w:sz w:val="28"/>
          <w:szCs w:val="28"/>
          <w:lang w:val="uk-UA"/>
        </w:rPr>
      </w:pPr>
      <w:r w:rsidRPr="002E72FD">
        <w:rPr>
          <w:rFonts w:ascii="Times New Roman" w:eastAsia="Times New Roman" w:hAnsi="Times New Roman" w:cs="Times New Roman"/>
          <w:sz w:val="28"/>
          <w:szCs w:val="28"/>
          <w:lang w:val="uk-UA"/>
        </w:rPr>
        <w:t>По-третє, удосконалення логістичних схем експорту через створення "прикордонних портів" і торговельних майданчиків збільшить обсяги реалізації металопродукції як на зовнішніх, так і на внутрішніх ринках.</w:t>
      </w:r>
    </w:p>
    <w:p w14:paraId="24FFFBD0" w14:textId="77777777" w:rsidR="002E72FD" w:rsidRPr="002E72FD" w:rsidRDefault="002E72FD" w:rsidP="002E72FD">
      <w:pPr>
        <w:spacing w:after="0" w:line="240" w:lineRule="auto"/>
        <w:ind w:firstLine="709"/>
        <w:jc w:val="both"/>
        <w:rPr>
          <w:rFonts w:ascii="Times New Roman" w:eastAsia="Times New Roman" w:hAnsi="Times New Roman" w:cs="Times New Roman"/>
          <w:sz w:val="28"/>
          <w:szCs w:val="28"/>
          <w:lang w:val="uk-UA"/>
        </w:rPr>
      </w:pPr>
      <w:r w:rsidRPr="002E72FD">
        <w:rPr>
          <w:rFonts w:ascii="Times New Roman" w:eastAsia="Times New Roman" w:hAnsi="Times New Roman" w:cs="Times New Roman"/>
          <w:sz w:val="28"/>
          <w:szCs w:val="28"/>
          <w:lang w:val="uk-UA"/>
        </w:rPr>
        <w:t>По-четверте, залучення коштів через факторинг дебіторської заборгованості дасть змогу швидко вирішити проблему нестачі обігових коштів та уникнути фінансової кризи.</w:t>
      </w:r>
    </w:p>
    <w:p w14:paraId="0B6C1D41" w14:textId="77777777" w:rsidR="002E72FD" w:rsidRDefault="002E72FD" w:rsidP="002E72FD">
      <w:pPr>
        <w:spacing w:after="0" w:line="240" w:lineRule="auto"/>
        <w:ind w:firstLine="709"/>
        <w:jc w:val="both"/>
        <w:rPr>
          <w:rFonts w:ascii="Times New Roman" w:eastAsia="Times New Roman" w:hAnsi="Times New Roman" w:cs="Times New Roman"/>
          <w:sz w:val="28"/>
          <w:szCs w:val="28"/>
          <w:lang w:val="uk-UA"/>
        </w:rPr>
      </w:pPr>
      <w:r w:rsidRPr="002E72FD">
        <w:rPr>
          <w:rFonts w:ascii="Times New Roman" w:eastAsia="Times New Roman" w:hAnsi="Times New Roman" w:cs="Times New Roman"/>
          <w:sz w:val="28"/>
          <w:szCs w:val="28"/>
          <w:lang w:val="uk-UA"/>
        </w:rPr>
        <w:t>Отже, синергетичний ефект від комплексу запропонованих заходів надасть потужний поштовх для відновлення прибутковості, ліквідності та стійкості ПАТ "АрселорМіттал Кривий Ріг" в умовах кризи. Це матиме вирішальне значення для успішної реалізації стратегії антикризового управління компанією.</w:t>
      </w:r>
    </w:p>
    <w:p w14:paraId="4DAAED0D" w14:textId="77777777" w:rsidR="002E72FD" w:rsidRPr="002E72FD" w:rsidRDefault="00C40A47" w:rsidP="002E72FD">
      <w:pPr>
        <w:spacing w:after="0" w:line="240" w:lineRule="auto"/>
        <w:ind w:firstLine="709"/>
        <w:jc w:val="both"/>
        <w:rPr>
          <w:rFonts w:ascii="Times New Roman" w:eastAsia="Times New Roman" w:hAnsi="Times New Roman" w:cs="Times New Roman"/>
          <w:sz w:val="28"/>
          <w:szCs w:val="28"/>
          <w:lang w:val="uk-UA"/>
        </w:rPr>
      </w:pPr>
      <w:r w:rsidRPr="00C40A47">
        <w:rPr>
          <w:rFonts w:ascii="Times New Roman" w:eastAsia="Times New Roman" w:hAnsi="Times New Roman" w:cs="Times New Roman"/>
          <w:sz w:val="28"/>
          <w:szCs w:val="28"/>
          <w:lang w:val="uk-UA"/>
        </w:rPr>
        <w:t>Однак враховуючи непередбачуваність впливу триваючої війни на ключові припущення, на яких ґрунтуються стратегії управління, виникає велика ступінь невизначеності. Ця неоднозначність створює перспективу можливих викликів для підприємства в майбутньому, зокрема, у здатності до реалізації активів та вчасного виконання фінансових зобов'язань.</w:t>
      </w:r>
    </w:p>
    <w:p w14:paraId="3154EC88" w14:textId="77777777" w:rsidR="00424359" w:rsidRDefault="00424359" w:rsidP="00FA742F">
      <w:pPr>
        <w:spacing w:after="0"/>
        <w:ind w:firstLine="709"/>
        <w:jc w:val="both"/>
        <w:rPr>
          <w:rFonts w:ascii="Times New Roman" w:eastAsia="Times New Roman" w:hAnsi="Times New Roman" w:cs="Times New Roman"/>
          <w:sz w:val="28"/>
          <w:szCs w:val="28"/>
          <w:lang w:val="uk-UA"/>
        </w:rPr>
      </w:pPr>
    </w:p>
    <w:p w14:paraId="2202EAF6" w14:textId="77777777" w:rsidR="00BD1F05" w:rsidRPr="00BD1F05" w:rsidRDefault="00BD1F05" w:rsidP="00FC7262">
      <w:pPr>
        <w:spacing w:after="0" w:line="240" w:lineRule="auto"/>
        <w:ind w:firstLine="709"/>
        <w:jc w:val="both"/>
        <w:rPr>
          <w:rFonts w:ascii="Times New Roman" w:eastAsia="Times New Roman" w:hAnsi="Times New Roman" w:cs="Times New Roman"/>
          <w:sz w:val="28"/>
          <w:lang w:val="uk-UA"/>
        </w:rPr>
      </w:pPr>
    </w:p>
    <w:bookmarkEnd w:id="31"/>
    <w:p w14:paraId="64FC92C4" w14:textId="77777777" w:rsidR="007A316B" w:rsidRPr="00042924" w:rsidRDefault="007A316B" w:rsidP="006610A7">
      <w:pPr>
        <w:spacing w:after="0" w:line="240" w:lineRule="auto"/>
        <w:ind w:firstLine="709"/>
        <w:jc w:val="both"/>
        <w:rPr>
          <w:rFonts w:ascii="Times New Roman" w:eastAsia="Times New Roman" w:hAnsi="Times New Roman" w:cs="Times New Roman"/>
          <w:b/>
          <w:bCs/>
          <w:sz w:val="28"/>
          <w:lang w:val="uk-UA"/>
        </w:rPr>
      </w:pPr>
      <w:r w:rsidRPr="00042924">
        <w:rPr>
          <w:rFonts w:ascii="Times New Roman" w:eastAsia="Times New Roman" w:hAnsi="Times New Roman" w:cs="Times New Roman"/>
          <w:b/>
          <w:bCs/>
          <w:sz w:val="28"/>
          <w:lang w:val="uk-UA"/>
        </w:rPr>
        <w:br w:type="page"/>
      </w:r>
    </w:p>
    <w:p w14:paraId="48975A45" w14:textId="77777777" w:rsidR="00D54A70" w:rsidRPr="00EB73EA" w:rsidRDefault="007A316B" w:rsidP="00B70C70">
      <w:pPr>
        <w:spacing w:after="0" w:line="240" w:lineRule="auto"/>
        <w:jc w:val="center"/>
        <w:rPr>
          <w:rFonts w:ascii="Times New Roman" w:eastAsia="Times New Roman" w:hAnsi="Times New Roman" w:cs="Times New Roman"/>
          <w:b/>
          <w:sz w:val="28"/>
          <w:lang w:val="uk-UA"/>
        </w:rPr>
      </w:pPr>
      <w:r w:rsidRPr="00EB73EA">
        <w:rPr>
          <w:rFonts w:ascii="Times New Roman" w:eastAsia="Times New Roman" w:hAnsi="Times New Roman" w:cs="Times New Roman"/>
          <w:b/>
          <w:sz w:val="28"/>
          <w:lang w:val="uk-UA"/>
        </w:rPr>
        <w:lastRenderedPageBreak/>
        <w:t>СПИСОК</w:t>
      </w:r>
      <w:r w:rsidRPr="00EB73EA">
        <w:rPr>
          <w:rFonts w:ascii="Times New Roman" w:eastAsia="Times New Roman" w:hAnsi="Times New Roman" w:cs="Times New Roman"/>
          <w:b/>
          <w:spacing w:val="-3"/>
          <w:sz w:val="28"/>
          <w:lang w:val="uk-UA"/>
        </w:rPr>
        <w:t xml:space="preserve"> </w:t>
      </w:r>
      <w:r w:rsidRPr="00EB73EA">
        <w:rPr>
          <w:rFonts w:ascii="Times New Roman" w:eastAsia="Times New Roman" w:hAnsi="Times New Roman" w:cs="Times New Roman"/>
          <w:b/>
          <w:sz w:val="28"/>
          <w:lang w:val="uk-UA"/>
        </w:rPr>
        <w:t>ВИКОРИСТАНИХ</w:t>
      </w:r>
      <w:r w:rsidRPr="00EB73EA">
        <w:rPr>
          <w:rFonts w:ascii="Times New Roman" w:eastAsia="Times New Roman" w:hAnsi="Times New Roman" w:cs="Times New Roman"/>
          <w:b/>
          <w:spacing w:val="-7"/>
          <w:sz w:val="28"/>
          <w:lang w:val="uk-UA"/>
        </w:rPr>
        <w:t xml:space="preserve"> </w:t>
      </w:r>
      <w:r w:rsidRPr="00EB73EA">
        <w:rPr>
          <w:rFonts w:ascii="Times New Roman" w:eastAsia="Times New Roman" w:hAnsi="Times New Roman" w:cs="Times New Roman"/>
          <w:b/>
          <w:sz w:val="28"/>
          <w:lang w:val="uk-UA"/>
        </w:rPr>
        <w:t>ДЖЕРЕЛ</w:t>
      </w:r>
    </w:p>
    <w:p w14:paraId="716EE693" w14:textId="77777777" w:rsidR="00B70C70" w:rsidRPr="00042924" w:rsidRDefault="00B70C70" w:rsidP="00B70C70">
      <w:pPr>
        <w:spacing w:after="0" w:line="240" w:lineRule="auto"/>
        <w:jc w:val="center"/>
        <w:rPr>
          <w:rFonts w:ascii="Times New Roman" w:eastAsia="Times New Roman" w:hAnsi="Times New Roman" w:cs="Times New Roman"/>
          <w:sz w:val="28"/>
          <w:lang w:val="uk-UA"/>
        </w:rPr>
      </w:pPr>
    </w:p>
    <w:p w14:paraId="4690899E" w14:textId="77777777" w:rsidR="00152589" w:rsidRPr="00042924" w:rsidRDefault="00152589"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Терещенко О.О. Фінансова санація та банкрутство підприємств: навч. посіб. К.: КНЕУ, 2000. 412 с.</w:t>
      </w:r>
    </w:p>
    <w:p w14:paraId="31FC41C0" w14:textId="77777777" w:rsidR="00152589" w:rsidRPr="00042924" w:rsidRDefault="00C62773"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Бланк І. А. Основи фінансового менеджменту. Серія "Бібліотека фінансового менеджера". К.: Ніка-Центр, 1999. Вип. 3. 512 с</w:t>
      </w:r>
      <w:r w:rsidR="00152589" w:rsidRPr="00042924">
        <w:rPr>
          <w:rFonts w:ascii="Times New Roman" w:hAnsi="Times New Roman" w:cs="Times New Roman"/>
          <w:sz w:val="28"/>
          <w:szCs w:val="28"/>
          <w:lang w:val="uk-UA"/>
        </w:rPr>
        <w:t>.</w:t>
      </w:r>
    </w:p>
    <w:p w14:paraId="357323F0" w14:textId="77777777" w:rsidR="000125BA" w:rsidRPr="00042924" w:rsidRDefault="000125BA"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Яблонська А.С. Діяльність арбітражних керуючих: нормативне регулювання та необхідність законодавчого вдосконалення</w:t>
      </w:r>
      <w:r w:rsidR="00D32A77" w:rsidRPr="00042924">
        <w:rPr>
          <w:rFonts w:ascii="Times New Roman" w:hAnsi="Times New Roman" w:cs="Times New Roman"/>
          <w:sz w:val="28"/>
          <w:szCs w:val="28"/>
          <w:lang w:val="uk-UA"/>
        </w:rPr>
        <w:t xml:space="preserve"> </w:t>
      </w:r>
      <w:r w:rsidR="009A6C79" w:rsidRPr="00042924">
        <w:rPr>
          <w:rFonts w:ascii="Times New Roman" w:hAnsi="Times New Roman" w:cs="Times New Roman"/>
          <w:sz w:val="28"/>
          <w:szCs w:val="28"/>
          <w:lang w:val="uk-UA"/>
        </w:rPr>
        <w:t>[Електронний ресурс]</w:t>
      </w:r>
      <w:r w:rsidR="00D32A77"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 xml:space="preserve"> URL:</w:t>
      </w:r>
      <w:r w:rsidR="007B6ED0" w:rsidRPr="00042924">
        <w:rPr>
          <w:rFonts w:ascii="Times New Roman" w:hAnsi="Times New Roman" w:cs="Times New Roman"/>
          <w:sz w:val="28"/>
          <w:szCs w:val="28"/>
          <w:lang w:val="uk-UA"/>
        </w:rPr>
        <w:t xml:space="preserve"> </w:t>
      </w:r>
      <w:r w:rsidRPr="00035CAD">
        <w:rPr>
          <w:rFonts w:ascii="Times New Roman" w:hAnsi="Times New Roman" w:cs="Times New Roman"/>
          <w:color w:val="0070C0"/>
          <w:sz w:val="28"/>
          <w:szCs w:val="28"/>
          <w:u w:val="single"/>
          <w:lang w:val="uk-UA"/>
        </w:rPr>
        <w:t>http://www.minjust. gov.ua/?do=d&amp;did=4793&amp;sid=comments</w:t>
      </w:r>
    </w:p>
    <w:p w14:paraId="1D368914" w14:textId="77777777" w:rsidR="00A80AEE" w:rsidRPr="00042924" w:rsidRDefault="00A80AEE" w:rsidP="00294118">
      <w:pPr>
        <w:pStyle w:val="a3"/>
        <w:numPr>
          <w:ilvl w:val="0"/>
          <w:numId w:val="1"/>
        </w:numPr>
        <w:spacing w:after="0"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Пластун О.Л. Визначення сутності поняття «банкрутство» в сучасній науковій літературі. </w:t>
      </w:r>
      <w:r w:rsidRPr="00514056">
        <w:rPr>
          <w:rFonts w:ascii="Times New Roman" w:hAnsi="Times New Roman" w:cs="Times New Roman"/>
          <w:i/>
          <w:sz w:val="28"/>
          <w:szCs w:val="28"/>
          <w:lang w:val="uk-UA"/>
        </w:rPr>
        <w:t>Вісник Житомирського державного технологічного університету</w:t>
      </w:r>
      <w:r w:rsidRPr="00042924">
        <w:rPr>
          <w:rFonts w:ascii="Times New Roman" w:hAnsi="Times New Roman" w:cs="Times New Roman"/>
          <w:sz w:val="28"/>
          <w:szCs w:val="28"/>
          <w:lang w:val="uk-UA"/>
        </w:rPr>
        <w:t>. 2005. № 2. С. 256–261.</w:t>
      </w:r>
    </w:p>
    <w:p w14:paraId="50358467" w14:textId="77777777" w:rsidR="00A80AEE" w:rsidRPr="00042924" w:rsidRDefault="00AA7E30"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Голощапов Н. А. Словник-довідник аудитора; під. ред. В.І. Осипова. М.: Іспит, 1999. 384 с</w:t>
      </w:r>
      <w:r w:rsidR="00A80AEE" w:rsidRPr="00042924">
        <w:rPr>
          <w:rFonts w:ascii="Times New Roman" w:hAnsi="Times New Roman" w:cs="Times New Roman"/>
          <w:sz w:val="28"/>
          <w:szCs w:val="28"/>
          <w:lang w:val="uk-UA"/>
        </w:rPr>
        <w:t>.</w:t>
      </w:r>
    </w:p>
    <w:p w14:paraId="30254FD7" w14:textId="77777777" w:rsidR="00AD48BD" w:rsidRPr="00042924" w:rsidRDefault="00AD48BD"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Базілінська О. Я. Фінансовий аналіз: теорія і практика: навч. посіб. К.: ЦУЛ, 2009. 328 с.</w:t>
      </w:r>
    </w:p>
    <w:p w14:paraId="2274BE94" w14:textId="77777777" w:rsidR="00AD48BD" w:rsidRPr="00042924" w:rsidRDefault="00AD48BD"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Андрущак Є.М. Удосконалення інституту банкрутства. </w:t>
      </w:r>
      <w:r w:rsidRPr="00760865">
        <w:rPr>
          <w:rFonts w:ascii="Times New Roman" w:hAnsi="Times New Roman" w:cs="Times New Roman"/>
          <w:i/>
          <w:sz w:val="28"/>
          <w:szCs w:val="28"/>
          <w:lang w:val="uk-UA"/>
        </w:rPr>
        <w:t>Фінанси України</w:t>
      </w:r>
      <w:r w:rsidRPr="00042924">
        <w:rPr>
          <w:rFonts w:ascii="Times New Roman" w:hAnsi="Times New Roman" w:cs="Times New Roman"/>
          <w:sz w:val="28"/>
          <w:szCs w:val="28"/>
          <w:lang w:val="uk-UA"/>
        </w:rPr>
        <w:t>. 2001. № 9. С. 29–37.</w:t>
      </w:r>
      <w:r w:rsidR="00760865">
        <w:rPr>
          <w:rFonts w:ascii="Times New Roman" w:hAnsi="Times New Roman" w:cs="Times New Roman"/>
          <w:sz w:val="28"/>
          <w:szCs w:val="28"/>
          <w:lang w:val="uk-UA"/>
        </w:rPr>
        <w:t xml:space="preserve"> </w:t>
      </w:r>
    </w:p>
    <w:p w14:paraId="73BFF493" w14:textId="77777777" w:rsidR="00446A36" w:rsidRPr="00042924" w:rsidRDefault="00446A36" w:rsidP="00294118">
      <w:pPr>
        <w:pStyle w:val="a3"/>
        <w:numPr>
          <w:ilvl w:val="0"/>
          <w:numId w:val="1"/>
        </w:numPr>
        <w:spacing w:after="0"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Брелі Р., Майєрс С. Принципи корпоративних фінансів. М: Олімп-Бізнес, 2007. 2008 с.</w:t>
      </w:r>
    </w:p>
    <w:p w14:paraId="2616B02D" w14:textId="77777777" w:rsidR="002859A8" w:rsidRPr="00042924" w:rsidRDefault="00E22E5D" w:rsidP="00294118">
      <w:pPr>
        <w:pStyle w:val="a3"/>
        <w:numPr>
          <w:ilvl w:val="0"/>
          <w:numId w:val="1"/>
        </w:numPr>
        <w:spacing w:after="0"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Ляшенко Г. Банкрутство в системі державного регулювання. </w:t>
      </w:r>
      <w:r w:rsidRPr="00514056">
        <w:rPr>
          <w:rFonts w:ascii="Times New Roman" w:hAnsi="Times New Roman" w:cs="Times New Roman"/>
          <w:i/>
          <w:sz w:val="28"/>
          <w:szCs w:val="28"/>
          <w:lang w:val="uk-UA"/>
        </w:rPr>
        <w:t>Науковий вісник УкрДЛТУ</w:t>
      </w:r>
      <w:r w:rsidRPr="00042924">
        <w:rPr>
          <w:rFonts w:ascii="Times New Roman" w:hAnsi="Times New Roman" w:cs="Times New Roman"/>
          <w:sz w:val="28"/>
          <w:szCs w:val="28"/>
          <w:lang w:val="uk-UA"/>
        </w:rPr>
        <w:t>. 1999. № 10.1. С. 103–108.</w:t>
      </w:r>
    </w:p>
    <w:p w14:paraId="4F718317" w14:textId="77777777" w:rsidR="00AD48BD" w:rsidRPr="00042924" w:rsidRDefault="0035349F" w:rsidP="00294118">
      <w:pPr>
        <w:pStyle w:val="a3"/>
        <w:numPr>
          <w:ilvl w:val="0"/>
          <w:numId w:val="1"/>
        </w:numPr>
        <w:spacing w:after="0"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Рудик В.І., Великий Ю.М., Зьома О.Д. </w:t>
      </w:r>
      <w:r w:rsidR="005A1002" w:rsidRPr="00042924">
        <w:rPr>
          <w:rFonts w:ascii="Times New Roman" w:hAnsi="Times New Roman" w:cs="Times New Roman"/>
          <w:sz w:val="28"/>
          <w:szCs w:val="28"/>
          <w:lang w:val="uk-UA"/>
        </w:rPr>
        <w:t>Економічна сутність поняття «банкрутство»: причини виникнення та наслідки на підприємстві</w:t>
      </w:r>
      <w:r w:rsidR="001D7DEC" w:rsidRPr="00042924">
        <w:rPr>
          <w:rFonts w:ascii="Times New Roman" w:hAnsi="Times New Roman" w:cs="Times New Roman"/>
          <w:sz w:val="28"/>
          <w:szCs w:val="28"/>
          <w:lang w:val="uk-UA"/>
        </w:rPr>
        <w:t xml:space="preserve"> </w:t>
      </w:r>
      <w:r w:rsidR="009A6C79" w:rsidRPr="00042924">
        <w:rPr>
          <w:rFonts w:ascii="Times New Roman" w:hAnsi="Times New Roman" w:cs="Times New Roman"/>
          <w:sz w:val="28"/>
          <w:szCs w:val="28"/>
          <w:lang w:val="uk-UA"/>
        </w:rPr>
        <w:t>[Електронний ресурс]</w:t>
      </w:r>
      <w:r w:rsidR="00352CC0" w:rsidRPr="00042924">
        <w:rPr>
          <w:rFonts w:ascii="Times New Roman" w:hAnsi="Times New Roman" w:cs="Times New Roman"/>
          <w:sz w:val="28"/>
          <w:szCs w:val="28"/>
          <w:lang w:val="uk-UA"/>
        </w:rPr>
        <w:t xml:space="preserve">. </w:t>
      </w:r>
      <w:r w:rsidR="00352CC0" w:rsidRPr="00042924">
        <w:rPr>
          <w:lang w:val="uk-UA"/>
        </w:rPr>
        <w:t xml:space="preserve"> </w:t>
      </w:r>
      <w:r w:rsidR="00667E6F" w:rsidRPr="00042924">
        <w:rPr>
          <w:rFonts w:ascii="Times New Roman" w:hAnsi="Times New Roman" w:cs="Times New Roman"/>
          <w:sz w:val="28"/>
          <w:szCs w:val="28"/>
          <w:lang w:val="uk-UA"/>
        </w:rPr>
        <w:t>URL:</w:t>
      </w:r>
      <w:r w:rsidR="00352CC0" w:rsidRPr="00042924">
        <w:rPr>
          <w:rFonts w:ascii="Times New Roman" w:hAnsi="Times New Roman" w:cs="Times New Roman"/>
          <w:sz w:val="28"/>
          <w:szCs w:val="28"/>
          <w:lang w:val="uk-UA"/>
        </w:rPr>
        <w:t xml:space="preserve"> </w:t>
      </w:r>
      <w:hyperlink r:id="rId18" w:history="1">
        <w:r w:rsidR="00352CC0" w:rsidRPr="00042924">
          <w:rPr>
            <w:rStyle w:val="a9"/>
            <w:rFonts w:ascii="Times New Roman" w:hAnsi="Times New Roman" w:cs="Times New Roman"/>
            <w:sz w:val="28"/>
            <w:szCs w:val="28"/>
            <w:lang w:val="uk-UA"/>
          </w:rPr>
          <w:t>https://chmnu.edu.ua/wpcontent/uploads/2019/07/ Rudika-V.-I.-1.pdf</w:t>
        </w:r>
      </w:hyperlink>
    </w:p>
    <w:p w14:paraId="50BEF3E7" w14:textId="77777777" w:rsidR="00B31C8F" w:rsidRPr="00042924" w:rsidRDefault="00E131FD"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Звітність підприємств: підручник / Т.Є. Кучеренко, В.С. Уланчук, О.Г. Шайко. К.: Знання, 2008. 492 с.</w:t>
      </w:r>
    </w:p>
    <w:p w14:paraId="489FC9FF" w14:textId="77777777" w:rsidR="00271C50" w:rsidRPr="00042924" w:rsidRDefault="002B7E37"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Кодекс України з процедур банкрутства від 20.03.2023 р. № 2597-VIII</w:t>
      </w:r>
      <w:r w:rsidR="009A6C79" w:rsidRPr="00042924">
        <w:rPr>
          <w:lang w:val="uk-UA"/>
        </w:rPr>
        <w:t xml:space="preserve"> </w:t>
      </w:r>
      <w:r w:rsidR="009A6C79" w:rsidRPr="00042924">
        <w:rPr>
          <w:rFonts w:ascii="Times New Roman" w:hAnsi="Times New Roman" w:cs="Times New Roman"/>
          <w:sz w:val="28"/>
          <w:szCs w:val="28"/>
          <w:lang w:val="uk-UA"/>
        </w:rPr>
        <w:t>[Електронний ресурс]</w:t>
      </w:r>
      <w:r w:rsidR="00BE6C60">
        <w:rPr>
          <w:rFonts w:ascii="Times New Roman" w:hAnsi="Times New Roman" w:cs="Times New Roman"/>
          <w:sz w:val="28"/>
          <w:szCs w:val="28"/>
          <w:lang w:val="uk-UA"/>
        </w:rPr>
        <w:t xml:space="preserve">. </w:t>
      </w:r>
      <w:r w:rsidR="00D32A77" w:rsidRPr="00042924">
        <w:rPr>
          <w:rFonts w:ascii="Times New Roman" w:hAnsi="Times New Roman" w:cs="Times New Roman"/>
          <w:sz w:val="28"/>
          <w:szCs w:val="28"/>
          <w:lang w:val="uk-UA"/>
        </w:rPr>
        <w:t xml:space="preserve"> </w:t>
      </w:r>
      <w:r w:rsidR="00D32A77" w:rsidRPr="00042924">
        <w:rPr>
          <w:rFonts w:ascii="Times New Roman" w:hAnsi="Times New Roman" w:cs="Times New Roman"/>
          <w:color w:val="000000" w:themeColor="text1"/>
          <w:sz w:val="28"/>
          <w:szCs w:val="28"/>
          <w:lang w:val="uk-UA"/>
        </w:rPr>
        <w:t>URL:</w:t>
      </w:r>
      <w:r w:rsidR="008875A8" w:rsidRPr="00042924">
        <w:rPr>
          <w:rFonts w:ascii="Times New Roman" w:hAnsi="Times New Roman" w:cs="Times New Roman"/>
          <w:color w:val="000000" w:themeColor="text1"/>
          <w:sz w:val="28"/>
          <w:szCs w:val="28"/>
          <w:lang w:val="uk-UA"/>
        </w:rPr>
        <w:t xml:space="preserve"> </w:t>
      </w:r>
      <w:hyperlink r:id="rId19" w:anchor="Text" w:history="1">
        <w:r w:rsidR="008875A8" w:rsidRPr="00042924">
          <w:rPr>
            <w:rStyle w:val="a9"/>
            <w:rFonts w:ascii="Times New Roman" w:hAnsi="Times New Roman" w:cs="Times New Roman"/>
            <w:sz w:val="28"/>
            <w:szCs w:val="28"/>
            <w:lang w:val="uk-UA"/>
          </w:rPr>
          <w:t>https://zakon.rada.gov.ua/.../2597-19#Text</w:t>
        </w:r>
      </w:hyperlink>
      <w:r w:rsidR="008875A8" w:rsidRPr="00042924">
        <w:rPr>
          <w:rFonts w:ascii="Times New Roman" w:hAnsi="Times New Roman" w:cs="Times New Roman"/>
          <w:color w:val="000000" w:themeColor="text1"/>
          <w:sz w:val="28"/>
          <w:szCs w:val="28"/>
          <w:lang w:val="uk-UA"/>
        </w:rPr>
        <w:t xml:space="preserve"> </w:t>
      </w:r>
    </w:p>
    <w:p w14:paraId="351516C0" w14:textId="77777777" w:rsidR="00276DC8" w:rsidRPr="00042924" w:rsidRDefault="00276DC8" w:rsidP="00294118">
      <w:pPr>
        <w:pStyle w:val="a3"/>
        <w:numPr>
          <w:ilvl w:val="0"/>
          <w:numId w:val="1"/>
        </w:numPr>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Фінанси підприємств (за модульною системою навчання): Теоретико- практичний посібник / В. П. Шило, С. Б. Ільіна, С. С. Доровська, В. В. Барабанова. </w:t>
      </w:r>
      <w:r w:rsidR="00BE6C60">
        <w:rPr>
          <w:rFonts w:ascii="Times New Roman" w:hAnsi="Times New Roman" w:cs="Times New Roman"/>
          <w:sz w:val="28"/>
          <w:szCs w:val="28"/>
          <w:lang w:val="uk-UA"/>
        </w:rPr>
        <w:t xml:space="preserve"> Київ : Професіонал, 2006. </w:t>
      </w:r>
      <w:r w:rsidRPr="00042924">
        <w:rPr>
          <w:rFonts w:ascii="Times New Roman" w:hAnsi="Times New Roman" w:cs="Times New Roman"/>
          <w:sz w:val="28"/>
          <w:szCs w:val="28"/>
          <w:lang w:val="uk-UA"/>
        </w:rPr>
        <w:t xml:space="preserve"> 288 с.</w:t>
      </w:r>
    </w:p>
    <w:p w14:paraId="051698CC" w14:textId="77777777" w:rsidR="001C195D" w:rsidRPr="00042924" w:rsidRDefault="001C195D" w:rsidP="00294118">
      <w:pPr>
        <w:pStyle w:val="a3"/>
        <w:numPr>
          <w:ilvl w:val="0"/>
          <w:numId w:val="1"/>
        </w:numPr>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Третяк О. Про п</w:t>
      </w:r>
      <w:r w:rsidR="00514056">
        <w:rPr>
          <w:rFonts w:ascii="Times New Roman" w:hAnsi="Times New Roman" w:cs="Times New Roman"/>
          <w:sz w:val="28"/>
          <w:szCs w:val="28"/>
          <w:lang w:val="uk-UA"/>
        </w:rPr>
        <w:t xml:space="preserve">роблему банкрутства підприємств. </w:t>
      </w:r>
      <w:r w:rsidRPr="00514056">
        <w:rPr>
          <w:rFonts w:ascii="Times New Roman" w:hAnsi="Times New Roman" w:cs="Times New Roman"/>
          <w:i/>
          <w:sz w:val="28"/>
          <w:szCs w:val="28"/>
          <w:lang w:val="uk-UA"/>
        </w:rPr>
        <w:t>Економіка України</w:t>
      </w:r>
      <w:r w:rsidRPr="00042924">
        <w:rPr>
          <w:rFonts w:ascii="Times New Roman" w:hAnsi="Times New Roman" w:cs="Times New Roman"/>
          <w:sz w:val="28"/>
          <w:szCs w:val="28"/>
          <w:lang w:val="uk-UA"/>
        </w:rPr>
        <w:t xml:space="preserve">.  2010. №2.  С. </w:t>
      </w:r>
      <w:r w:rsidR="00024806" w:rsidRPr="00042924">
        <w:rPr>
          <w:rFonts w:ascii="Times New Roman" w:hAnsi="Times New Roman" w:cs="Times New Roman"/>
          <w:sz w:val="28"/>
          <w:szCs w:val="28"/>
          <w:lang w:val="uk-UA"/>
        </w:rPr>
        <w:t>83</w:t>
      </w:r>
      <w:r w:rsidRPr="00042924">
        <w:rPr>
          <w:rFonts w:ascii="Times New Roman" w:hAnsi="Times New Roman" w:cs="Times New Roman"/>
          <w:sz w:val="28"/>
          <w:szCs w:val="28"/>
          <w:lang w:val="uk-UA"/>
        </w:rPr>
        <w:t>.</w:t>
      </w:r>
    </w:p>
    <w:p w14:paraId="4EF083CE" w14:textId="77777777" w:rsidR="001C195D" w:rsidRPr="00042924" w:rsidRDefault="00CA03B9"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Стащук О.В., Шостак Л.В., Булик Д.В. </w:t>
      </w:r>
      <w:r w:rsidR="004D6509" w:rsidRPr="00042924">
        <w:rPr>
          <w:rFonts w:ascii="Times New Roman" w:hAnsi="Times New Roman" w:cs="Times New Roman"/>
          <w:sz w:val="28"/>
          <w:szCs w:val="28"/>
          <w:lang w:val="uk-UA"/>
        </w:rPr>
        <w:t>Банкрутство підприємств в умовах воєнного стану</w:t>
      </w:r>
      <w:r w:rsidR="001D6FC7" w:rsidRPr="00042924">
        <w:rPr>
          <w:rFonts w:ascii="Times New Roman" w:hAnsi="Times New Roman" w:cs="Times New Roman"/>
          <w:sz w:val="28"/>
          <w:szCs w:val="28"/>
          <w:lang w:val="uk-UA"/>
        </w:rPr>
        <w:t xml:space="preserve"> [Електронний ресурс]</w:t>
      </w:r>
      <w:r w:rsidR="004D6509" w:rsidRPr="00042924">
        <w:rPr>
          <w:rFonts w:ascii="Times New Roman" w:hAnsi="Times New Roman" w:cs="Times New Roman"/>
          <w:sz w:val="28"/>
          <w:szCs w:val="28"/>
          <w:lang w:val="uk-UA"/>
        </w:rPr>
        <w:t xml:space="preserve">. </w:t>
      </w:r>
      <w:r w:rsidR="0077301B" w:rsidRPr="00042924">
        <w:rPr>
          <w:rFonts w:ascii="Times New Roman" w:hAnsi="Times New Roman" w:cs="Times New Roman"/>
          <w:sz w:val="28"/>
          <w:szCs w:val="28"/>
          <w:lang w:val="uk-UA"/>
        </w:rPr>
        <w:t xml:space="preserve">URL: </w:t>
      </w:r>
      <w:hyperlink w:history="1">
        <w:r w:rsidR="001D6FC7" w:rsidRPr="00042924">
          <w:rPr>
            <w:rStyle w:val="a9"/>
            <w:rFonts w:ascii="Times New Roman" w:hAnsi="Times New Roman" w:cs="Times New Roman"/>
            <w:sz w:val="28"/>
            <w:szCs w:val="28"/>
            <w:lang w:val="uk-UA"/>
          </w:rPr>
          <w:t>https://economyandsociety.in.ua /index.php/...</w:t>
        </w:r>
      </w:hyperlink>
      <w:r w:rsidR="007B6ED0" w:rsidRPr="00042924">
        <w:rPr>
          <w:rFonts w:ascii="Times New Roman" w:hAnsi="Times New Roman" w:cs="Times New Roman"/>
          <w:color w:val="000000" w:themeColor="text1"/>
          <w:sz w:val="28"/>
          <w:szCs w:val="28"/>
          <w:lang w:val="uk-UA"/>
        </w:rPr>
        <w:t xml:space="preserve">  </w:t>
      </w:r>
    </w:p>
    <w:p w14:paraId="7BFD4A6D" w14:textId="77777777" w:rsidR="001960F3" w:rsidRPr="00042924" w:rsidRDefault="00F678EA"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Грачов В.І., Косарева І.П., Прохорова В.В., Кузенко Т.Б. Управління фінансовою санацією. Харків : ВД«ІНЖЕК», 2004. 208 с.</w:t>
      </w:r>
    </w:p>
    <w:p w14:paraId="3F1D3A93" w14:textId="77777777" w:rsidR="00F678EA" w:rsidRPr="00042924" w:rsidRDefault="0082655F"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Грицюк Е.О. Причини виникнення банкрутства в сучасних підприємствах. </w:t>
      </w:r>
      <w:r w:rsidRPr="00BE6C60">
        <w:rPr>
          <w:rFonts w:ascii="Times New Roman" w:hAnsi="Times New Roman" w:cs="Times New Roman"/>
          <w:i/>
          <w:sz w:val="28"/>
          <w:szCs w:val="28"/>
          <w:lang w:val="uk-UA"/>
        </w:rPr>
        <w:t>Економіка і управління підприємствами</w:t>
      </w:r>
      <w:r w:rsidRPr="00042924">
        <w:rPr>
          <w:rFonts w:ascii="Times New Roman" w:hAnsi="Times New Roman" w:cs="Times New Roman"/>
          <w:sz w:val="28"/>
          <w:szCs w:val="28"/>
          <w:lang w:val="uk-UA"/>
        </w:rPr>
        <w:t>. 2018. Випуск IV (No72). С. 42–53.</w:t>
      </w:r>
    </w:p>
    <w:p w14:paraId="5F5CE05C" w14:textId="77777777" w:rsidR="00863CC2" w:rsidRPr="00042924" w:rsidRDefault="00B679DF"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Марусяк Н.Л., Пильнюк Д.О.  Банкрутство  підприємства:  сутність,  причини  та  наслідки</w:t>
      </w:r>
      <w:r w:rsidR="001D6FC7" w:rsidRPr="00042924">
        <w:rPr>
          <w:rFonts w:ascii="Times New Roman" w:hAnsi="Times New Roman" w:cs="Times New Roman"/>
          <w:sz w:val="28"/>
          <w:szCs w:val="28"/>
          <w:lang w:val="uk-UA"/>
        </w:rPr>
        <w:t xml:space="preserve"> [Електронний ресурс]</w:t>
      </w:r>
      <w:r w:rsidRPr="00042924">
        <w:rPr>
          <w:rFonts w:ascii="Times New Roman" w:hAnsi="Times New Roman" w:cs="Times New Roman"/>
          <w:sz w:val="28"/>
          <w:szCs w:val="28"/>
          <w:lang w:val="uk-UA"/>
        </w:rPr>
        <w:t xml:space="preserve">.  URL: </w:t>
      </w:r>
      <w:hyperlink r:id="rId20" w:history="1">
        <w:r w:rsidR="001D6FC7" w:rsidRPr="00042924">
          <w:rPr>
            <w:rStyle w:val="a9"/>
            <w:rFonts w:ascii="Times New Roman" w:hAnsi="Times New Roman" w:cs="Times New Roman"/>
            <w:sz w:val="28"/>
            <w:szCs w:val="28"/>
            <w:lang w:val="uk-UA"/>
          </w:rPr>
          <w:t>https://cutt.ly/7Mr07fP</w:t>
        </w:r>
      </w:hyperlink>
      <w:r w:rsidR="001D6FC7" w:rsidRPr="00042924">
        <w:rPr>
          <w:rFonts w:ascii="Times New Roman" w:hAnsi="Times New Roman" w:cs="Times New Roman"/>
          <w:sz w:val="28"/>
          <w:szCs w:val="28"/>
          <w:lang w:val="uk-UA"/>
        </w:rPr>
        <w:t xml:space="preserve"> </w:t>
      </w:r>
    </w:p>
    <w:p w14:paraId="091803CA" w14:textId="77777777" w:rsidR="00B679DF" w:rsidRPr="00042924" w:rsidRDefault="000741A1"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lastRenderedPageBreak/>
        <w:t>Терещенко  О.О. Антикризове фінансове управління на підприємстві:  монографія. Київ:  КНЕУ, 2004. 268 с.</w:t>
      </w:r>
    </w:p>
    <w:p w14:paraId="7956121A" w14:textId="77777777" w:rsidR="000741A1" w:rsidRPr="00042924" w:rsidRDefault="00856F8E"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Фурман Т.Ю., Прокопович Н.І. Причини банкрутства та механізми його запобігання на підприємстві</w:t>
      </w:r>
      <w:r w:rsidR="001D6FC7" w:rsidRPr="00042924">
        <w:rPr>
          <w:rFonts w:ascii="Times New Roman" w:hAnsi="Times New Roman" w:cs="Times New Roman"/>
          <w:sz w:val="28"/>
          <w:szCs w:val="28"/>
          <w:lang w:val="uk-UA"/>
        </w:rPr>
        <w:t xml:space="preserve"> [Електронний ресурс]</w:t>
      </w:r>
      <w:r w:rsidRPr="00042924">
        <w:rPr>
          <w:rFonts w:ascii="Times New Roman" w:hAnsi="Times New Roman" w:cs="Times New Roman"/>
          <w:sz w:val="28"/>
          <w:szCs w:val="28"/>
          <w:lang w:val="uk-UA"/>
        </w:rPr>
        <w:t>.</w:t>
      </w:r>
      <w:r w:rsidR="001D6FC7"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 xml:space="preserve">URL: </w:t>
      </w:r>
      <w:hyperlink r:id="rId21" w:history="1">
        <w:r w:rsidR="00B53D8E" w:rsidRPr="00042924">
          <w:rPr>
            <w:rStyle w:val="a9"/>
            <w:rFonts w:ascii="Times New Roman" w:hAnsi="Times New Roman" w:cs="Times New Roman"/>
            <w:sz w:val="28"/>
            <w:szCs w:val="28"/>
            <w:lang w:val="uk-UA"/>
          </w:rPr>
          <w:t>https://cutt.ly/PM-r8nRN</w:t>
        </w:r>
      </w:hyperlink>
      <w:r w:rsidR="002638A9" w:rsidRPr="00042924">
        <w:rPr>
          <w:rFonts w:ascii="Times New Roman" w:hAnsi="Times New Roman" w:cs="Times New Roman"/>
          <w:color w:val="000000" w:themeColor="text1"/>
          <w:sz w:val="28"/>
          <w:szCs w:val="28"/>
          <w:lang w:val="uk-UA"/>
        </w:rPr>
        <w:t xml:space="preserve"> </w:t>
      </w:r>
    </w:p>
    <w:p w14:paraId="760178B6" w14:textId="77777777" w:rsidR="00A14DCA" w:rsidRPr="00042924" w:rsidRDefault="00DB2664"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Глущук О.М. Зарубіжні методи аналізу ймовірності банкрутства </w:t>
      </w:r>
      <w:r w:rsidR="00BE6C60">
        <w:rPr>
          <w:rFonts w:ascii="Times New Roman" w:hAnsi="Times New Roman" w:cs="Times New Roman"/>
          <w:sz w:val="28"/>
          <w:szCs w:val="28"/>
          <w:lang w:val="uk-UA"/>
        </w:rPr>
        <w:t xml:space="preserve">неплатоспроможного підприємства. </w:t>
      </w:r>
      <w:r w:rsidRPr="00BE6C60">
        <w:rPr>
          <w:rFonts w:ascii="Times New Roman" w:hAnsi="Times New Roman" w:cs="Times New Roman"/>
          <w:i/>
          <w:sz w:val="28"/>
          <w:szCs w:val="28"/>
          <w:lang w:val="uk-UA"/>
        </w:rPr>
        <w:t>Проблеми теорії та методології бухгалтерського обліку, контролю і аналізу</w:t>
      </w:r>
      <w:r w:rsidRPr="00042924">
        <w:rPr>
          <w:rFonts w:ascii="Times New Roman" w:hAnsi="Times New Roman" w:cs="Times New Roman"/>
          <w:sz w:val="28"/>
          <w:szCs w:val="28"/>
          <w:lang w:val="uk-UA"/>
        </w:rPr>
        <w:t>.  2011.  № 21.  С. 87–95.</w:t>
      </w:r>
    </w:p>
    <w:p w14:paraId="3180D554" w14:textId="77777777" w:rsidR="00DD0B7D" w:rsidRPr="00042924" w:rsidRDefault="00DD0B7D"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Рзаєва Т.Г.</w:t>
      </w:r>
      <w:r w:rsidR="00BE6C60">
        <w:rPr>
          <w:rFonts w:ascii="Times New Roman" w:hAnsi="Times New Roman" w:cs="Times New Roman"/>
          <w:sz w:val="28"/>
          <w:szCs w:val="28"/>
          <w:lang w:val="uk-UA"/>
        </w:rPr>
        <w:t>,</w:t>
      </w:r>
      <w:r w:rsidRPr="00042924">
        <w:rPr>
          <w:rFonts w:ascii="Times New Roman" w:hAnsi="Times New Roman" w:cs="Times New Roman"/>
          <w:sz w:val="28"/>
          <w:szCs w:val="28"/>
          <w:lang w:val="uk-UA"/>
        </w:rPr>
        <w:t xml:space="preserve"> </w:t>
      </w:r>
      <w:r w:rsidR="00BE6C60" w:rsidRPr="00042924">
        <w:rPr>
          <w:rFonts w:ascii="Times New Roman" w:hAnsi="Times New Roman" w:cs="Times New Roman"/>
          <w:sz w:val="28"/>
          <w:szCs w:val="28"/>
          <w:lang w:val="uk-UA"/>
        </w:rPr>
        <w:t xml:space="preserve">Стасюк І.В. </w:t>
      </w:r>
      <w:r w:rsidRPr="00042924">
        <w:rPr>
          <w:rFonts w:ascii="Times New Roman" w:hAnsi="Times New Roman" w:cs="Times New Roman"/>
          <w:sz w:val="28"/>
          <w:szCs w:val="28"/>
          <w:lang w:val="uk-UA"/>
        </w:rPr>
        <w:t>Порівняльна характеристика вітчизняної і зарубіжної методик визначення ймові</w:t>
      </w:r>
      <w:r w:rsidR="00BE6C60">
        <w:rPr>
          <w:rFonts w:ascii="Times New Roman" w:hAnsi="Times New Roman" w:cs="Times New Roman"/>
          <w:sz w:val="28"/>
          <w:szCs w:val="28"/>
          <w:lang w:val="uk-UA"/>
        </w:rPr>
        <w:t xml:space="preserve">рності банкрутства підприємства. </w:t>
      </w:r>
      <w:r w:rsidRPr="00BE6C60">
        <w:rPr>
          <w:rFonts w:ascii="Times New Roman" w:hAnsi="Times New Roman" w:cs="Times New Roman"/>
          <w:i/>
          <w:sz w:val="28"/>
          <w:szCs w:val="28"/>
          <w:lang w:val="uk-UA"/>
        </w:rPr>
        <w:t>Вісник Хмельницького національного університету</w:t>
      </w:r>
      <w:r w:rsidRPr="00042924">
        <w:rPr>
          <w:rFonts w:ascii="Times New Roman" w:hAnsi="Times New Roman" w:cs="Times New Roman"/>
          <w:sz w:val="28"/>
          <w:szCs w:val="28"/>
          <w:lang w:val="uk-UA"/>
        </w:rPr>
        <w:t>. 2010.  № 4.  С. 89–93.</w:t>
      </w:r>
    </w:p>
    <w:p w14:paraId="3684D10E" w14:textId="77777777" w:rsidR="00DD0B7D" w:rsidRPr="00035CAD" w:rsidRDefault="00DF1137" w:rsidP="00294118">
      <w:pPr>
        <w:pStyle w:val="a3"/>
        <w:numPr>
          <w:ilvl w:val="0"/>
          <w:numId w:val="1"/>
        </w:numPr>
        <w:spacing w:line="240" w:lineRule="auto"/>
        <w:jc w:val="both"/>
        <w:rPr>
          <w:rFonts w:ascii="Times New Roman" w:hAnsi="Times New Roman" w:cs="Times New Roman"/>
          <w:color w:val="0070C0"/>
          <w:sz w:val="28"/>
          <w:szCs w:val="28"/>
          <w:u w:val="single"/>
          <w:lang w:val="uk-UA"/>
        </w:rPr>
      </w:pPr>
      <w:r w:rsidRPr="00042924">
        <w:rPr>
          <w:rFonts w:ascii="Times New Roman" w:hAnsi="Times New Roman" w:cs="Times New Roman"/>
          <w:sz w:val="28"/>
          <w:szCs w:val="28"/>
          <w:lang w:val="uk-UA"/>
        </w:rPr>
        <w:t>Городня Т.А.,</w:t>
      </w:r>
      <w:r w:rsidR="002638A9"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 xml:space="preserve">Корнієнко А.О. Діагностика кризового стану та загрози банкрутства підприємства. </w:t>
      </w:r>
      <w:r w:rsidRPr="00BE6C60">
        <w:rPr>
          <w:rFonts w:ascii="Times New Roman" w:hAnsi="Times New Roman" w:cs="Times New Roman"/>
          <w:i/>
          <w:sz w:val="28"/>
          <w:szCs w:val="28"/>
          <w:lang w:val="uk-UA"/>
        </w:rPr>
        <w:t>Глобальні та національні проблеми економіки</w:t>
      </w:r>
      <w:r w:rsidRPr="00042924">
        <w:rPr>
          <w:rFonts w:ascii="Times New Roman" w:hAnsi="Times New Roman" w:cs="Times New Roman"/>
          <w:sz w:val="28"/>
          <w:szCs w:val="28"/>
          <w:lang w:val="uk-UA"/>
        </w:rPr>
        <w:t>.</w:t>
      </w:r>
      <w:r w:rsidR="00B53D8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2017. Випуск 19. С.154-157 URL</w:t>
      </w:r>
      <w:r w:rsidRPr="00035CAD">
        <w:rPr>
          <w:rFonts w:ascii="Times New Roman" w:hAnsi="Times New Roman" w:cs="Times New Roman"/>
          <w:color w:val="0070C0"/>
          <w:sz w:val="28"/>
          <w:szCs w:val="28"/>
          <w:u w:val="single"/>
          <w:lang w:val="uk-UA"/>
        </w:rPr>
        <w:t xml:space="preserve">: </w:t>
      </w:r>
      <w:hyperlink r:id="rId22" w:history="1">
        <w:r w:rsidR="00813726" w:rsidRPr="00035CAD">
          <w:rPr>
            <w:rStyle w:val="a9"/>
            <w:rFonts w:ascii="Times New Roman" w:hAnsi="Times New Roman" w:cs="Times New Roman"/>
            <w:color w:val="0070C0"/>
            <w:sz w:val="28"/>
            <w:szCs w:val="28"/>
            <w:lang w:val="uk-UA"/>
          </w:rPr>
          <w:t>http://glo-balnational.in.ua/archive/19-2017/32.pdf</w:t>
        </w:r>
      </w:hyperlink>
      <w:r w:rsidR="00813726" w:rsidRPr="00035CAD">
        <w:rPr>
          <w:rFonts w:ascii="Times New Roman" w:hAnsi="Times New Roman" w:cs="Times New Roman"/>
          <w:color w:val="0070C0"/>
          <w:sz w:val="28"/>
          <w:szCs w:val="28"/>
          <w:u w:val="single"/>
          <w:lang w:val="uk-UA"/>
        </w:rPr>
        <w:t xml:space="preserve"> </w:t>
      </w:r>
    </w:p>
    <w:p w14:paraId="2054E240" w14:textId="77777777" w:rsidR="001527D6" w:rsidRPr="00042924" w:rsidRDefault="001527D6"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Беженар Ю.</w:t>
      </w:r>
      <w:r w:rsidR="00516DB6" w:rsidRPr="00042924">
        <w:rPr>
          <w:rFonts w:ascii="Times New Roman" w:hAnsi="Times New Roman" w:cs="Times New Roman"/>
          <w:sz w:val="28"/>
          <w:szCs w:val="28"/>
          <w:lang w:val="uk-UA"/>
        </w:rPr>
        <w:t xml:space="preserve"> Характеристика методів аналізу та прогнозування потенційного банкрутства підприємства</w:t>
      </w:r>
      <w:r w:rsidR="00B53D8E" w:rsidRPr="00042924">
        <w:rPr>
          <w:rFonts w:ascii="Times New Roman" w:hAnsi="Times New Roman" w:cs="Times New Roman"/>
          <w:sz w:val="28"/>
          <w:szCs w:val="28"/>
          <w:lang w:val="uk-UA"/>
        </w:rPr>
        <w:t xml:space="preserve"> [Електронний ресурс]</w:t>
      </w:r>
      <w:r w:rsidR="00516DB6" w:rsidRPr="00042924">
        <w:rPr>
          <w:rFonts w:ascii="Times New Roman" w:hAnsi="Times New Roman" w:cs="Times New Roman"/>
          <w:sz w:val="28"/>
          <w:szCs w:val="28"/>
          <w:lang w:val="uk-UA"/>
        </w:rPr>
        <w:t xml:space="preserve">. </w:t>
      </w:r>
      <w:r w:rsidR="00B82D16" w:rsidRPr="00042924">
        <w:rPr>
          <w:rFonts w:ascii="Times New Roman" w:hAnsi="Times New Roman" w:cs="Times New Roman"/>
          <w:sz w:val="28"/>
          <w:szCs w:val="28"/>
          <w:lang w:val="uk-UA"/>
        </w:rPr>
        <w:t xml:space="preserve">URL: </w:t>
      </w:r>
      <w:hyperlink w:history="1">
        <w:r w:rsidR="00B53D8E" w:rsidRPr="00042924">
          <w:rPr>
            <w:rStyle w:val="a9"/>
            <w:rFonts w:ascii="Times New Roman" w:hAnsi="Times New Roman" w:cs="Times New Roman"/>
            <w:sz w:val="28"/>
            <w:szCs w:val="28"/>
            <w:lang w:val="uk-UA"/>
          </w:rPr>
          <w:t>http://www.vtei.com. ua/doc/24032021/3/1.pdf</w:t>
        </w:r>
      </w:hyperlink>
      <w:r w:rsidR="00B53D8E" w:rsidRPr="00042924">
        <w:rPr>
          <w:rStyle w:val="a9"/>
          <w:rFonts w:ascii="Times New Roman" w:hAnsi="Times New Roman" w:cs="Times New Roman"/>
          <w:color w:val="000000" w:themeColor="text1"/>
          <w:sz w:val="28"/>
          <w:szCs w:val="28"/>
          <w:u w:val="none"/>
          <w:lang w:val="uk-UA"/>
        </w:rPr>
        <w:t xml:space="preserve"> </w:t>
      </w:r>
    </w:p>
    <w:p w14:paraId="737874C2" w14:textId="77777777" w:rsidR="00B82D16" w:rsidRPr="00042924" w:rsidRDefault="0060682A"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Рязаєва Т. Г.</w:t>
      </w:r>
      <w:r w:rsidR="00BE6C60">
        <w:rPr>
          <w:rFonts w:ascii="Times New Roman" w:hAnsi="Times New Roman" w:cs="Times New Roman"/>
          <w:sz w:val="28"/>
          <w:szCs w:val="28"/>
          <w:lang w:val="uk-UA"/>
        </w:rPr>
        <w:t>,</w:t>
      </w:r>
      <w:r w:rsidR="00BE6C60" w:rsidRPr="00042924">
        <w:rPr>
          <w:rFonts w:ascii="Times New Roman" w:hAnsi="Times New Roman" w:cs="Times New Roman"/>
          <w:sz w:val="28"/>
          <w:szCs w:val="28"/>
          <w:lang w:val="uk-UA"/>
        </w:rPr>
        <w:t xml:space="preserve"> Стасюк І. В</w:t>
      </w:r>
      <w:r w:rsidR="00BE6C60">
        <w:rPr>
          <w:rFonts w:ascii="Times New Roman" w:hAnsi="Times New Roman" w:cs="Times New Roman"/>
          <w:sz w:val="28"/>
          <w:szCs w:val="28"/>
          <w:lang w:val="uk-UA"/>
        </w:rPr>
        <w:t>.</w:t>
      </w:r>
      <w:r w:rsidR="00BE6C60"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Зарубіжні методики визначення ймові</w:t>
      </w:r>
      <w:r w:rsidR="00BE6C60">
        <w:rPr>
          <w:rFonts w:ascii="Times New Roman" w:hAnsi="Times New Roman" w:cs="Times New Roman"/>
          <w:sz w:val="28"/>
          <w:szCs w:val="28"/>
          <w:lang w:val="uk-UA"/>
        </w:rPr>
        <w:t xml:space="preserve">рності банкрутства підприємства. </w:t>
      </w:r>
      <w:r w:rsidRPr="00BE6C60">
        <w:rPr>
          <w:rFonts w:ascii="Times New Roman" w:hAnsi="Times New Roman" w:cs="Times New Roman"/>
          <w:i/>
          <w:sz w:val="28"/>
          <w:szCs w:val="28"/>
          <w:lang w:val="uk-UA"/>
        </w:rPr>
        <w:t>Вісник Хмельницького національного університету</w:t>
      </w:r>
      <w:r w:rsidRPr="00042924">
        <w:rPr>
          <w:rFonts w:ascii="Times New Roman" w:hAnsi="Times New Roman" w:cs="Times New Roman"/>
          <w:sz w:val="28"/>
          <w:szCs w:val="28"/>
          <w:lang w:val="uk-UA"/>
        </w:rPr>
        <w:t>.  2010. № 3.  Т. 1.  С. 177–181.</w:t>
      </w:r>
    </w:p>
    <w:p w14:paraId="6F242990" w14:textId="77777777" w:rsidR="0060682A" w:rsidRPr="00042924" w:rsidRDefault="0005048F"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Офіційний</w:t>
      </w:r>
      <w:r w:rsidR="00D5011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веб-портал</w:t>
      </w:r>
      <w:r w:rsidR="00D5011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«Судова</w:t>
      </w:r>
      <w:r w:rsidR="00D5011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влада</w:t>
      </w:r>
      <w:r w:rsidR="00D5011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України».</w:t>
      </w:r>
      <w:r w:rsidR="00D5011E"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Судова статистика. [Електронний</w:t>
      </w:r>
      <w:r w:rsidR="008B3978" w:rsidRPr="00042924">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ресурс].</w:t>
      </w:r>
      <w:r w:rsidR="008B3978" w:rsidRPr="00042924">
        <w:rPr>
          <w:rFonts w:ascii="Times New Roman" w:hAnsi="Times New Roman" w:cs="Times New Roman"/>
          <w:sz w:val="28"/>
          <w:szCs w:val="28"/>
          <w:lang w:val="uk-UA"/>
        </w:rPr>
        <w:t xml:space="preserve"> </w:t>
      </w:r>
      <w:r w:rsidR="00D47E10" w:rsidRPr="00042924">
        <w:rPr>
          <w:rFonts w:ascii="Times New Roman" w:hAnsi="Times New Roman" w:cs="Times New Roman"/>
          <w:sz w:val="28"/>
          <w:szCs w:val="28"/>
          <w:lang w:val="uk-UA"/>
        </w:rPr>
        <w:t>URL</w:t>
      </w:r>
      <w:r w:rsidRPr="00042924">
        <w:rPr>
          <w:rFonts w:ascii="Times New Roman" w:hAnsi="Times New Roman" w:cs="Times New Roman"/>
          <w:sz w:val="28"/>
          <w:szCs w:val="28"/>
          <w:lang w:val="uk-UA"/>
        </w:rPr>
        <w:t xml:space="preserve">: </w:t>
      </w:r>
      <w:hyperlink r:id="rId23" w:history="1">
        <w:r w:rsidR="00D47E10" w:rsidRPr="00042924">
          <w:rPr>
            <w:rStyle w:val="a9"/>
            <w:rFonts w:ascii="Times New Roman" w:hAnsi="Times New Roman" w:cs="Times New Roman"/>
            <w:color w:val="auto"/>
            <w:sz w:val="28"/>
            <w:szCs w:val="28"/>
            <w:u w:val="none"/>
            <w:lang w:val="uk-UA"/>
          </w:rPr>
          <w:t>https://court.gov.ua/inshe/sudova_statystyka/</w:t>
        </w:r>
      </w:hyperlink>
      <w:r w:rsidR="00C703F3" w:rsidRPr="00042924">
        <w:rPr>
          <w:rStyle w:val="a9"/>
          <w:rFonts w:ascii="Times New Roman" w:hAnsi="Times New Roman" w:cs="Times New Roman"/>
          <w:color w:val="auto"/>
          <w:sz w:val="28"/>
          <w:szCs w:val="28"/>
          <w:u w:val="none"/>
          <w:lang w:val="uk-UA"/>
        </w:rPr>
        <w:t xml:space="preserve"> </w:t>
      </w:r>
    </w:p>
    <w:p w14:paraId="595B7983" w14:textId="77777777" w:rsidR="00D40027" w:rsidRPr="00042924" w:rsidRDefault="00D40027"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Про внесення змін до деяких законодавчих актів України</w:t>
      </w:r>
      <w:r w:rsidR="00CB4C7F" w:rsidRPr="00042924">
        <w:rPr>
          <w:rFonts w:ascii="Times New Roman" w:hAnsi="Times New Roman" w:cs="Times New Roman"/>
          <w:sz w:val="28"/>
          <w:szCs w:val="28"/>
          <w:lang w:val="uk-UA"/>
        </w:rPr>
        <w:t xml:space="preserve"> 2971-IX, чинний, поточна редакція — Прийняття від 20.03.2023</w:t>
      </w:r>
      <w:r w:rsidR="00D47E10" w:rsidRPr="00042924">
        <w:rPr>
          <w:rFonts w:ascii="Times New Roman" w:hAnsi="Times New Roman" w:cs="Times New Roman"/>
          <w:sz w:val="28"/>
          <w:szCs w:val="28"/>
          <w:lang w:val="uk-UA"/>
        </w:rPr>
        <w:t>.</w:t>
      </w:r>
      <w:r w:rsidR="007545CA" w:rsidRPr="00042924">
        <w:rPr>
          <w:rFonts w:ascii="Times New Roman" w:hAnsi="Times New Roman" w:cs="Times New Roman"/>
          <w:sz w:val="28"/>
          <w:szCs w:val="28"/>
          <w:lang w:val="uk-UA"/>
        </w:rPr>
        <w:t xml:space="preserve"> [Електронний ресурс]. -</w:t>
      </w:r>
      <w:r w:rsidR="00D47E10" w:rsidRPr="00042924">
        <w:rPr>
          <w:rFonts w:ascii="Times New Roman" w:hAnsi="Times New Roman" w:cs="Times New Roman"/>
          <w:sz w:val="28"/>
          <w:szCs w:val="28"/>
          <w:lang w:val="uk-UA"/>
        </w:rPr>
        <w:t xml:space="preserve"> URL: </w:t>
      </w:r>
      <w:hyperlink r:id="rId24" w:anchor="Text" w:history="1">
        <w:r w:rsidR="00C703F3" w:rsidRPr="00042924">
          <w:rPr>
            <w:rStyle w:val="a9"/>
            <w:rFonts w:ascii="Times New Roman" w:hAnsi="Times New Roman" w:cs="Times New Roman"/>
            <w:sz w:val="28"/>
            <w:szCs w:val="28"/>
            <w:lang w:val="uk-UA"/>
          </w:rPr>
          <w:t>https://zakon.rada.gov.ua/laws/show/2971-IX#Text</w:t>
        </w:r>
      </w:hyperlink>
      <w:r w:rsidR="00C703F3" w:rsidRPr="00042924">
        <w:rPr>
          <w:rFonts w:ascii="Times New Roman" w:hAnsi="Times New Roman" w:cs="Times New Roman"/>
          <w:sz w:val="28"/>
          <w:szCs w:val="28"/>
          <w:lang w:val="uk-UA"/>
        </w:rPr>
        <w:t xml:space="preserve"> </w:t>
      </w:r>
    </w:p>
    <w:p w14:paraId="25518EB4" w14:textId="77777777" w:rsidR="00EC1BD5" w:rsidRPr="00042924" w:rsidRDefault="00FB70F6"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eastAsia="Times New Roman" w:hAnsi="Times New Roman" w:cs="Times New Roman"/>
          <w:kern w:val="0"/>
          <w:sz w:val="28"/>
          <w:szCs w:val="28"/>
          <w:lang w:val="uk-UA"/>
          <w14:ligatures w14:val="none"/>
        </w:rPr>
        <w:t>Офіційний сайт ПАТ «АрселорМіттал Кривий Ріг».</w:t>
      </w:r>
      <w:r w:rsidR="00767BE7" w:rsidRPr="00042924">
        <w:rPr>
          <w:rFonts w:ascii="Times New Roman" w:eastAsia="Times New Roman" w:hAnsi="Times New Roman" w:cs="Times New Roman"/>
          <w:kern w:val="0"/>
          <w:sz w:val="28"/>
          <w:szCs w:val="28"/>
          <w:lang w:val="uk-UA"/>
          <w14:ligatures w14:val="none"/>
        </w:rPr>
        <w:t xml:space="preserve"> Про нас</w:t>
      </w:r>
      <w:r w:rsidR="007545CA" w:rsidRPr="00042924">
        <w:rPr>
          <w:rFonts w:ascii="Times New Roman" w:eastAsia="Times New Roman" w:hAnsi="Times New Roman" w:cs="Times New Roman"/>
          <w:kern w:val="0"/>
          <w:sz w:val="28"/>
          <w:szCs w:val="28"/>
          <w:lang w:val="uk-UA"/>
          <w14:ligatures w14:val="none"/>
        </w:rPr>
        <w:t xml:space="preserve"> </w:t>
      </w:r>
      <w:r w:rsidR="007545CA" w:rsidRPr="00042924">
        <w:rPr>
          <w:rFonts w:ascii="Times New Roman" w:hAnsi="Times New Roman" w:cs="Times New Roman"/>
          <w:sz w:val="28"/>
          <w:szCs w:val="28"/>
          <w:lang w:val="uk-UA"/>
        </w:rPr>
        <w:t>[Електронний ресурс]</w:t>
      </w:r>
      <w:r w:rsidR="00203E30" w:rsidRPr="00042924">
        <w:rPr>
          <w:rFonts w:ascii="Times New Roman" w:eastAsia="Times New Roman" w:hAnsi="Times New Roman" w:cs="Times New Roman"/>
          <w:kern w:val="0"/>
          <w:sz w:val="28"/>
          <w:szCs w:val="28"/>
          <w:lang w:val="uk-UA"/>
          <w14:ligatures w14:val="none"/>
        </w:rPr>
        <w:t>.</w:t>
      </w:r>
      <w:r w:rsidR="00BE6C60">
        <w:rPr>
          <w:rFonts w:ascii="Times New Roman" w:eastAsia="Times New Roman" w:hAnsi="Times New Roman" w:cs="Times New Roman"/>
          <w:kern w:val="0"/>
          <w:sz w:val="28"/>
          <w:szCs w:val="28"/>
          <w:lang w:val="uk-UA"/>
          <w14:ligatures w14:val="none"/>
        </w:rPr>
        <w:t xml:space="preserve"> </w:t>
      </w:r>
      <w:r w:rsidR="00361E5B" w:rsidRPr="00042924">
        <w:rPr>
          <w:rFonts w:ascii="Times New Roman" w:eastAsia="Times New Roman" w:hAnsi="Times New Roman" w:cs="Times New Roman"/>
          <w:kern w:val="0"/>
          <w:sz w:val="28"/>
          <w:szCs w:val="28"/>
          <w:lang w:val="uk-UA"/>
          <w14:ligatures w14:val="none"/>
        </w:rPr>
        <w:t xml:space="preserve"> </w:t>
      </w:r>
      <w:r w:rsidR="00361E5B" w:rsidRPr="00042924">
        <w:rPr>
          <w:rFonts w:ascii="Times New Roman" w:hAnsi="Times New Roman" w:cs="Times New Roman"/>
          <w:sz w:val="28"/>
          <w:szCs w:val="28"/>
          <w:lang w:val="uk-UA"/>
        </w:rPr>
        <w:t xml:space="preserve">URL: </w:t>
      </w:r>
      <w:hyperlink w:history="1">
        <w:r w:rsidR="00203E30" w:rsidRPr="00042924">
          <w:rPr>
            <w:rStyle w:val="a9"/>
            <w:rFonts w:ascii="Times New Roman" w:hAnsi="Times New Roman" w:cs="Times New Roman"/>
            <w:sz w:val="28"/>
            <w:szCs w:val="28"/>
            <w:lang w:val="uk-UA"/>
          </w:rPr>
          <w:t>https://ukraine. arcelormittal.com/</w:t>
        </w:r>
      </w:hyperlink>
      <w:r w:rsidR="00203E30" w:rsidRPr="00042924">
        <w:rPr>
          <w:rFonts w:ascii="Times New Roman" w:hAnsi="Times New Roman" w:cs="Times New Roman"/>
          <w:sz w:val="28"/>
          <w:szCs w:val="28"/>
          <w:lang w:val="uk-UA"/>
        </w:rPr>
        <w:t xml:space="preserve"> </w:t>
      </w:r>
    </w:p>
    <w:p w14:paraId="44DC4963" w14:textId="77777777" w:rsidR="000F065E" w:rsidRPr="00042924" w:rsidRDefault="00AA49D3"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АрселорМіттал Кривий Ріг – Вікіпедія [Електронний ресурс]</w:t>
      </w:r>
      <w:r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hAnsi="Times New Roman" w:cs="Times New Roman"/>
          <w:sz w:val="28"/>
          <w:szCs w:val="28"/>
          <w:lang w:val="uk-UA"/>
        </w:rPr>
        <w:t xml:space="preserve">URL: </w:t>
      </w:r>
      <w:hyperlink w:history="1">
        <w:r w:rsidR="00B9495E" w:rsidRPr="00042924">
          <w:rPr>
            <w:rStyle w:val="a9"/>
            <w:rFonts w:ascii="Times New Roman" w:hAnsi="Times New Roman" w:cs="Times New Roman"/>
            <w:sz w:val="28"/>
            <w:szCs w:val="28"/>
            <w:lang w:val="uk-UA"/>
          </w:rPr>
          <w:t>https:// uk.wikipedia.org/wiki/АрселорМіттал_Кривий_Ріг</w:t>
        </w:r>
      </w:hyperlink>
      <w:r w:rsidRPr="00042924">
        <w:rPr>
          <w:rFonts w:ascii="Times New Roman" w:hAnsi="Times New Roman" w:cs="Times New Roman"/>
          <w:sz w:val="28"/>
          <w:szCs w:val="28"/>
          <w:lang w:val="uk-UA"/>
        </w:rPr>
        <w:t xml:space="preserve"> </w:t>
      </w:r>
    </w:p>
    <w:p w14:paraId="51F82511" w14:textId="77777777" w:rsidR="000F065E" w:rsidRPr="00042924" w:rsidRDefault="008E6960"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eastAsia="Times New Roman" w:hAnsi="Times New Roman" w:cs="Times New Roman"/>
          <w:kern w:val="0"/>
          <w:sz w:val="28"/>
          <w:szCs w:val="28"/>
          <w:lang w:val="uk-UA"/>
          <w14:ligatures w14:val="none"/>
        </w:rPr>
        <w:t>Бланка І.О. «Основи фінансового менеджменту». Навчальний посібник./ За</w:t>
      </w:r>
      <w:r w:rsidRPr="00042924">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редакцією проф. Бланка</w:t>
      </w:r>
      <w:r w:rsidRPr="00042924">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И.А.</w:t>
      </w:r>
      <w:r w:rsidR="00BE6C60">
        <w:rPr>
          <w:rFonts w:ascii="Times New Roman" w:eastAsia="Times New Roman" w:hAnsi="Times New Roman" w:cs="Times New Roman"/>
          <w:kern w:val="0"/>
          <w:sz w:val="28"/>
          <w:szCs w:val="28"/>
          <w:lang w:val="uk-UA"/>
          <w14:ligatures w14:val="none"/>
        </w:rPr>
        <w:t xml:space="preserve"> В 2 - х томах. т.1. </w:t>
      </w:r>
      <w:r w:rsidRPr="00042924">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К.: Ника-Центр, Эльга,</w:t>
      </w:r>
      <w:r w:rsidRPr="00042924">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2009.</w:t>
      </w:r>
      <w:r w:rsidRPr="00042924">
        <w:rPr>
          <w:rFonts w:ascii="Times New Roman" w:eastAsia="Times New Roman" w:hAnsi="Times New Roman" w:cs="Times New Roman"/>
          <w:spacing w:val="3"/>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685</w:t>
      </w:r>
      <w:r w:rsidRPr="00042924">
        <w:rPr>
          <w:rFonts w:ascii="Times New Roman" w:eastAsia="Times New Roman" w:hAnsi="Times New Roman" w:cs="Times New Roman"/>
          <w:spacing w:val="1"/>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с.</w:t>
      </w:r>
    </w:p>
    <w:p w14:paraId="37B2EFAB" w14:textId="77777777" w:rsidR="0055183F" w:rsidRPr="00042924" w:rsidRDefault="0055183F"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Газета металург ПАТ «АрселорМіттал Кривий Ріг»</w:t>
      </w:r>
      <w:r w:rsidR="001E67FA" w:rsidRPr="00042924">
        <w:rPr>
          <w:rFonts w:ascii="Times New Roman" w:hAnsi="Times New Roman" w:cs="Times New Roman"/>
          <w:sz w:val="28"/>
          <w:szCs w:val="28"/>
          <w:lang w:val="uk-UA"/>
        </w:rPr>
        <w:t xml:space="preserve"> [Електронний ресурс]. - </w:t>
      </w:r>
      <w:r w:rsidR="007545CA" w:rsidRPr="00042924">
        <w:rPr>
          <w:rFonts w:ascii="Times New Roman" w:hAnsi="Times New Roman" w:cs="Times New Roman"/>
          <w:sz w:val="28"/>
          <w:szCs w:val="28"/>
          <w:lang w:val="uk-UA"/>
        </w:rPr>
        <w:t xml:space="preserve"> URL</w:t>
      </w:r>
      <w:r w:rsidR="001E67FA" w:rsidRPr="00042924">
        <w:rPr>
          <w:rFonts w:ascii="Times New Roman" w:hAnsi="Times New Roman" w:cs="Times New Roman"/>
          <w:sz w:val="28"/>
          <w:szCs w:val="28"/>
          <w:lang w:val="uk-UA"/>
        </w:rPr>
        <w:t>:</w:t>
      </w:r>
      <w:r w:rsidRPr="00042924">
        <w:rPr>
          <w:rFonts w:ascii="Times New Roman" w:hAnsi="Times New Roman" w:cs="Times New Roman"/>
          <w:sz w:val="28"/>
          <w:szCs w:val="28"/>
          <w:lang w:val="uk-UA"/>
        </w:rPr>
        <w:t xml:space="preserve"> </w:t>
      </w:r>
      <w:hyperlink r:id="rId25" w:history="1">
        <w:r w:rsidRPr="00042924">
          <w:rPr>
            <w:rStyle w:val="a9"/>
            <w:rFonts w:ascii="Times New Roman" w:hAnsi="Times New Roman" w:cs="Times New Roman"/>
            <w:sz w:val="28"/>
            <w:szCs w:val="28"/>
            <w:lang w:val="uk-UA"/>
          </w:rPr>
          <w:t>https://metalurg.online/</w:t>
        </w:r>
      </w:hyperlink>
      <w:r w:rsidRPr="00042924">
        <w:rPr>
          <w:rFonts w:ascii="Times New Roman" w:hAnsi="Times New Roman" w:cs="Times New Roman"/>
          <w:sz w:val="28"/>
          <w:szCs w:val="28"/>
          <w:lang w:val="uk-UA"/>
        </w:rPr>
        <w:t xml:space="preserve"> </w:t>
      </w:r>
    </w:p>
    <w:p w14:paraId="66A13B93" w14:textId="77777777" w:rsidR="0055183F" w:rsidRPr="00042924" w:rsidRDefault="0055183F" w:rsidP="00294118">
      <w:pPr>
        <w:pStyle w:val="a3"/>
        <w:widowControl w:val="0"/>
        <w:numPr>
          <w:ilvl w:val="0"/>
          <w:numId w:val="1"/>
        </w:numPr>
        <w:autoSpaceDE w:val="0"/>
        <w:autoSpaceDN w:val="0"/>
        <w:adjustRightInd w:val="0"/>
        <w:spacing w:after="0"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Статут Публічного акціонерного товариства «АрселорМіттал Кривий Ріг» (нова редакція, 2020 р.) </w:t>
      </w:r>
      <w:r w:rsidR="00BE6C60">
        <w:rPr>
          <w:rFonts w:ascii="Times New Roman" w:hAnsi="Times New Roman" w:cs="Times New Roman"/>
          <w:sz w:val="28"/>
          <w:szCs w:val="28"/>
          <w:lang w:val="uk-UA"/>
        </w:rPr>
        <w:t xml:space="preserve">[Електронний ресурс]. </w:t>
      </w:r>
      <w:r w:rsidR="001E67FA" w:rsidRPr="00042924">
        <w:rPr>
          <w:rFonts w:ascii="Times New Roman" w:hAnsi="Times New Roman" w:cs="Times New Roman"/>
          <w:sz w:val="28"/>
          <w:szCs w:val="28"/>
          <w:lang w:val="uk-UA"/>
        </w:rPr>
        <w:t xml:space="preserve">  URL:</w:t>
      </w:r>
      <w:r w:rsidRPr="00042924">
        <w:rPr>
          <w:rFonts w:ascii="Times New Roman" w:hAnsi="Times New Roman" w:cs="Times New Roman"/>
          <w:sz w:val="28"/>
          <w:szCs w:val="28"/>
          <w:lang w:val="uk-UA"/>
        </w:rPr>
        <w:t xml:space="preserve"> </w:t>
      </w:r>
      <w:hyperlink w:history="1">
        <w:r w:rsidR="00684BC7" w:rsidRPr="00042924">
          <w:rPr>
            <w:rStyle w:val="a9"/>
            <w:rFonts w:ascii="Times New Roman" w:hAnsi="Times New Roman" w:cs="Times New Roman"/>
            <w:sz w:val="28"/>
            <w:szCs w:val="28"/>
            <w:lang w:val="uk-UA"/>
          </w:rPr>
          <w:t>https://clarityproject. info/edr/24432974</w:t>
        </w:r>
      </w:hyperlink>
      <w:r w:rsidRPr="00042924">
        <w:rPr>
          <w:rFonts w:ascii="Times New Roman" w:hAnsi="Times New Roman" w:cs="Times New Roman"/>
          <w:sz w:val="28"/>
          <w:szCs w:val="28"/>
          <w:lang w:val="uk-UA"/>
        </w:rPr>
        <w:t xml:space="preserve"> </w:t>
      </w:r>
    </w:p>
    <w:p w14:paraId="5277690B" w14:textId="77777777" w:rsidR="00E3575B" w:rsidRPr="00042924" w:rsidRDefault="0055183F" w:rsidP="00294118">
      <w:pPr>
        <w:pStyle w:val="a3"/>
        <w:numPr>
          <w:ilvl w:val="0"/>
          <w:numId w:val="1"/>
        </w:numPr>
        <w:spacing w:line="240" w:lineRule="auto"/>
        <w:jc w:val="both"/>
        <w:rPr>
          <w:rFonts w:ascii="Times New Roman" w:hAnsi="Times New Roman" w:cs="Times New Roman"/>
          <w:sz w:val="28"/>
          <w:szCs w:val="28"/>
          <w:lang w:val="uk-UA"/>
        </w:rPr>
      </w:pPr>
      <w:bookmarkStart w:id="33" w:name="_Hlk151988263"/>
      <w:r w:rsidRPr="00042924">
        <w:rPr>
          <w:rFonts w:ascii="Times New Roman" w:eastAsia="Times New Roman" w:hAnsi="Times New Roman" w:cs="Times New Roman"/>
          <w:sz w:val="28"/>
          <w:szCs w:val="28"/>
          <w:shd w:val="clear" w:color="auto" w:fill="FFFFFF"/>
          <w:lang w:val="uk-UA"/>
        </w:rPr>
        <w:t xml:space="preserve">ПАТ «АрселорМіттал Кривий Ріг»: Фінансова звітність та звіт незалежного аудитора 2020 - 2022. </w:t>
      </w:r>
      <w:r w:rsidR="00BE6C60">
        <w:rPr>
          <w:rFonts w:ascii="Times New Roman" w:hAnsi="Times New Roman" w:cs="Times New Roman"/>
          <w:sz w:val="28"/>
          <w:szCs w:val="28"/>
          <w:lang w:val="uk-UA"/>
        </w:rPr>
        <w:t xml:space="preserve">[Електронний ресурс]. </w:t>
      </w:r>
      <w:r w:rsidR="001E67FA" w:rsidRPr="00042924">
        <w:rPr>
          <w:rFonts w:ascii="Times New Roman" w:hAnsi="Times New Roman" w:cs="Times New Roman"/>
          <w:sz w:val="28"/>
          <w:szCs w:val="28"/>
          <w:lang w:val="uk-UA"/>
        </w:rPr>
        <w:t xml:space="preserve"> URL:</w:t>
      </w:r>
      <w:r w:rsidRPr="00042924">
        <w:rPr>
          <w:lang w:val="uk-UA"/>
        </w:rPr>
        <w:t xml:space="preserve"> </w:t>
      </w:r>
      <w:hyperlink r:id="rId26" w:history="1">
        <w:r w:rsidR="00807642" w:rsidRPr="00042924">
          <w:rPr>
            <w:rStyle w:val="a9"/>
            <w:rFonts w:ascii="Times New Roman" w:hAnsi="Times New Roman" w:cs="Times New Roman"/>
            <w:sz w:val="28"/>
            <w:szCs w:val="28"/>
            <w:lang w:val="uk-UA"/>
          </w:rPr>
          <w:t>https://clarityproject.info/</w:t>
        </w:r>
      </w:hyperlink>
      <w:r w:rsidRPr="00042924">
        <w:rPr>
          <w:rFonts w:ascii="Times New Roman" w:hAnsi="Times New Roman" w:cs="Times New Roman"/>
          <w:sz w:val="28"/>
          <w:szCs w:val="28"/>
          <w:lang w:val="uk-UA"/>
        </w:rPr>
        <w:t xml:space="preserve"> </w:t>
      </w:r>
      <w:bookmarkEnd w:id="33"/>
    </w:p>
    <w:p w14:paraId="4A05A163" w14:textId="77777777" w:rsidR="00E3575B" w:rsidRPr="00042924" w:rsidRDefault="00E3575B"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Державна служба статистики України [Електронний ресурс].  </w:t>
      </w:r>
      <w:r w:rsidR="00807642" w:rsidRPr="00042924">
        <w:rPr>
          <w:rFonts w:ascii="Times New Roman" w:hAnsi="Times New Roman" w:cs="Times New Roman"/>
          <w:sz w:val="28"/>
          <w:szCs w:val="28"/>
          <w:lang w:val="uk-UA"/>
        </w:rPr>
        <w:t>URL</w:t>
      </w:r>
      <w:r w:rsidRPr="00042924">
        <w:rPr>
          <w:rFonts w:ascii="Times New Roman" w:hAnsi="Times New Roman" w:cs="Times New Roman"/>
          <w:sz w:val="28"/>
          <w:szCs w:val="28"/>
          <w:lang w:val="uk-UA"/>
        </w:rPr>
        <w:t xml:space="preserve">: </w:t>
      </w:r>
      <w:hyperlink r:id="rId27" w:history="1">
        <w:r w:rsidR="008875A8" w:rsidRPr="00042924">
          <w:rPr>
            <w:rStyle w:val="a9"/>
            <w:rFonts w:ascii="Times New Roman" w:hAnsi="Times New Roman" w:cs="Times New Roman"/>
            <w:sz w:val="28"/>
            <w:szCs w:val="28"/>
            <w:lang w:val="uk-UA"/>
          </w:rPr>
          <w:t>http://www.ukrstat.gov.ua</w:t>
        </w:r>
      </w:hyperlink>
      <w:r w:rsidRPr="00042924">
        <w:rPr>
          <w:rFonts w:ascii="Times New Roman" w:hAnsi="Times New Roman" w:cs="Times New Roman"/>
          <w:sz w:val="28"/>
          <w:szCs w:val="28"/>
          <w:lang w:val="uk-UA"/>
        </w:rPr>
        <w:t>.</w:t>
      </w:r>
    </w:p>
    <w:p w14:paraId="550D3D5D" w14:textId="77777777" w:rsidR="00E3575B" w:rsidRPr="00042924" w:rsidRDefault="0048263A"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Віханський О.С. Стратегічне управління: підручник. М: Гардаріки, 2008.</w:t>
      </w:r>
      <w:r w:rsidR="00F8519C" w:rsidRPr="00042924">
        <w:rPr>
          <w:rFonts w:ascii="Times New Roman" w:eastAsia="Times New Roman" w:hAnsi="Times New Roman" w:cs="Times New Roman"/>
          <w:kern w:val="0"/>
          <w:sz w:val="28"/>
          <w:szCs w:val="28"/>
          <w:lang w:val="uk-UA"/>
          <w14:ligatures w14:val="none"/>
        </w:rPr>
        <w:t xml:space="preserve"> </w:t>
      </w:r>
      <w:r w:rsidRPr="00042924">
        <w:rPr>
          <w:rFonts w:ascii="Times New Roman" w:hAnsi="Times New Roman" w:cs="Times New Roman"/>
          <w:sz w:val="28"/>
          <w:szCs w:val="28"/>
          <w:lang w:val="uk-UA"/>
        </w:rPr>
        <w:t xml:space="preserve"> 296</w:t>
      </w:r>
      <w:r w:rsidR="00F8519C" w:rsidRPr="00042924">
        <w:rPr>
          <w:rFonts w:ascii="Times New Roman" w:hAnsi="Times New Roman" w:cs="Times New Roman"/>
          <w:sz w:val="28"/>
          <w:szCs w:val="28"/>
          <w:lang w:val="uk-UA"/>
        </w:rPr>
        <w:t xml:space="preserve"> c.</w:t>
      </w:r>
    </w:p>
    <w:p w14:paraId="77F7EFEC" w14:textId="77777777" w:rsidR="008F5CC2" w:rsidRPr="00042924" w:rsidRDefault="008F5CC2"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lastRenderedPageBreak/>
        <w:t>Найбільші виробники сталі в Укра</w:t>
      </w:r>
      <w:r w:rsidR="00BE6C60">
        <w:rPr>
          <w:rFonts w:ascii="Times New Roman" w:hAnsi="Times New Roman" w:cs="Times New Roman"/>
          <w:sz w:val="28"/>
          <w:szCs w:val="28"/>
          <w:lang w:val="uk-UA"/>
        </w:rPr>
        <w:t xml:space="preserve">їні 2022 [Електронний ресурс]. </w:t>
      </w:r>
      <w:r w:rsidRPr="00042924">
        <w:rPr>
          <w:rFonts w:ascii="Times New Roman" w:hAnsi="Times New Roman" w:cs="Times New Roman"/>
          <w:sz w:val="28"/>
          <w:szCs w:val="28"/>
          <w:lang w:val="uk-UA"/>
        </w:rPr>
        <w:t xml:space="preserve">URL: </w:t>
      </w:r>
      <w:hyperlink r:id="rId28" w:history="1">
        <w:r w:rsidR="00E37280" w:rsidRPr="00042924">
          <w:rPr>
            <w:rStyle w:val="a9"/>
            <w:rFonts w:ascii="Times New Roman" w:hAnsi="Times New Roman" w:cs="Times New Roman"/>
            <w:sz w:val="28"/>
            <w:szCs w:val="28"/>
            <w:lang w:val="uk-UA"/>
          </w:rPr>
          <w:t>http://shareuapotential.com/BE/ukrainian-steel-mills-2022.html</w:t>
        </w:r>
      </w:hyperlink>
      <w:r w:rsidR="00E37280" w:rsidRPr="00042924">
        <w:rPr>
          <w:rFonts w:ascii="Times New Roman" w:hAnsi="Times New Roman" w:cs="Times New Roman"/>
          <w:sz w:val="28"/>
          <w:szCs w:val="28"/>
          <w:lang w:val="uk-UA"/>
        </w:rPr>
        <w:t xml:space="preserve"> </w:t>
      </w:r>
    </w:p>
    <w:p w14:paraId="7DBC3A73" w14:textId="77777777" w:rsidR="006C5B54" w:rsidRPr="00042924" w:rsidRDefault="003526EC"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t xml:space="preserve">Прус Є.І. </w:t>
      </w:r>
      <w:r w:rsidR="00AE798C" w:rsidRPr="00042924">
        <w:rPr>
          <w:rFonts w:ascii="Times New Roman" w:hAnsi="Times New Roman" w:cs="Times New Roman"/>
          <w:sz w:val="28"/>
          <w:szCs w:val="28"/>
          <w:lang w:val="uk-UA"/>
        </w:rPr>
        <w:t>Зовнішньоторговельна політика як фактор розвитку</w:t>
      </w:r>
      <w:r w:rsidRPr="00042924">
        <w:rPr>
          <w:rFonts w:ascii="Times New Roman" w:hAnsi="Times New Roman" w:cs="Times New Roman"/>
          <w:sz w:val="28"/>
          <w:szCs w:val="28"/>
          <w:lang w:val="uk-UA"/>
        </w:rPr>
        <w:t xml:space="preserve"> </w:t>
      </w:r>
      <w:r w:rsidR="00AE798C" w:rsidRPr="00042924">
        <w:rPr>
          <w:rFonts w:ascii="Times New Roman" w:hAnsi="Times New Roman" w:cs="Times New Roman"/>
          <w:sz w:val="28"/>
          <w:szCs w:val="28"/>
          <w:lang w:val="uk-UA"/>
        </w:rPr>
        <w:t xml:space="preserve">реального сектора економіки України [Електронний ресурс]. URL: </w:t>
      </w:r>
      <w:hyperlink r:id="rId29" w:history="1">
        <w:r w:rsidR="00AE798C" w:rsidRPr="00042924">
          <w:rPr>
            <w:rStyle w:val="a9"/>
            <w:rFonts w:ascii="Times New Roman" w:hAnsi="Times New Roman" w:cs="Times New Roman"/>
            <w:sz w:val="28"/>
            <w:szCs w:val="28"/>
            <w:lang w:val="uk-UA"/>
          </w:rPr>
          <w:t>https://ir.duan.edu.ua/bitstream/12345...A1.pdf</w:t>
        </w:r>
      </w:hyperlink>
      <w:r w:rsidR="00AE798C" w:rsidRPr="00042924">
        <w:rPr>
          <w:rFonts w:ascii="Times New Roman" w:hAnsi="Times New Roman" w:cs="Times New Roman"/>
          <w:sz w:val="28"/>
          <w:szCs w:val="28"/>
          <w:lang w:val="uk-UA"/>
        </w:rPr>
        <w:t xml:space="preserve"> </w:t>
      </w:r>
    </w:p>
    <w:p w14:paraId="391B4896" w14:textId="77777777" w:rsidR="00AE798C" w:rsidRDefault="002A4FBB" w:rsidP="00294118">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Офіційний сайт агентства </w:t>
      </w:r>
      <w:r>
        <w:rPr>
          <w:rFonts w:ascii="Times New Roman" w:hAnsi="Times New Roman" w:cs="Times New Roman"/>
          <w:sz w:val="28"/>
          <w:szCs w:val="28"/>
          <w:lang w:val="en-US"/>
        </w:rPr>
        <w:t>Fitch</w:t>
      </w:r>
      <w:r w:rsidRPr="002A4FBB">
        <w:rPr>
          <w:rFonts w:ascii="Times New Roman" w:hAnsi="Times New Roman" w:cs="Times New Roman"/>
          <w:sz w:val="28"/>
          <w:szCs w:val="28"/>
          <w:lang w:val="uk-UA"/>
        </w:rPr>
        <w:t xml:space="preserve"> </w:t>
      </w:r>
      <w:r>
        <w:rPr>
          <w:rFonts w:ascii="Times New Roman" w:hAnsi="Times New Roman" w:cs="Times New Roman"/>
          <w:sz w:val="28"/>
          <w:szCs w:val="28"/>
          <w:lang w:val="en-US"/>
        </w:rPr>
        <w:t>Ratings</w:t>
      </w:r>
      <w:r w:rsidRPr="002A4FBB">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[Електронний ресурс]. URL:</w:t>
      </w:r>
      <w:r>
        <w:rPr>
          <w:rFonts w:ascii="Times New Roman" w:hAnsi="Times New Roman" w:cs="Times New Roman"/>
          <w:sz w:val="28"/>
          <w:szCs w:val="28"/>
          <w:lang w:val="uk-UA"/>
        </w:rPr>
        <w:t xml:space="preserve"> </w:t>
      </w:r>
      <w:hyperlink r:id="rId30" w:history="1">
        <w:r w:rsidRPr="00686FE5">
          <w:rPr>
            <w:rStyle w:val="a9"/>
            <w:rFonts w:ascii="Times New Roman" w:hAnsi="Times New Roman" w:cs="Times New Roman"/>
            <w:sz w:val="28"/>
            <w:szCs w:val="28"/>
            <w:lang w:val="uk-UA"/>
          </w:rPr>
          <w:t>https://www.fitchratings.com/</w:t>
        </w:r>
      </w:hyperlink>
    </w:p>
    <w:p w14:paraId="66BC713D" w14:textId="77777777" w:rsidR="00826FF6" w:rsidRPr="000101A9" w:rsidRDefault="002A4FBB" w:rsidP="000101A9">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Офіційний сайт</w:t>
      </w:r>
      <w:r w:rsidR="00A65060" w:rsidRPr="00A65060">
        <w:rPr>
          <w:rFonts w:ascii="Times New Roman" w:hAnsi="Times New Roman" w:cs="Times New Roman"/>
          <w:sz w:val="28"/>
          <w:szCs w:val="28"/>
        </w:rPr>
        <w:t xml:space="preserve"> </w:t>
      </w:r>
      <w:r w:rsidR="00AC52D9">
        <w:rPr>
          <w:rFonts w:ascii="Times New Roman" w:hAnsi="Times New Roman" w:cs="Times New Roman"/>
          <w:sz w:val="28"/>
          <w:szCs w:val="28"/>
          <w:lang w:val="uk-UA"/>
        </w:rPr>
        <w:t>є</w:t>
      </w:r>
      <w:r w:rsidR="00AC52D9" w:rsidRPr="00AC52D9">
        <w:rPr>
          <w:rFonts w:ascii="Times New Roman" w:hAnsi="Times New Roman" w:cs="Times New Roman"/>
          <w:sz w:val="28"/>
          <w:szCs w:val="28"/>
        </w:rPr>
        <w:t>вропейськ</w:t>
      </w:r>
      <w:r w:rsidR="00AC52D9">
        <w:rPr>
          <w:rFonts w:ascii="Times New Roman" w:hAnsi="Times New Roman" w:cs="Times New Roman"/>
          <w:sz w:val="28"/>
          <w:szCs w:val="28"/>
          <w:lang w:val="uk-UA"/>
        </w:rPr>
        <w:t>ого</w:t>
      </w:r>
      <w:r w:rsidR="00AC52D9" w:rsidRPr="00AC52D9">
        <w:rPr>
          <w:rFonts w:ascii="Times New Roman" w:hAnsi="Times New Roman" w:cs="Times New Roman"/>
          <w:sz w:val="28"/>
          <w:szCs w:val="28"/>
        </w:rPr>
        <w:t xml:space="preserve"> банк</w:t>
      </w:r>
      <w:r w:rsidR="00AC52D9">
        <w:rPr>
          <w:rFonts w:ascii="Times New Roman" w:hAnsi="Times New Roman" w:cs="Times New Roman"/>
          <w:sz w:val="28"/>
          <w:szCs w:val="28"/>
          <w:lang w:val="uk-UA"/>
        </w:rPr>
        <w:t>у</w:t>
      </w:r>
      <w:r w:rsidR="00AC52D9" w:rsidRPr="00AC52D9">
        <w:rPr>
          <w:rFonts w:ascii="Times New Roman" w:hAnsi="Times New Roman" w:cs="Times New Roman"/>
          <w:sz w:val="28"/>
          <w:szCs w:val="28"/>
        </w:rPr>
        <w:t xml:space="preserve"> реконструкці</w:t>
      </w:r>
      <w:r w:rsidR="00AC52D9">
        <w:rPr>
          <w:rFonts w:ascii="Times New Roman" w:hAnsi="Times New Roman" w:cs="Times New Roman"/>
          <w:sz w:val="28"/>
          <w:szCs w:val="28"/>
          <w:lang w:val="uk-UA"/>
        </w:rPr>
        <w:t>й</w:t>
      </w:r>
      <w:r w:rsidR="00AC52D9" w:rsidRPr="00AC52D9">
        <w:rPr>
          <w:rFonts w:ascii="Times New Roman" w:hAnsi="Times New Roman" w:cs="Times New Roman"/>
          <w:sz w:val="28"/>
          <w:szCs w:val="28"/>
        </w:rPr>
        <w:t xml:space="preserve"> та розвитку</w:t>
      </w:r>
      <w:r w:rsidR="00AC52D9">
        <w:rPr>
          <w:rFonts w:ascii="Times New Roman" w:hAnsi="Times New Roman" w:cs="Times New Roman"/>
          <w:sz w:val="28"/>
          <w:szCs w:val="28"/>
          <w:lang w:val="uk-UA"/>
        </w:rPr>
        <w:t xml:space="preserve"> </w:t>
      </w:r>
      <w:r w:rsidR="00826FF6">
        <w:rPr>
          <w:rFonts w:ascii="Times New Roman" w:hAnsi="Times New Roman" w:cs="Times New Roman"/>
          <w:sz w:val="28"/>
          <w:szCs w:val="28"/>
          <w:lang w:val="uk-UA"/>
        </w:rPr>
        <w:t>(ЄБРР)</w:t>
      </w:r>
      <w:r w:rsidR="00A65060" w:rsidRPr="00A65060">
        <w:rPr>
          <w:rFonts w:ascii="Times New Roman" w:hAnsi="Times New Roman" w:cs="Times New Roman"/>
          <w:sz w:val="28"/>
          <w:szCs w:val="28"/>
        </w:rPr>
        <w:t xml:space="preserve"> </w:t>
      </w:r>
      <w:r w:rsidR="00A65060" w:rsidRPr="00042924">
        <w:rPr>
          <w:rFonts w:ascii="Times New Roman" w:hAnsi="Times New Roman" w:cs="Times New Roman"/>
          <w:sz w:val="28"/>
          <w:szCs w:val="28"/>
          <w:lang w:val="uk-UA"/>
        </w:rPr>
        <w:t>[Електронний ресурс]. - URL:</w:t>
      </w:r>
      <w:r w:rsidR="00A65060">
        <w:rPr>
          <w:rFonts w:ascii="Times New Roman" w:hAnsi="Times New Roman" w:cs="Times New Roman"/>
          <w:sz w:val="28"/>
          <w:szCs w:val="28"/>
          <w:lang w:val="uk-UA"/>
        </w:rPr>
        <w:t xml:space="preserve"> </w:t>
      </w:r>
      <w:r w:rsidRPr="00A65060">
        <w:rPr>
          <w:rFonts w:ascii="Times New Roman" w:hAnsi="Times New Roman" w:cs="Times New Roman"/>
          <w:sz w:val="28"/>
          <w:szCs w:val="28"/>
        </w:rPr>
        <w:t xml:space="preserve"> </w:t>
      </w:r>
      <w:hyperlink r:id="rId31" w:history="1">
        <w:r w:rsidR="00826FF6" w:rsidRPr="00686FE5">
          <w:rPr>
            <w:rStyle w:val="a9"/>
            <w:rFonts w:ascii="Times New Roman" w:hAnsi="Times New Roman" w:cs="Times New Roman"/>
            <w:sz w:val="28"/>
            <w:szCs w:val="28"/>
            <w:lang w:val="en-US"/>
          </w:rPr>
          <w:t>https</w:t>
        </w:r>
        <w:r w:rsidR="00826FF6" w:rsidRPr="00686FE5">
          <w:rPr>
            <w:rStyle w:val="a9"/>
            <w:rFonts w:ascii="Times New Roman" w:hAnsi="Times New Roman" w:cs="Times New Roman"/>
            <w:sz w:val="28"/>
            <w:szCs w:val="28"/>
          </w:rPr>
          <w:t>://</w:t>
        </w:r>
        <w:r w:rsidR="00826FF6" w:rsidRPr="00686FE5">
          <w:rPr>
            <w:rStyle w:val="a9"/>
            <w:rFonts w:ascii="Times New Roman" w:hAnsi="Times New Roman" w:cs="Times New Roman"/>
            <w:sz w:val="28"/>
            <w:szCs w:val="28"/>
            <w:lang w:val="en-US"/>
          </w:rPr>
          <w:t>www</w:t>
        </w:r>
        <w:r w:rsidR="00826FF6" w:rsidRPr="00686FE5">
          <w:rPr>
            <w:rStyle w:val="a9"/>
            <w:rFonts w:ascii="Times New Roman" w:hAnsi="Times New Roman" w:cs="Times New Roman"/>
            <w:sz w:val="28"/>
            <w:szCs w:val="28"/>
          </w:rPr>
          <w:t>.</w:t>
        </w:r>
        <w:r w:rsidR="00826FF6" w:rsidRPr="00686FE5">
          <w:rPr>
            <w:rStyle w:val="a9"/>
            <w:rFonts w:ascii="Times New Roman" w:hAnsi="Times New Roman" w:cs="Times New Roman"/>
            <w:sz w:val="28"/>
            <w:szCs w:val="28"/>
            <w:lang w:val="en-US"/>
          </w:rPr>
          <w:t>ebrd</w:t>
        </w:r>
        <w:r w:rsidR="00826FF6" w:rsidRPr="00686FE5">
          <w:rPr>
            <w:rStyle w:val="a9"/>
            <w:rFonts w:ascii="Times New Roman" w:hAnsi="Times New Roman" w:cs="Times New Roman"/>
            <w:sz w:val="28"/>
            <w:szCs w:val="28"/>
          </w:rPr>
          <w:t>.</w:t>
        </w:r>
        <w:r w:rsidR="00826FF6" w:rsidRPr="00686FE5">
          <w:rPr>
            <w:rStyle w:val="a9"/>
            <w:rFonts w:ascii="Times New Roman" w:hAnsi="Times New Roman" w:cs="Times New Roman"/>
            <w:sz w:val="28"/>
            <w:szCs w:val="28"/>
            <w:lang w:val="en-US"/>
          </w:rPr>
          <w:t>com</w:t>
        </w:r>
        <w:r w:rsidR="00826FF6" w:rsidRPr="00686FE5">
          <w:rPr>
            <w:rStyle w:val="a9"/>
            <w:rFonts w:ascii="Times New Roman" w:hAnsi="Times New Roman" w:cs="Times New Roman"/>
            <w:sz w:val="28"/>
            <w:szCs w:val="28"/>
          </w:rPr>
          <w:t>/</w:t>
        </w:r>
        <w:r w:rsidR="00826FF6" w:rsidRPr="00686FE5">
          <w:rPr>
            <w:rStyle w:val="a9"/>
            <w:rFonts w:ascii="Times New Roman" w:hAnsi="Times New Roman" w:cs="Times New Roman"/>
            <w:sz w:val="28"/>
            <w:szCs w:val="28"/>
            <w:lang w:val="en-US"/>
          </w:rPr>
          <w:t>home</w:t>
        </w:r>
      </w:hyperlink>
    </w:p>
    <w:p w14:paraId="66512DB0" w14:textId="77777777" w:rsidR="007901C9" w:rsidRPr="00042924" w:rsidRDefault="007901C9" w:rsidP="00294118">
      <w:pPr>
        <w:pStyle w:val="a3"/>
        <w:numPr>
          <w:ilvl w:val="0"/>
          <w:numId w:val="1"/>
        </w:num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Регулярна інформація ПАТ «АМКР»: </w:t>
      </w:r>
      <w:r w:rsidRPr="007901C9">
        <w:rPr>
          <w:rFonts w:ascii="Times New Roman" w:hAnsi="Times New Roman" w:cs="Times New Roman"/>
          <w:sz w:val="28"/>
          <w:szCs w:val="28"/>
          <w:lang w:val="uk-UA"/>
        </w:rPr>
        <w:t>Фінансова звітність та звіт незалежного аудитора</w:t>
      </w:r>
      <w:r>
        <w:rPr>
          <w:rFonts w:ascii="Times New Roman" w:hAnsi="Times New Roman" w:cs="Times New Roman"/>
          <w:sz w:val="28"/>
          <w:szCs w:val="28"/>
          <w:lang w:val="uk-UA"/>
        </w:rPr>
        <w:t xml:space="preserve"> </w:t>
      </w:r>
      <w:r w:rsidRPr="00042924">
        <w:rPr>
          <w:rFonts w:ascii="Times New Roman" w:hAnsi="Times New Roman" w:cs="Times New Roman"/>
          <w:sz w:val="28"/>
          <w:szCs w:val="28"/>
          <w:lang w:val="uk-UA"/>
        </w:rPr>
        <w:t>[Електронний ресурс].  URL:</w:t>
      </w:r>
      <w:r>
        <w:rPr>
          <w:rFonts w:ascii="Times New Roman" w:hAnsi="Times New Roman" w:cs="Times New Roman"/>
          <w:sz w:val="28"/>
          <w:szCs w:val="28"/>
          <w:lang w:val="uk-UA"/>
        </w:rPr>
        <w:t xml:space="preserve"> </w:t>
      </w:r>
      <w:hyperlink r:id="rId32" w:history="1">
        <w:r w:rsidR="00427800" w:rsidRPr="00EA4186">
          <w:rPr>
            <w:rStyle w:val="a9"/>
            <w:rFonts w:ascii="Times New Roman" w:hAnsi="Times New Roman" w:cs="Times New Roman"/>
            <w:sz w:val="28"/>
            <w:szCs w:val="28"/>
            <w:lang w:val="uk-UA"/>
          </w:rPr>
          <w:t>https://ukraine.arcelormittal.com/wp-content/uploads/2023/12/finansova_zvitnist_ta_zvit_nezalezhnogo_audytora_2022.pdf</w:t>
        </w:r>
      </w:hyperlink>
      <w:r w:rsidR="00427800">
        <w:rPr>
          <w:rFonts w:ascii="Times New Roman" w:hAnsi="Times New Roman" w:cs="Times New Roman"/>
          <w:sz w:val="28"/>
          <w:szCs w:val="28"/>
          <w:lang w:val="uk-UA"/>
        </w:rPr>
        <w:t xml:space="preserve"> </w:t>
      </w:r>
    </w:p>
    <w:p w14:paraId="5352B4CB" w14:textId="77777777" w:rsidR="006D54AD" w:rsidRPr="00042924" w:rsidRDefault="006D54AD" w:rsidP="00294118">
      <w:pPr>
        <w:pStyle w:val="a3"/>
        <w:numPr>
          <w:ilvl w:val="0"/>
          <w:numId w:val="1"/>
        </w:numPr>
        <w:spacing w:line="240" w:lineRule="auto"/>
        <w:jc w:val="both"/>
        <w:rPr>
          <w:rFonts w:ascii="Times New Roman" w:hAnsi="Times New Roman" w:cs="Times New Roman"/>
          <w:sz w:val="28"/>
          <w:szCs w:val="28"/>
          <w:lang w:val="uk-UA"/>
        </w:rPr>
      </w:pPr>
      <w:r w:rsidRPr="00042924">
        <w:rPr>
          <w:rFonts w:ascii="Times New Roman" w:hAnsi="Times New Roman" w:cs="Times New Roman"/>
          <w:sz w:val="28"/>
          <w:szCs w:val="28"/>
          <w:lang w:val="uk-UA"/>
        </w:rPr>
        <w:br w:type="page"/>
      </w:r>
    </w:p>
    <w:p w14:paraId="26EEB341" w14:textId="77777777" w:rsidR="00CB0CF2" w:rsidRPr="00042924" w:rsidRDefault="006D54AD" w:rsidP="006D54AD">
      <w:pPr>
        <w:spacing w:after="0" w:line="240" w:lineRule="auto"/>
        <w:jc w:val="center"/>
        <w:rPr>
          <w:rFonts w:ascii="Times New Roman" w:hAnsi="Times New Roman" w:cs="Times New Roman"/>
          <w:b/>
          <w:bCs/>
          <w:sz w:val="28"/>
          <w:szCs w:val="28"/>
          <w:lang w:val="uk-UA"/>
        </w:rPr>
      </w:pPr>
      <w:r w:rsidRPr="00042924">
        <w:rPr>
          <w:rFonts w:ascii="Times New Roman" w:hAnsi="Times New Roman" w:cs="Times New Roman"/>
          <w:b/>
          <w:bCs/>
          <w:sz w:val="28"/>
          <w:szCs w:val="28"/>
          <w:lang w:val="uk-UA"/>
        </w:rPr>
        <w:lastRenderedPageBreak/>
        <w:t>ДОДАТКИ</w:t>
      </w:r>
    </w:p>
    <w:p w14:paraId="2E5F807B" w14:textId="77777777" w:rsidR="006D54AD" w:rsidRDefault="006D54AD" w:rsidP="006D54AD">
      <w:pPr>
        <w:spacing w:after="0" w:line="240" w:lineRule="auto"/>
        <w:jc w:val="center"/>
        <w:rPr>
          <w:rFonts w:ascii="Times New Roman" w:hAnsi="Times New Roman" w:cs="Times New Roman"/>
          <w:b/>
          <w:bCs/>
          <w:color w:val="000000" w:themeColor="text1"/>
          <w:sz w:val="28"/>
          <w:szCs w:val="28"/>
          <w:lang w:val="uk-UA"/>
        </w:rPr>
      </w:pPr>
    </w:p>
    <w:p w14:paraId="20D0CD8C" w14:textId="77777777" w:rsidR="003D0C0F" w:rsidRPr="00042924" w:rsidRDefault="003D0C0F" w:rsidP="006D54AD">
      <w:pPr>
        <w:spacing w:after="0" w:line="240" w:lineRule="auto"/>
        <w:jc w:val="center"/>
        <w:rPr>
          <w:rFonts w:ascii="Times New Roman" w:hAnsi="Times New Roman" w:cs="Times New Roman"/>
          <w:b/>
          <w:bCs/>
          <w:color w:val="000000" w:themeColor="text1"/>
          <w:sz w:val="28"/>
          <w:szCs w:val="28"/>
          <w:lang w:val="uk-UA"/>
        </w:rPr>
      </w:pPr>
    </w:p>
    <w:p w14:paraId="056A25B1" w14:textId="77777777" w:rsidR="006D54AD" w:rsidRPr="00042924" w:rsidRDefault="006D54AD" w:rsidP="006D54AD">
      <w:pPr>
        <w:spacing w:after="0" w:line="240" w:lineRule="auto"/>
        <w:jc w:val="center"/>
        <w:rPr>
          <w:rFonts w:ascii="Times New Roman" w:hAnsi="Times New Roman" w:cs="Times New Roman"/>
          <w:b/>
          <w:bCs/>
          <w:color w:val="000000" w:themeColor="text1"/>
          <w:sz w:val="28"/>
          <w:szCs w:val="28"/>
          <w:lang w:val="uk-UA"/>
        </w:rPr>
      </w:pPr>
      <w:r w:rsidRPr="00042924">
        <w:rPr>
          <w:rFonts w:ascii="Times New Roman" w:hAnsi="Times New Roman" w:cs="Times New Roman"/>
          <w:b/>
          <w:bCs/>
          <w:color w:val="000000" w:themeColor="text1"/>
          <w:sz w:val="28"/>
          <w:szCs w:val="28"/>
          <w:lang w:val="uk-UA"/>
        </w:rPr>
        <w:t>Додаток А</w:t>
      </w:r>
    </w:p>
    <w:p w14:paraId="5434A2C2" w14:textId="77777777" w:rsidR="00521555" w:rsidRPr="00042924" w:rsidRDefault="00816631" w:rsidP="004220C1">
      <w:pPr>
        <w:spacing w:after="0" w:line="240" w:lineRule="auto"/>
        <w:rPr>
          <w:rFonts w:ascii="Times New Roman" w:hAnsi="Times New Roman" w:cs="Times New Roman"/>
          <w:color w:val="000000" w:themeColor="text1"/>
          <w:sz w:val="28"/>
          <w:szCs w:val="28"/>
          <w:lang w:val="uk-UA"/>
        </w:rPr>
      </w:pPr>
      <w:r w:rsidRPr="00042924">
        <w:rPr>
          <w:rFonts w:ascii="Times New Roman" w:hAnsi="Times New Roman" w:cs="Times New Roman"/>
          <w:noProof/>
          <w:color w:val="000000" w:themeColor="text1"/>
          <w:sz w:val="28"/>
          <w:szCs w:val="28"/>
          <w:lang w:eastAsia="ru-RU"/>
        </w:rPr>
        <w:drawing>
          <wp:anchor distT="0" distB="0" distL="114300" distR="114300" simplePos="0" relativeHeight="251664384" behindDoc="0" locked="0" layoutInCell="1" allowOverlap="1" wp14:anchorId="3C13B70F" wp14:editId="5B629EED">
            <wp:simplePos x="0" y="0"/>
            <wp:positionH relativeFrom="column">
              <wp:posOffset>-182880</wp:posOffset>
            </wp:positionH>
            <wp:positionV relativeFrom="paragraph">
              <wp:posOffset>348615</wp:posOffset>
            </wp:positionV>
            <wp:extent cx="6320101" cy="5209954"/>
            <wp:effectExtent l="0" t="0" r="5080" b="0"/>
            <wp:wrapTopAndBottom/>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l="10627" t="9528" r="11467" b="11759"/>
                    <a:stretch>
                      <a:fillRect/>
                    </a:stretch>
                  </pic:blipFill>
                  <pic:spPr bwMode="auto">
                    <a:xfrm>
                      <a:off x="0" y="0"/>
                      <a:ext cx="6320101" cy="520995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254D3CF" w14:textId="77777777" w:rsidR="00521555" w:rsidRPr="00042924" w:rsidRDefault="00521555" w:rsidP="006D54AD">
      <w:pPr>
        <w:spacing w:after="0" w:line="240" w:lineRule="auto"/>
        <w:jc w:val="center"/>
        <w:rPr>
          <w:rFonts w:ascii="Times New Roman" w:hAnsi="Times New Roman" w:cs="Times New Roman"/>
          <w:color w:val="000000" w:themeColor="text1"/>
          <w:sz w:val="28"/>
          <w:szCs w:val="28"/>
          <w:lang w:val="uk-UA"/>
        </w:rPr>
      </w:pPr>
    </w:p>
    <w:p w14:paraId="0B4E4BD3" w14:textId="77777777" w:rsidR="003D0C0F" w:rsidRDefault="00816631" w:rsidP="00816631">
      <w:pPr>
        <w:spacing w:after="0" w:line="240" w:lineRule="auto"/>
        <w:jc w:val="center"/>
        <w:rPr>
          <w:rFonts w:ascii="Times New Roman" w:hAnsi="Times New Roman" w:cs="Times New Roman"/>
          <w:color w:val="000000" w:themeColor="text1"/>
          <w:sz w:val="28"/>
          <w:szCs w:val="28"/>
          <w:lang w:val="uk-UA"/>
        </w:rPr>
      </w:pPr>
      <w:r w:rsidRPr="00042924">
        <w:rPr>
          <w:rFonts w:ascii="Times New Roman" w:hAnsi="Times New Roman" w:cs="Times New Roman"/>
          <w:color w:val="000000" w:themeColor="text1"/>
          <w:sz w:val="28"/>
          <w:szCs w:val="28"/>
          <w:lang w:val="uk-UA"/>
        </w:rPr>
        <w:t xml:space="preserve">Рисунок </w:t>
      </w:r>
      <w:r w:rsidR="004220C1" w:rsidRPr="00042924">
        <w:rPr>
          <w:rFonts w:ascii="Times New Roman" w:hAnsi="Times New Roman" w:cs="Times New Roman"/>
          <w:color w:val="000000" w:themeColor="text1"/>
          <w:sz w:val="28"/>
          <w:szCs w:val="28"/>
          <w:lang w:val="uk-UA"/>
        </w:rPr>
        <w:t>А</w:t>
      </w:r>
      <w:r w:rsidRPr="00042924">
        <w:rPr>
          <w:rFonts w:ascii="Times New Roman" w:hAnsi="Times New Roman" w:cs="Times New Roman"/>
          <w:color w:val="000000" w:themeColor="text1"/>
          <w:sz w:val="28"/>
          <w:szCs w:val="28"/>
          <w:lang w:val="uk-UA"/>
        </w:rPr>
        <w:t>.1 – Організаційна структура поточного управління ПАТ «</w:t>
      </w:r>
      <w:r w:rsidR="005A725F">
        <w:rPr>
          <w:rFonts w:ascii="Times New Roman" w:hAnsi="Times New Roman" w:cs="Times New Roman"/>
          <w:color w:val="000000" w:themeColor="text1"/>
          <w:sz w:val="28"/>
          <w:szCs w:val="28"/>
          <w:lang w:val="uk-UA"/>
        </w:rPr>
        <w:t>АМКР</w:t>
      </w:r>
      <w:r w:rsidRPr="00042924">
        <w:rPr>
          <w:rFonts w:ascii="Times New Roman" w:hAnsi="Times New Roman" w:cs="Times New Roman"/>
          <w:color w:val="000000" w:themeColor="text1"/>
          <w:sz w:val="28"/>
          <w:szCs w:val="28"/>
          <w:lang w:val="uk-UA"/>
        </w:rPr>
        <w:t>»</w:t>
      </w:r>
    </w:p>
    <w:p w14:paraId="55BF83CB" w14:textId="77777777" w:rsidR="003D0C0F" w:rsidRDefault="003D0C0F">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br w:type="page"/>
      </w:r>
    </w:p>
    <w:p w14:paraId="2F2FDEAD" w14:textId="77777777" w:rsidR="00816631" w:rsidRPr="00CC795A" w:rsidRDefault="003D0C0F" w:rsidP="00816631">
      <w:pPr>
        <w:spacing w:after="0" w:line="240" w:lineRule="auto"/>
        <w:jc w:val="center"/>
        <w:rPr>
          <w:rFonts w:ascii="Times New Roman" w:hAnsi="Times New Roman" w:cs="Times New Roman"/>
          <w:b/>
          <w:bCs/>
          <w:color w:val="000000" w:themeColor="text1"/>
          <w:sz w:val="28"/>
          <w:szCs w:val="28"/>
          <w:lang w:val="uk-UA"/>
        </w:rPr>
      </w:pPr>
      <w:r w:rsidRPr="00CC795A">
        <w:rPr>
          <w:rFonts w:ascii="Times New Roman" w:hAnsi="Times New Roman" w:cs="Times New Roman"/>
          <w:b/>
          <w:bCs/>
          <w:color w:val="000000" w:themeColor="text1"/>
          <w:sz w:val="28"/>
          <w:szCs w:val="28"/>
          <w:lang w:val="uk-UA"/>
        </w:rPr>
        <w:lastRenderedPageBreak/>
        <w:t>Додаток Б</w:t>
      </w:r>
    </w:p>
    <w:p w14:paraId="5A7E5888" w14:textId="77777777" w:rsidR="003D0C0F" w:rsidRPr="00DC5FDD" w:rsidRDefault="003D0C0F" w:rsidP="00816631">
      <w:pPr>
        <w:spacing w:after="0" w:line="240" w:lineRule="auto"/>
        <w:jc w:val="center"/>
        <w:rPr>
          <w:rFonts w:ascii="Times New Roman" w:hAnsi="Times New Roman" w:cs="Times New Roman"/>
          <w:color w:val="000000" w:themeColor="text1"/>
          <w:sz w:val="28"/>
          <w:szCs w:val="28"/>
          <w:lang w:val="uk-UA"/>
        </w:rPr>
      </w:pPr>
    </w:p>
    <w:p w14:paraId="3C173066" w14:textId="77777777" w:rsidR="003D0C0F" w:rsidRPr="00DC5FDD" w:rsidRDefault="003D0C0F" w:rsidP="00816631">
      <w:pPr>
        <w:spacing w:after="0" w:line="240" w:lineRule="auto"/>
        <w:jc w:val="center"/>
        <w:rPr>
          <w:rFonts w:ascii="Times New Roman" w:hAnsi="Times New Roman" w:cs="Times New Roman"/>
          <w:color w:val="000000" w:themeColor="text1"/>
          <w:sz w:val="28"/>
          <w:szCs w:val="28"/>
          <w:lang w:val="uk-UA"/>
        </w:rPr>
      </w:pPr>
    </w:p>
    <w:p w14:paraId="60A88E79" w14:textId="77777777" w:rsidR="00DC5FDD" w:rsidRPr="00DC5FDD" w:rsidRDefault="00DC5FDD" w:rsidP="00760865">
      <w:pPr>
        <w:widowControl w:val="0"/>
        <w:autoSpaceDE w:val="0"/>
        <w:autoSpaceDN w:val="0"/>
        <w:spacing w:after="0" w:line="240" w:lineRule="auto"/>
        <w:ind w:firstLine="709"/>
        <w:jc w:val="center"/>
        <w:rPr>
          <w:rFonts w:ascii="Times New Roman" w:eastAsia="Times New Roman" w:hAnsi="Times New Roman" w:cs="Times New Roman"/>
          <w:sz w:val="28"/>
          <w:szCs w:val="28"/>
          <w:lang w:val="uk-UA"/>
          <w14:ligatures w14:val="none"/>
        </w:rPr>
      </w:pPr>
      <w:bookmarkStart w:id="34" w:name="_Hlk151570559"/>
      <w:r w:rsidRPr="00DC5FDD">
        <w:rPr>
          <w:rFonts w:ascii="Times New Roman" w:eastAsia="Times New Roman" w:hAnsi="Times New Roman" w:cs="Times New Roman"/>
          <w:sz w:val="28"/>
          <w:szCs w:val="28"/>
          <w:lang w:val="uk-UA"/>
          <w14:ligatures w14:val="none"/>
        </w:rPr>
        <w:t>Таблиця</w:t>
      </w:r>
      <w:r w:rsidRPr="00DC5FDD">
        <w:rPr>
          <w:rFonts w:ascii="Times New Roman" w:eastAsia="Times New Roman" w:hAnsi="Times New Roman" w:cs="Times New Roman"/>
          <w:spacing w:val="-1"/>
          <w:sz w:val="28"/>
          <w:szCs w:val="28"/>
          <w:lang w:val="uk-UA"/>
          <w14:ligatures w14:val="none"/>
        </w:rPr>
        <w:t xml:space="preserve"> </w:t>
      </w:r>
      <w:r w:rsidR="00BC64D2">
        <w:rPr>
          <w:rFonts w:ascii="Times New Roman" w:eastAsia="Times New Roman" w:hAnsi="Times New Roman" w:cs="Times New Roman"/>
          <w:sz w:val="28"/>
          <w:szCs w:val="28"/>
          <w:lang w:val="uk-UA"/>
          <w14:ligatures w14:val="none"/>
        </w:rPr>
        <w:t>Б</w:t>
      </w:r>
      <w:r w:rsidRPr="00DC5FDD">
        <w:rPr>
          <w:rFonts w:ascii="Times New Roman" w:eastAsia="Times New Roman" w:hAnsi="Times New Roman" w:cs="Times New Roman"/>
          <w:sz w:val="28"/>
          <w:szCs w:val="28"/>
          <w:lang w:val="uk-UA"/>
          <w14:ligatures w14:val="none"/>
        </w:rPr>
        <w:t>.</w:t>
      </w:r>
      <w:r w:rsidR="00BC64D2">
        <w:rPr>
          <w:rFonts w:ascii="Times New Roman" w:eastAsia="Times New Roman" w:hAnsi="Times New Roman" w:cs="Times New Roman"/>
          <w:sz w:val="28"/>
          <w:szCs w:val="28"/>
          <w:lang w:val="uk-UA"/>
          <w14:ligatures w14:val="none"/>
        </w:rPr>
        <w:t>1</w:t>
      </w:r>
      <w:r w:rsidRPr="00DC5FDD">
        <w:rPr>
          <w:rFonts w:ascii="Times New Roman" w:eastAsia="Times New Roman" w:hAnsi="Times New Roman" w:cs="Times New Roman"/>
          <w:spacing w:val="-2"/>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w:t>
      </w:r>
      <w:r w:rsidRPr="00DC5FDD">
        <w:rPr>
          <w:rFonts w:ascii="Times New Roman" w:eastAsia="Times New Roman" w:hAnsi="Times New Roman" w:cs="Times New Roman"/>
          <w:spacing w:val="-5"/>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Аналітичний</w:t>
      </w:r>
      <w:r w:rsidRPr="00DC5FDD">
        <w:rPr>
          <w:rFonts w:ascii="Times New Roman" w:eastAsia="Times New Roman" w:hAnsi="Times New Roman" w:cs="Times New Roman"/>
          <w:spacing w:val="-4"/>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баланс</w:t>
      </w:r>
      <w:r w:rsidRPr="00DC5FDD">
        <w:rPr>
          <w:rFonts w:ascii="Times New Roman" w:eastAsia="Times New Roman" w:hAnsi="Times New Roman" w:cs="Times New Roman"/>
          <w:spacing w:val="-3"/>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ПАТ</w:t>
      </w:r>
      <w:r w:rsidRPr="00DC5FDD">
        <w:rPr>
          <w:rFonts w:ascii="Times New Roman" w:eastAsia="Times New Roman" w:hAnsi="Times New Roman" w:cs="Times New Roman"/>
          <w:spacing w:val="-1"/>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«АМКР»</w:t>
      </w:r>
    </w:p>
    <w:tbl>
      <w:tblPr>
        <w:tblW w:w="5150" w:type="pct"/>
        <w:tblInd w:w="-289" w:type="dxa"/>
        <w:tblLayout w:type="fixed"/>
        <w:tblCellMar>
          <w:top w:w="28" w:type="dxa"/>
          <w:left w:w="28" w:type="dxa"/>
          <w:bottom w:w="28" w:type="dxa"/>
          <w:right w:w="28" w:type="dxa"/>
        </w:tblCellMar>
        <w:tblLook w:val="04A0" w:firstRow="1" w:lastRow="0" w:firstColumn="1" w:lastColumn="0" w:noHBand="0" w:noVBand="1"/>
      </w:tblPr>
      <w:tblGrid>
        <w:gridCol w:w="1896"/>
        <w:gridCol w:w="1459"/>
        <w:gridCol w:w="1313"/>
        <w:gridCol w:w="1458"/>
        <w:gridCol w:w="1409"/>
        <w:gridCol w:w="1366"/>
        <w:gridCol w:w="1307"/>
      </w:tblGrid>
      <w:tr w:rsidR="00DC5FDD" w:rsidRPr="00DC5FDD" w14:paraId="7260B387" w14:textId="77777777" w:rsidTr="0029174C">
        <w:trPr>
          <w:trHeight w:val="20"/>
        </w:trPr>
        <w:tc>
          <w:tcPr>
            <w:tcW w:w="9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E947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Показники</w:t>
            </w:r>
          </w:p>
        </w:tc>
        <w:tc>
          <w:tcPr>
            <w:tcW w:w="1358"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438C20"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2020</w:t>
            </w:r>
          </w:p>
        </w:tc>
        <w:tc>
          <w:tcPr>
            <w:tcW w:w="1404" w:type="pct"/>
            <w:gridSpan w:val="2"/>
            <w:tcBorders>
              <w:top w:val="single" w:sz="4" w:space="0" w:color="auto"/>
              <w:left w:val="nil"/>
              <w:bottom w:val="single" w:sz="4" w:space="0" w:color="auto"/>
              <w:right w:val="single" w:sz="4" w:space="0" w:color="auto"/>
            </w:tcBorders>
            <w:shd w:val="clear" w:color="auto" w:fill="auto"/>
            <w:noWrap/>
            <w:vAlign w:val="center"/>
            <w:hideMark/>
          </w:tcPr>
          <w:p w14:paraId="7863861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2021</w:t>
            </w:r>
          </w:p>
        </w:tc>
        <w:tc>
          <w:tcPr>
            <w:tcW w:w="1309" w:type="pct"/>
            <w:gridSpan w:val="2"/>
            <w:tcBorders>
              <w:top w:val="single" w:sz="4" w:space="0" w:color="auto"/>
              <w:left w:val="nil"/>
              <w:bottom w:val="single" w:sz="4" w:space="0" w:color="auto"/>
              <w:right w:val="single" w:sz="4" w:space="0" w:color="auto"/>
            </w:tcBorders>
            <w:shd w:val="clear" w:color="auto" w:fill="auto"/>
            <w:noWrap/>
            <w:vAlign w:val="center"/>
            <w:hideMark/>
          </w:tcPr>
          <w:p w14:paraId="1D1CBBE3"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2022</w:t>
            </w:r>
          </w:p>
        </w:tc>
      </w:tr>
      <w:tr w:rsidR="00DC5FDD" w:rsidRPr="00DC5FDD" w14:paraId="08806E5D" w14:textId="77777777" w:rsidTr="0029174C">
        <w:trPr>
          <w:trHeight w:val="20"/>
        </w:trPr>
        <w:tc>
          <w:tcPr>
            <w:tcW w:w="929" w:type="pct"/>
            <w:vMerge/>
            <w:tcBorders>
              <w:top w:val="single" w:sz="4" w:space="0" w:color="auto"/>
              <w:left w:val="single" w:sz="4" w:space="0" w:color="auto"/>
              <w:bottom w:val="single" w:sz="4" w:space="0" w:color="auto"/>
              <w:right w:val="single" w:sz="4" w:space="0" w:color="auto"/>
            </w:tcBorders>
            <w:vAlign w:val="center"/>
            <w:hideMark/>
          </w:tcPr>
          <w:p w14:paraId="02D42780" w14:textId="77777777" w:rsidR="00DC5FDD" w:rsidRPr="00DC5FDD" w:rsidRDefault="00DC5FDD" w:rsidP="0029174C">
            <w:pPr>
              <w:spacing w:after="0" w:line="240" w:lineRule="auto"/>
              <w:rPr>
                <w:rFonts w:ascii="Times New Roman" w:eastAsia="Times New Roman" w:hAnsi="Times New Roman" w:cs="Times New Roman"/>
                <w:color w:val="000000"/>
                <w:sz w:val="20"/>
                <w:szCs w:val="20"/>
                <w:lang w:val="uk-UA" w:eastAsia="ru-RU"/>
                <w14:ligatures w14:val="none"/>
              </w:rPr>
            </w:pPr>
          </w:p>
        </w:tc>
        <w:tc>
          <w:tcPr>
            <w:tcW w:w="715" w:type="pct"/>
            <w:tcBorders>
              <w:top w:val="nil"/>
              <w:left w:val="nil"/>
              <w:bottom w:val="single" w:sz="4" w:space="0" w:color="auto"/>
              <w:right w:val="single" w:sz="4" w:space="0" w:color="auto"/>
            </w:tcBorders>
            <w:shd w:val="clear" w:color="auto" w:fill="auto"/>
            <w:vAlign w:val="center"/>
            <w:hideMark/>
          </w:tcPr>
          <w:p w14:paraId="1FFC0AE1"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тис. грн</w:t>
            </w:r>
          </w:p>
        </w:tc>
        <w:tc>
          <w:tcPr>
            <w:tcW w:w="643" w:type="pct"/>
            <w:tcBorders>
              <w:top w:val="nil"/>
              <w:left w:val="nil"/>
              <w:bottom w:val="single" w:sz="4" w:space="0" w:color="auto"/>
              <w:right w:val="single" w:sz="4" w:space="0" w:color="auto"/>
            </w:tcBorders>
            <w:shd w:val="clear" w:color="auto" w:fill="auto"/>
            <w:noWrap/>
            <w:vAlign w:val="center"/>
            <w:hideMark/>
          </w:tcPr>
          <w:p w14:paraId="233A281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Частка, %</w:t>
            </w:r>
          </w:p>
        </w:tc>
        <w:tc>
          <w:tcPr>
            <w:tcW w:w="714" w:type="pct"/>
            <w:tcBorders>
              <w:top w:val="nil"/>
              <w:left w:val="nil"/>
              <w:bottom w:val="single" w:sz="4" w:space="0" w:color="auto"/>
              <w:right w:val="single" w:sz="4" w:space="0" w:color="auto"/>
            </w:tcBorders>
            <w:shd w:val="clear" w:color="auto" w:fill="auto"/>
            <w:vAlign w:val="center"/>
            <w:hideMark/>
          </w:tcPr>
          <w:p w14:paraId="0921D13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тис. грн</w:t>
            </w:r>
          </w:p>
        </w:tc>
        <w:tc>
          <w:tcPr>
            <w:tcW w:w="690" w:type="pct"/>
            <w:tcBorders>
              <w:top w:val="nil"/>
              <w:left w:val="nil"/>
              <w:bottom w:val="single" w:sz="4" w:space="0" w:color="auto"/>
              <w:right w:val="single" w:sz="4" w:space="0" w:color="auto"/>
            </w:tcBorders>
            <w:shd w:val="clear" w:color="auto" w:fill="auto"/>
            <w:noWrap/>
            <w:vAlign w:val="center"/>
            <w:hideMark/>
          </w:tcPr>
          <w:p w14:paraId="71647F1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Частка, %</w:t>
            </w:r>
          </w:p>
        </w:tc>
        <w:tc>
          <w:tcPr>
            <w:tcW w:w="669" w:type="pct"/>
            <w:tcBorders>
              <w:top w:val="nil"/>
              <w:left w:val="nil"/>
              <w:bottom w:val="single" w:sz="4" w:space="0" w:color="auto"/>
              <w:right w:val="single" w:sz="4" w:space="0" w:color="auto"/>
            </w:tcBorders>
            <w:shd w:val="clear" w:color="auto" w:fill="auto"/>
            <w:vAlign w:val="center"/>
            <w:hideMark/>
          </w:tcPr>
          <w:p w14:paraId="376CEAE7"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тис. грн</w:t>
            </w:r>
          </w:p>
        </w:tc>
        <w:tc>
          <w:tcPr>
            <w:tcW w:w="640" w:type="pct"/>
            <w:tcBorders>
              <w:top w:val="nil"/>
              <w:left w:val="nil"/>
              <w:bottom w:val="single" w:sz="4" w:space="0" w:color="auto"/>
              <w:right w:val="single" w:sz="4" w:space="0" w:color="auto"/>
            </w:tcBorders>
            <w:shd w:val="clear" w:color="auto" w:fill="auto"/>
            <w:noWrap/>
            <w:vAlign w:val="center"/>
            <w:hideMark/>
          </w:tcPr>
          <w:p w14:paraId="687C6D77"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Частка, %</w:t>
            </w:r>
          </w:p>
        </w:tc>
      </w:tr>
      <w:tr w:rsidR="00DC5FDD" w:rsidRPr="00DC5FDD" w14:paraId="75BDCB22" w14:textId="77777777" w:rsidTr="0029174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68A20"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Активи</w:t>
            </w:r>
          </w:p>
        </w:tc>
      </w:tr>
      <w:tr w:rsidR="00DC5FDD" w:rsidRPr="00DC5FDD" w14:paraId="00ED5A84"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0D26CB9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Необоротні активи</w:t>
            </w:r>
          </w:p>
        </w:tc>
        <w:tc>
          <w:tcPr>
            <w:tcW w:w="715" w:type="pct"/>
            <w:tcBorders>
              <w:top w:val="nil"/>
              <w:left w:val="nil"/>
              <w:bottom w:val="single" w:sz="4" w:space="0" w:color="auto"/>
              <w:right w:val="single" w:sz="4" w:space="0" w:color="auto"/>
            </w:tcBorders>
            <w:shd w:val="clear" w:color="auto" w:fill="auto"/>
            <w:vAlign w:val="center"/>
            <w:hideMark/>
          </w:tcPr>
          <w:p w14:paraId="245C4907"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58 303 758</w:t>
            </w:r>
          </w:p>
        </w:tc>
        <w:tc>
          <w:tcPr>
            <w:tcW w:w="643" w:type="pct"/>
            <w:tcBorders>
              <w:top w:val="nil"/>
              <w:left w:val="nil"/>
              <w:bottom w:val="single" w:sz="4" w:space="0" w:color="auto"/>
              <w:right w:val="single" w:sz="4" w:space="0" w:color="auto"/>
            </w:tcBorders>
            <w:shd w:val="clear" w:color="auto" w:fill="auto"/>
            <w:vAlign w:val="center"/>
            <w:hideMark/>
          </w:tcPr>
          <w:p w14:paraId="036A52BC"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65,99%</w:t>
            </w:r>
          </w:p>
        </w:tc>
        <w:tc>
          <w:tcPr>
            <w:tcW w:w="714" w:type="pct"/>
            <w:tcBorders>
              <w:top w:val="nil"/>
              <w:left w:val="nil"/>
              <w:bottom w:val="single" w:sz="4" w:space="0" w:color="auto"/>
              <w:right w:val="single" w:sz="4" w:space="0" w:color="auto"/>
            </w:tcBorders>
            <w:shd w:val="clear" w:color="auto" w:fill="auto"/>
            <w:vAlign w:val="center"/>
            <w:hideMark/>
          </w:tcPr>
          <w:p w14:paraId="20F4AAD3"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60 187 446</w:t>
            </w:r>
          </w:p>
        </w:tc>
        <w:tc>
          <w:tcPr>
            <w:tcW w:w="690" w:type="pct"/>
            <w:tcBorders>
              <w:top w:val="nil"/>
              <w:left w:val="nil"/>
              <w:bottom w:val="single" w:sz="4" w:space="0" w:color="auto"/>
              <w:right w:val="single" w:sz="4" w:space="0" w:color="auto"/>
            </w:tcBorders>
            <w:shd w:val="clear" w:color="auto" w:fill="auto"/>
            <w:vAlign w:val="center"/>
            <w:hideMark/>
          </w:tcPr>
          <w:p w14:paraId="654A20C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56,89%</w:t>
            </w:r>
          </w:p>
        </w:tc>
        <w:tc>
          <w:tcPr>
            <w:tcW w:w="669" w:type="pct"/>
            <w:tcBorders>
              <w:top w:val="nil"/>
              <w:left w:val="nil"/>
              <w:bottom w:val="single" w:sz="4" w:space="0" w:color="auto"/>
              <w:right w:val="single" w:sz="4" w:space="0" w:color="auto"/>
            </w:tcBorders>
            <w:shd w:val="clear" w:color="auto" w:fill="auto"/>
            <w:vAlign w:val="center"/>
            <w:hideMark/>
          </w:tcPr>
          <w:p w14:paraId="67D8D1CD"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22 979 342</w:t>
            </w:r>
          </w:p>
        </w:tc>
        <w:tc>
          <w:tcPr>
            <w:tcW w:w="640" w:type="pct"/>
            <w:tcBorders>
              <w:top w:val="nil"/>
              <w:left w:val="nil"/>
              <w:bottom w:val="single" w:sz="4" w:space="0" w:color="auto"/>
              <w:right w:val="single" w:sz="4" w:space="0" w:color="auto"/>
            </w:tcBorders>
            <w:shd w:val="clear" w:color="auto" w:fill="auto"/>
            <w:vAlign w:val="center"/>
            <w:hideMark/>
          </w:tcPr>
          <w:p w14:paraId="03F59F4F"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43,62%</w:t>
            </w:r>
          </w:p>
        </w:tc>
      </w:tr>
      <w:tr w:rsidR="00DC5FDD" w:rsidRPr="00DC5FDD" w14:paraId="48EA2A15"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2CB63200"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Оборотні активи</w:t>
            </w:r>
          </w:p>
        </w:tc>
        <w:tc>
          <w:tcPr>
            <w:tcW w:w="715" w:type="pct"/>
            <w:tcBorders>
              <w:top w:val="nil"/>
              <w:left w:val="nil"/>
              <w:bottom w:val="single" w:sz="4" w:space="0" w:color="auto"/>
              <w:right w:val="single" w:sz="4" w:space="0" w:color="auto"/>
            </w:tcBorders>
            <w:shd w:val="clear" w:color="auto" w:fill="auto"/>
            <w:vAlign w:val="center"/>
            <w:hideMark/>
          </w:tcPr>
          <w:p w14:paraId="64A8FEB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30 045 798</w:t>
            </w:r>
          </w:p>
        </w:tc>
        <w:tc>
          <w:tcPr>
            <w:tcW w:w="643" w:type="pct"/>
            <w:tcBorders>
              <w:top w:val="nil"/>
              <w:left w:val="nil"/>
              <w:bottom w:val="single" w:sz="4" w:space="0" w:color="auto"/>
              <w:right w:val="single" w:sz="4" w:space="0" w:color="auto"/>
            </w:tcBorders>
            <w:shd w:val="clear" w:color="auto" w:fill="auto"/>
            <w:vAlign w:val="center"/>
            <w:hideMark/>
          </w:tcPr>
          <w:p w14:paraId="4241B513"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34,01%</w:t>
            </w:r>
          </w:p>
        </w:tc>
        <w:tc>
          <w:tcPr>
            <w:tcW w:w="714" w:type="pct"/>
            <w:tcBorders>
              <w:top w:val="nil"/>
              <w:left w:val="nil"/>
              <w:bottom w:val="single" w:sz="4" w:space="0" w:color="auto"/>
              <w:right w:val="single" w:sz="4" w:space="0" w:color="auto"/>
            </w:tcBorders>
            <w:shd w:val="clear" w:color="auto" w:fill="auto"/>
            <w:vAlign w:val="center"/>
            <w:hideMark/>
          </w:tcPr>
          <w:p w14:paraId="6DCC673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45 613 529</w:t>
            </w:r>
          </w:p>
        </w:tc>
        <w:tc>
          <w:tcPr>
            <w:tcW w:w="690" w:type="pct"/>
            <w:tcBorders>
              <w:top w:val="nil"/>
              <w:left w:val="nil"/>
              <w:bottom w:val="single" w:sz="4" w:space="0" w:color="auto"/>
              <w:right w:val="single" w:sz="4" w:space="0" w:color="auto"/>
            </w:tcBorders>
            <w:shd w:val="clear" w:color="auto" w:fill="auto"/>
            <w:vAlign w:val="center"/>
            <w:hideMark/>
          </w:tcPr>
          <w:p w14:paraId="55A1074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43,11%</w:t>
            </w:r>
          </w:p>
        </w:tc>
        <w:tc>
          <w:tcPr>
            <w:tcW w:w="669" w:type="pct"/>
            <w:tcBorders>
              <w:top w:val="nil"/>
              <w:left w:val="nil"/>
              <w:bottom w:val="single" w:sz="4" w:space="0" w:color="auto"/>
              <w:right w:val="single" w:sz="4" w:space="0" w:color="auto"/>
            </w:tcBorders>
            <w:shd w:val="clear" w:color="auto" w:fill="auto"/>
            <w:vAlign w:val="center"/>
            <w:hideMark/>
          </w:tcPr>
          <w:p w14:paraId="1DA19F64"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29 703 419</w:t>
            </w:r>
          </w:p>
        </w:tc>
        <w:tc>
          <w:tcPr>
            <w:tcW w:w="640" w:type="pct"/>
            <w:tcBorders>
              <w:top w:val="nil"/>
              <w:left w:val="nil"/>
              <w:bottom w:val="single" w:sz="4" w:space="0" w:color="auto"/>
              <w:right w:val="single" w:sz="4" w:space="0" w:color="auto"/>
            </w:tcBorders>
            <w:shd w:val="clear" w:color="auto" w:fill="auto"/>
            <w:vAlign w:val="center"/>
            <w:hideMark/>
          </w:tcPr>
          <w:p w14:paraId="5C6C7C51"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56,38%</w:t>
            </w:r>
          </w:p>
        </w:tc>
      </w:tr>
      <w:tr w:rsidR="00DC5FDD" w:rsidRPr="00DC5FDD" w14:paraId="64A123A3"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5A5D4EB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Готова продукція</w:t>
            </w:r>
          </w:p>
        </w:tc>
        <w:tc>
          <w:tcPr>
            <w:tcW w:w="715" w:type="pct"/>
            <w:tcBorders>
              <w:top w:val="nil"/>
              <w:left w:val="nil"/>
              <w:bottom w:val="single" w:sz="4" w:space="0" w:color="auto"/>
              <w:right w:val="single" w:sz="4" w:space="0" w:color="auto"/>
            </w:tcBorders>
            <w:shd w:val="clear" w:color="auto" w:fill="auto"/>
            <w:vAlign w:val="center"/>
            <w:hideMark/>
          </w:tcPr>
          <w:p w14:paraId="48A23360"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1 178 953</w:t>
            </w:r>
          </w:p>
        </w:tc>
        <w:tc>
          <w:tcPr>
            <w:tcW w:w="643" w:type="pct"/>
            <w:tcBorders>
              <w:top w:val="nil"/>
              <w:left w:val="nil"/>
              <w:bottom w:val="single" w:sz="4" w:space="0" w:color="auto"/>
              <w:right w:val="single" w:sz="4" w:space="0" w:color="auto"/>
            </w:tcBorders>
            <w:shd w:val="clear" w:color="auto" w:fill="auto"/>
            <w:vAlign w:val="center"/>
            <w:hideMark/>
          </w:tcPr>
          <w:p w14:paraId="1199C2B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1,33%</w:t>
            </w:r>
          </w:p>
        </w:tc>
        <w:tc>
          <w:tcPr>
            <w:tcW w:w="714" w:type="pct"/>
            <w:tcBorders>
              <w:top w:val="nil"/>
              <w:left w:val="nil"/>
              <w:bottom w:val="single" w:sz="4" w:space="0" w:color="auto"/>
              <w:right w:val="single" w:sz="4" w:space="0" w:color="auto"/>
            </w:tcBorders>
            <w:shd w:val="clear" w:color="auto" w:fill="auto"/>
            <w:vAlign w:val="center"/>
            <w:hideMark/>
          </w:tcPr>
          <w:p w14:paraId="52D0B6D5"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2 218 815</w:t>
            </w:r>
          </w:p>
        </w:tc>
        <w:tc>
          <w:tcPr>
            <w:tcW w:w="690" w:type="pct"/>
            <w:tcBorders>
              <w:top w:val="nil"/>
              <w:left w:val="nil"/>
              <w:bottom w:val="single" w:sz="4" w:space="0" w:color="auto"/>
              <w:right w:val="single" w:sz="4" w:space="0" w:color="auto"/>
            </w:tcBorders>
            <w:shd w:val="clear" w:color="auto" w:fill="auto"/>
            <w:vAlign w:val="center"/>
            <w:hideMark/>
          </w:tcPr>
          <w:p w14:paraId="2C02F1F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2,10%</w:t>
            </w:r>
          </w:p>
        </w:tc>
        <w:tc>
          <w:tcPr>
            <w:tcW w:w="669" w:type="pct"/>
            <w:tcBorders>
              <w:top w:val="nil"/>
              <w:left w:val="nil"/>
              <w:bottom w:val="single" w:sz="4" w:space="0" w:color="auto"/>
              <w:right w:val="single" w:sz="4" w:space="0" w:color="auto"/>
            </w:tcBorders>
            <w:shd w:val="clear" w:color="auto" w:fill="auto"/>
            <w:vAlign w:val="center"/>
            <w:hideMark/>
          </w:tcPr>
          <w:p w14:paraId="0809F38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711 622</w:t>
            </w:r>
          </w:p>
        </w:tc>
        <w:tc>
          <w:tcPr>
            <w:tcW w:w="640" w:type="pct"/>
            <w:tcBorders>
              <w:top w:val="nil"/>
              <w:left w:val="nil"/>
              <w:bottom w:val="single" w:sz="4" w:space="0" w:color="auto"/>
              <w:right w:val="single" w:sz="4" w:space="0" w:color="auto"/>
            </w:tcBorders>
            <w:shd w:val="clear" w:color="auto" w:fill="auto"/>
            <w:vAlign w:val="center"/>
            <w:hideMark/>
          </w:tcPr>
          <w:p w14:paraId="00D0C84F"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1,35%</w:t>
            </w:r>
          </w:p>
        </w:tc>
      </w:tr>
      <w:tr w:rsidR="00DC5FDD" w:rsidRPr="00DC5FDD" w14:paraId="3766FD94"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14E1131D"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Дебіторська заборгованість</w:t>
            </w:r>
          </w:p>
        </w:tc>
        <w:tc>
          <w:tcPr>
            <w:tcW w:w="715" w:type="pct"/>
            <w:tcBorders>
              <w:top w:val="nil"/>
              <w:left w:val="nil"/>
              <w:bottom w:val="single" w:sz="4" w:space="0" w:color="auto"/>
              <w:right w:val="single" w:sz="4" w:space="0" w:color="auto"/>
            </w:tcBorders>
            <w:shd w:val="clear" w:color="auto" w:fill="auto"/>
            <w:vAlign w:val="center"/>
            <w:hideMark/>
          </w:tcPr>
          <w:p w14:paraId="19A6F7E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19 143 229</w:t>
            </w:r>
          </w:p>
        </w:tc>
        <w:tc>
          <w:tcPr>
            <w:tcW w:w="643" w:type="pct"/>
            <w:tcBorders>
              <w:top w:val="nil"/>
              <w:left w:val="nil"/>
              <w:bottom w:val="single" w:sz="4" w:space="0" w:color="auto"/>
              <w:right w:val="single" w:sz="4" w:space="0" w:color="auto"/>
            </w:tcBorders>
            <w:shd w:val="clear" w:color="auto" w:fill="auto"/>
            <w:vAlign w:val="center"/>
            <w:hideMark/>
          </w:tcPr>
          <w:p w14:paraId="3580635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21,67%</w:t>
            </w:r>
          </w:p>
        </w:tc>
        <w:tc>
          <w:tcPr>
            <w:tcW w:w="714" w:type="pct"/>
            <w:tcBorders>
              <w:top w:val="nil"/>
              <w:left w:val="nil"/>
              <w:bottom w:val="single" w:sz="4" w:space="0" w:color="auto"/>
              <w:right w:val="single" w:sz="4" w:space="0" w:color="auto"/>
            </w:tcBorders>
            <w:shd w:val="clear" w:color="auto" w:fill="auto"/>
            <w:vAlign w:val="center"/>
            <w:hideMark/>
          </w:tcPr>
          <w:p w14:paraId="19707420"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25 804 212</w:t>
            </w:r>
          </w:p>
        </w:tc>
        <w:tc>
          <w:tcPr>
            <w:tcW w:w="690" w:type="pct"/>
            <w:tcBorders>
              <w:top w:val="nil"/>
              <w:left w:val="nil"/>
              <w:bottom w:val="single" w:sz="4" w:space="0" w:color="auto"/>
              <w:right w:val="single" w:sz="4" w:space="0" w:color="auto"/>
            </w:tcBorders>
            <w:shd w:val="clear" w:color="auto" w:fill="auto"/>
            <w:vAlign w:val="center"/>
            <w:hideMark/>
          </w:tcPr>
          <w:p w14:paraId="0A23AFD8"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24,39%</w:t>
            </w:r>
          </w:p>
        </w:tc>
        <w:tc>
          <w:tcPr>
            <w:tcW w:w="669" w:type="pct"/>
            <w:tcBorders>
              <w:top w:val="nil"/>
              <w:left w:val="nil"/>
              <w:bottom w:val="single" w:sz="4" w:space="0" w:color="auto"/>
              <w:right w:val="single" w:sz="4" w:space="0" w:color="auto"/>
            </w:tcBorders>
            <w:shd w:val="clear" w:color="auto" w:fill="auto"/>
            <w:vAlign w:val="center"/>
            <w:hideMark/>
          </w:tcPr>
          <w:p w14:paraId="161D982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7 486 969</w:t>
            </w:r>
          </w:p>
        </w:tc>
        <w:tc>
          <w:tcPr>
            <w:tcW w:w="640" w:type="pct"/>
            <w:tcBorders>
              <w:top w:val="nil"/>
              <w:left w:val="nil"/>
              <w:bottom w:val="single" w:sz="4" w:space="0" w:color="auto"/>
              <w:right w:val="single" w:sz="4" w:space="0" w:color="auto"/>
            </w:tcBorders>
            <w:shd w:val="clear" w:color="auto" w:fill="auto"/>
            <w:vAlign w:val="center"/>
            <w:hideMark/>
          </w:tcPr>
          <w:p w14:paraId="08621FB4"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14,21%</w:t>
            </w:r>
          </w:p>
        </w:tc>
      </w:tr>
      <w:tr w:rsidR="00DC5FDD" w:rsidRPr="00DC5FDD" w14:paraId="57620B69"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051AF1A8"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Гроші та їх еквіваленти</w:t>
            </w:r>
          </w:p>
        </w:tc>
        <w:tc>
          <w:tcPr>
            <w:tcW w:w="715" w:type="pct"/>
            <w:tcBorders>
              <w:top w:val="nil"/>
              <w:left w:val="nil"/>
              <w:bottom w:val="single" w:sz="4" w:space="0" w:color="auto"/>
              <w:right w:val="single" w:sz="4" w:space="0" w:color="auto"/>
            </w:tcBorders>
            <w:shd w:val="clear" w:color="auto" w:fill="auto"/>
            <w:vAlign w:val="center"/>
            <w:hideMark/>
          </w:tcPr>
          <w:p w14:paraId="75B57A2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867 691</w:t>
            </w:r>
          </w:p>
        </w:tc>
        <w:tc>
          <w:tcPr>
            <w:tcW w:w="643" w:type="pct"/>
            <w:tcBorders>
              <w:top w:val="nil"/>
              <w:left w:val="nil"/>
              <w:bottom w:val="single" w:sz="4" w:space="0" w:color="auto"/>
              <w:right w:val="single" w:sz="4" w:space="0" w:color="auto"/>
            </w:tcBorders>
            <w:shd w:val="clear" w:color="auto" w:fill="auto"/>
            <w:vAlign w:val="center"/>
            <w:hideMark/>
          </w:tcPr>
          <w:p w14:paraId="4E1CB00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0,98%</w:t>
            </w:r>
          </w:p>
        </w:tc>
        <w:tc>
          <w:tcPr>
            <w:tcW w:w="714" w:type="pct"/>
            <w:tcBorders>
              <w:top w:val="nil"/>
              <w:left w:val="nil"/>
              <w:bottom w:val="single" w:sz="4" w:space="0" w:color="auto"/>
              <w:right w:val="single" w:sz="4" w:space="0" w:color="auto"/>
            </w:tcBorders>
            <w:shd w:val="clear" w:color="auto" w:fill="auto"/>
            <w:vAlign w:val="center"/>
            <w:hideMark/>
          </w:tcPr>
          <w:p w14:paraId="3D9A698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1 374 859</w:t>
            </w:r>
          </w:p>
        </w:tc>
        <w:tc>
          <w:tcPr>
            <w:tcW w:w="690" w:type="pct"/>
            <w:tcBorders>
              <w:top w:val="nil"/>
              <w:left w:val="nil"/>
              <w:bottom w:val="single" w:sz="4" w:space="0" w:color="auto"/>
              <w:right w:val="single" w:sz="4" w:space="0" w:color="auto"/>
            </w:tcBorders>
            <w:shd w:val="clear" w:color="auto" w:fill="auto"/>
            <w:vAlign w:val="center"/>
            <w:hideMark/>
          </w:tcPr>
          <w:p w14:paraId="67CFC146"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1,30%</w:t>
            </w:r>
          </w:p>
        </w:tc>
        <w:tc>
          <w:tcPr>
            <w:tcW w:w="669" w:type="pct"/>
            <w:tcBorders>
              <w:top w:val="nil"/>
              <w:left w:val="nil"/>
              <w:bottom w:val="single" w:sz="4" w:space="0" w:color="auto"/>
              <w:right w:val="single" w:sz="4" w:space="0" w:color="auto"/>
            </w:tcBorders>
            <w:shd w:val="clear" w:color="auto" w:fill="auto"/>
            <w:vAlign w:val="center"/>
            <w:hideMark/>
          </w:tcPr>
          <w:p w14:paraId="28369B15"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954 053</w:t>
            </w:r>
          </w:p>
        </w:tc>
        <w:tc>
          <w:tcPr>
            <w:tcW w:w="640" w:type="pct"/>
            <w:tcBorders>
              <w:top w:val="nil"/>
              <w:left w:val="nil"/>
              <w:bottom w:val="single" w:sz="4" w:space="0" w:color="auto"/>
              <w:right w:val="single" w:sz="4" w:space="0" w:color="auto"/>
            </w:tcBorders>
            <w:shd w:val="clear" w:color="auto" w:fill="auto"/>
            <w:vAlign w:val="center"/>
            <w:hideMark/>
          </w:tcPr>
          <w:p w14:paraId="51E849BF"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1,81%</w:t>
            </w:r>
          </w:p>
        </w:tc>
      </w:tr>
      <w:tr w:rsidR="00DC5FDD" w:rsidRPr="00DC5FDD" w14:paraId="39349352"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675CB1F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Інші оборотні активи</w:t>
            </w:r>
          </w:p>
        </w:tc>
        <w:tc>
          <w:tcPr>
            <w:tcW w:w="715" w:type="pct"/>
            <w:tcBorders>
              <w:top w:val="nil"/>
              <w:left w:val="nil"/>
              <w:bottom w:val="single" w:sz="4" w:space="0" w:color="auto"/>
              <w:right w:val="single" w:sz="4" w:space="0" w:color="auto"/>
            </w:tcBorders>
            <w:shd w:val="clear" w:color="auto" w:fill="auto"/>
            <w:vAlign w:val="center"/>
            <w:hideMark/>
          </w:tcPr>
          <w:p w14:paraId="6A24C72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102 085</w:t>
            </w:r>
          </w:p>
        </w:tc>
        <w:tc>
          <w:tcPr>
            <w:tcW w:w="643" w:type="pct"/>
            <w:tcBorders>
              <w:top w:val="nil"/>
              <w:left w:val="nil"/>
              <w:bottom w:val="single" w:sz="4" w:space="0" w:color="auto"/>
              <w:right w:val="single" w:sz="4" w:space="0" w:color="auto"/>
            </w:tcBorders>
            <w:shd w:val="clear" w:color="auto" w:fill="auto"/>
            <w:vAlign w:val="center"/>
            <w:hideMark/>
          </w:tcPr>
          <w:p w14:paraId="1FF9A66C"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0,12%</w:t>
            </w:r>
          </w:p>
        </w:tc>
        <w:tc>
          <w:tcPr>
            <w:tcW w:w="714" w:type="pct"/>
            <w:tcBorders>
              <w:top w:val="nil"/>
              <w:left w:val="nil"/>
              <w:bottom w:val="single" w:sz="4" w:space="0" w:color="auto"/>
              <w:right w:val="single" w:sz="4" w:space="0" w:color="auto"/>
            </w:tcBorders>
            <w:shd w:val="clear" w:color="auto" w:fill="auto"/>
            <w:vAlign w:val="center"/>
            <w:hideMark/>
          </w:tcPr>
          <w:p w14:paraId="477242F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107 457</w:t>
            </w:r>
          </w:p>
        </w:tc>
        <w:tc>
          <w:tcPr>
            <w:tcW w:w="690" w:type="pct"/>
            <w:tcBorders>
              <w:top w:val="nil"/>
              <w:left w:val="nil"/>
              <w:bottom w:val="single" w:sz="4" w:space="0" w:color="auto"/>
              <w:right w:val="single" w:sz="4" w:space="0" w:color="auto"/>
            </w:tcBorders>
            <w:shd w:val="clear" w:color="auto" w:fill="auto"/>
            <w:vAlign w:val="center"/>
            <w:hideMark/>
          </w:tcPr>
          <w:p w14:paraId="0580E83D"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0,10%</w:t>
            </w:r>
          </w:p>
        </w:tc>
        <w:tc>
          <w:tcPr>
            <w:tcW w:w="669" w:type="pct"/>
            <w:tcBorders>
              <w:top w:val="nil"/>
              <w:left w:val="nil"/>
              <w:bottom w:val="single" w:sz="4" w:space="0" w:color="auto"/>
              <w:right w:val="single" w:sz="4" w:space="0" w:color="auto"/>
            </w:tcBorders>
            <w:shd w:val="clear" w:color="auto" w:fill="auto"/>
            <w:vAlign w:val="center"/>
            <w:hideMark/>
          </w:tcPr>
          <w:p w14:paraId="3D5A1718"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325 687</w:t>
            </w:r>
          </w:p>
        </w:tc>
        <w:tc>
          <w:tcPr>
            <w:tcW w:w="640" w:type="pct"/>
            <w:tcBorders>
              <w:top w:val="nil"/>
              <w:left w:val="nil"/>
              <w:bottom w:val="single" w:sz="4" w:space="0" w:color="auto"/>
              <w:right w:val="single" w:sz="4" w:space="0" w:color="auto"/>
            </w:tcBorders>
            <w:shd w:val="clear" w:color="auto" w:fill="auto"/>
            <w:vAlign w:val="center"/>
            <w:hideMark/>
          </w:tcPr>
          <w:p w14:paraId="4434D0A1"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0,62%</w:t>
            </w:r>
          </w:p>
        </w:tc>
      </w:tr>
      <w:tr w:rsidR="00DC5FDD" w:rsidRPr="00DC5FDD" w14:paraId="6ED8AB44"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31047AA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Загальні активи</w:t>
            </w:r>
          </w:p>
        </w:tc>
        <w:tc>
          <w:tcPr>
            <w:tcW w:w="715" w:type="pct"/>
            <w:tcBorders>
              <w:top w:val="nil"/>
              <w:left w:val="nil"/>
              <w:bottom w:val="single" w:sz="4" w:space="0" w:color="auto"/>
              <w:right w:val="single" w:sz="4" w:space="0" w:color="auto"/>
            </w:tcBorders>
            <w:shd w:val="clear" w:color="auto" w:fill="auto"/>
            <w:vAlign w:val="center"/>
            <w:hideMark/>
          </w:tcPr>
          <w:p w14:paraId="13E2CFB6"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88 349 556</w:t>
            </w:r>
          </w:p>
        </w:tc>
        <w:tc>
          <w:tcPr>
            <w:tcW w:w="643" w:type="pct"/>
            <w:tcBorders>
              <w:top w:val="nil"/>
              <w:left w:val="nil"/>
              <w:bottom w:val="single" w:sz="4" w:space="0" w:color="auto"/>
              <w:right w:val="single" w:sz="4" w:space="0" w:color="auto"/>
            </w:tcBorders>
            <w:shd w:val="clear" w:color="auto" w:fill="auto"/>
            <w:noWrap/>
            <w:vAlign w:val="center"/>
            <w:hideMark/>
          </w:tcPr>
          <w:p w14:paraId="7F47279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100%</w:t>
            </w:r>
          </w:p>
        </w:tc>
        <w:tc>
          <w:tcPr>
            <w:tcW w:w="714" w:type="pct"/>
            <w:tcBorders>
              <w:top w:val="nil"/>
              <w:left w:val="nil"/>
              <w:bottom w:val="single" w:sz="4" w:space="0" w:color="auto"/>
              <w:right w:val="single" w:sz="4" w:space="0" w:color="auto"/>
            </w:tcBorders>
            <w:shd w:val="clear" w:color="auto" w:fill="auto"/>
            <w:vAlign w:val="center"/>
            <w:hideMark/>
          </w:tcPr>
          <w:p w14:paraId="67C5FD8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105 800 975</w:t>
            </w:r>
          </w:p>
        </w:tc>
        <w:tc>
          <w:tcPr>
            <w:tcW w:w="690" w:type="pct"/>
            <w:tcBorders>
              <w:top w:val="nil"/>
              <w:left w:val="nil"/>
              <w:bottom w:val="single" w:sz="4" w:space="0" w:color="auto"/>
              <w:right w:val="single" w:sz="4" w:space="0" w:color="auto"/>
            </w:tcBorders>
            <w:shd w:val="clear" w:color="auto" w:fill="auto"/>
            <w:noWrap/>
            <w:vAlign w:val="center"/>
            <w:hideMark/>
          </w:tcPr>
          <w:p w14:paraId="319D119F"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100%</w:t>
            </w:r>
          </w:p>
        </w:tc>
        <w:tc>
          <w:tcPr>
            <w:tcW w:w="669" w:type="pct"/>
            <w:tcBorders>
              <w:top w:val="nil"/>
              <w:left w:val="nil"/>
              <w:bottom w:val="single" w:sz="4" w:space="0" w:color="auto"/>
              <w:right w:val="single" w:sz="4" w:space="0" w:color="auto"/>
            </w:tcBorders>
            <w:shd w:val="clear" w:color="auto" w:fill="auto"/>
            <w:vAlign w:val="center"/>
            <w:hideMark/>
          </w:tcPr>
          <w:p w14:paraId="71B9BCD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52 682 761</w:t>
            </w:r>
          </w:p>
        </w:tc>
        <w:tc>
          <w:tcPr>
            <w:tcW w:w="640" w:type="pct"/>
            <w:tcBorders>
              <w:top w:val="nil"/>
              <w:left w:val="nil"/>
              <w:bottom w:val="single" w:sz="4" w:space="0" w:color="auto"/>
              <w:right w:val="single" w:sz="4" w:space="0" w:color="auto"/>
            </w:tcBorders>
            <w:shd w:val="clear" w:color="auto" w:fill="auto"/>
            <w:noWrap/>
            <w:vAlign w:val="center"/>
            <w:hideMark/>
          </w:tcPr>
          <w:p w14:paraId="7D8EEAF5"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100%</w:t>
            </w:r>
          </w:p>
        </w:tc>
      </w:tr>
      <w:tr w:rsidR="00DC5FDD" w:rsidRPr="00DC5FDD" w14:paraId="771F08C4" w14:textId="77777777" w:rsidTr="0029174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500F"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Пасиви</w:t>
            </w:r>
          </w:p>
        </w:tc>
      </w:tr>
      <w:tr w:rsidR="00DC5FDD" w:rsidRPr="00DC5FDD" w14:paraId="5D634480"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7CA045A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Власний капітал</w:t>
            </w:r>
          </w:p>
        </w:tc>
        <w:tc>
          <w:tcPr>
            <w:tcW w:w="715" w:type="pct"/>
            <w:tcBorders>
              <w:top w:val="nil"/>
              <w:left w:val="nil"/>
              <w:bottom w:val="single" w:sz="4" w:space="0" w:color="auto"/>
              <w:right w:val="single" w:sz="4" w:space="0" w:color="auto"/>
            </w:tcBorders>
            <w:shd w:val="clear" w:color="auto" w:fill="auto"/>
            <w:vAlign w:val="center"/>
            <w:hideMark/>
          </w:tcPr>
          <w:p w14:paraId="2B9E156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60 879 286</w:t>
            </w:r>
          </w:p>
        </w:tc>
        <w:tc>
          <w:tcPr>
            <w:tcW w:w="643" w:type="pct"/>
            <w:tcBorders>
              <w:top w:val="nil"/>
              <w:left w:val="nil"/>
              <w:bottom w:val="single" w:sz="4" w:space="0" w:color="auto"/>
              <w:right w:val="single" w:sz="4" w:space="0" w:color="auto"/>
            </w:tcBorders>
            <w:shd w:val="clear" w:color="auto" w:fill="auto"/>
            <w:vAlign w:val="center"/>
            <w:hideMark/>
          </w:tcPr>
          <w:p w14:paraId="6AA8E21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68,91%</w:t>
            </w:r>
          </w:p>
        </w:tc>
        <w:tc>
          <w:tcPr>
            <w:tcW w:w="714" w:type="pct"/>
            <w:tcBorders>
              <w:top w:val="nil"/>
              <w:left w:val="nil"/>
              <w:bottom w:val="single" w:sz="4" w:space="0" w:color="auto"/>
              <w:right w:val="single" w:sz="4" w:space="0" w:color="auto"/>
            </w:tcBorders>
            <w:shd w:val="clear" w:color="auto" w:fill="auto"/>
            <w:vAlign w:val="center"/>
            <w:hideMark/>
          </w:tcPr>
          <w:p w14:paraId="6BF78BD6"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76 552 000</w:t>
            </w:r>
          </w:p>
        </w:tc>
        <w:tc>
          <w:tcPr>
            <w:tcW w:w="690" w:type="pct"/>
            <w:tcBorders>
              <w:top w:val="nil"/>
              <w:left w:val="nil"/>
              <w:bottom w:val="single" w:sz="4" w:space="0" w:color="auto"/>
              <w:right w:val="single" w:sz="4" w:space="0" w:color="auto"/>
            </w:tcBorders>
            <w:shd w:val="clear" w:color="auto" w:fill="auto"/>
            <w:vAlign w:val="center"/>
            <w:hideMark/>
          </w:tcPr>
          <w:p w14:paraId="12BC8303"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72,35%</w:t>
            </w:r>
          </w:p>
        </w:tc>
        <w:tc>
          <w:tcPr>
            <w:tcW w:w="669" w:type="pct"/>
            <w:tcBorders>
              <w:top w:val="nil"/>
              <w:left w:val="nil"/>
              <w:bottom w:val="single" w:sz="4" w:space="0" w:color="auto"/>
              <w:right w:val="single" w:sz="4" w:space="0" w:color="auto"/>
            </w:tcBorders>
            <w:shd w:val="clear" w:color="auto" w:fill="auto"/>
            <w:vAlign w:val="center"/>
            <w:hideMark/>
          </w:tcPr>
          <w:p w14:paraId="64FABDB7"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28 212 939</w:t>
            </w:r>
          </w:p>
        </w:tc>
        <w:tc>
          <w:tcPr>
            <w:tcW w:w="640" w:type="pct"/>
            <w:tcBorders>
              <w:top w:val="nil"/>
              <w:left w:val="nil"/>
              <w:bottom w:val="single" w:sz="4" w:space="0" w:color="auto"/>
              <w:right w:val="single" w:sz="4" w:space="0" w:color="auto"/>
            </w:tcBorders>
            <w:shd w:val="clear" w:color="auto" w:fill="auto"/>
            <w:vAlign w:val="center"/>
            <w:hideMark/>
          </w:tcPr>
          <w:p w14:paraId="024CF518"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53,55%</w:t>
            </w:r>
          </w:p>
        </w:tc>
      </w:tr>
      <w:tr w:rsidR="00DC5FDD" w:rsidRPr="00DC5FDD" w14:paraId="551339A1"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4447D7D7"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 xml:space="preserve">Довгострокові зобов’язання </w:t>
            </w:r>
          </w:p>
        </w:tc>
        <w:tc>
          <w:tcPr>
            <w:tcW w:w="715" w:type="pct"/>
            <w:tcBorders>
              <w:top w:val="nil"/>
              <w:left w:val="nil"/>
              <w:bottom w:val="single" w:sz="4" w:space="0" w:color="auto"/>
              <w:right w:val="single" w:sz="4" w:space="0" w:color="auto"/>
            </w:tcBorders>
            <w:shd w:val="clear" w:color="auto" w:fill="auto"/>
            <w:vAlign w:val="center"/>
            <w:hideMark/>
          </w:tcPr>
          <w:p w14:paraId="13302ED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9 604 586</w:t>
            </w:r>
          </w:p>
        </w:tc>
        <w:tc>
          <w:tcPr>
            <w:tcW w:w="643" w:type="pct"/>
            <w:tcBorders>
              <w:top w:val="nil"/>
              <w:left w:val="nil"/>
              <w:bottom w:val="single" w:sz="4" w:space="0" w:color="auto"/>
              <w:right w:val="single" w:sz="4" w:space="0" w:color="auto"/>
            </w:tcBorders>
            <w:shd w:val="clear" w:color="auto" w:fill="auto"/>
            <w:vAlign w:val="center"/>
            <w:hideMark/>
          </w:tcPr>
          <w:p w14:paraId="3A80EE5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10,87%</w:t>
            </w:r>
          </w:p>
        </w:tc>
        <w:tc>
          <w:tcPr>
            <w:tcW w:w="714" w:type="pct"/>
            <w:tcBorders>
              <w:top w:val="nil"/>
              <w:left w:val="nil"/>
              <w:bottom w:val="single" w:sz="4" w:space="0" w:color="auto"/>
              <w:right w:val="single" w:sz="4" w:space="0" w:color="auto"/>
            </w:tcBorders>
            <w:shd w:val="clear" w:color="auto" w:fill="auto"/>
            <w:vAlign w:val="center"/>
            <w:hideMark/>
          </w:tcPr>
          <w:p w14:paraId="7F44D825"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7 359 240</w:t>
            </w:r>
          </w:p>
        </w:tc>
        <w:tc>
          <w:tcPr>
            <w:tcW w:w="690" w:type="pct"/>
            <w:tcBorders>
              <w:top w:val="nil"/>
              <w:left w:val="nil"/>
              <w:bottom w:val="single" w:sz="4" w:space="0" w:color="auto"/>
              <w:right w:val="single" w:sz="4" w:space="0" w:color="auto"/>
            </w:tcBorders>
            <w:shd w:val="clear" w:color="auto" w:fill="auto"/>
            <w:vAlign w:val="center"/>
            <w:hideMark/>
          </w:tcPr>
          <w:p w14:paraId="0F250166"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6,96%</w:t>
            </w:r>
          </w:p>
        </w:tc>
        <w:tc>
          <w:tcPr>
            <w:tcW w:w="669" w:type="pct"/>
            <w:tcBorders>
              <w:top w:val="nil"/>
              <w:left w:val="nil"/>
              <w:bottom w:val="single" w:sz="4" w:space="0" w:color="auto"/>
              <w:right w:val="single" w:sz="4" w:space="0" w:color="auto"/>
            </w:tcBorders>
            <w:shd w:val="clear" w:color="auto" w:fill="auto"/>
            <w:vAlign w:val="center"/>
            <w:hideMark/>
          </w:tcPr>
          <w:p w14:paraId="19B3669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6 046 354</w:t>
            </w:r>
          </w:p>
        </w:tc>
        <w:tc>
          <w:tcPr>
            <w:tcW w:w="640" w:type="pct"/>
            <w:tcBorders>
              <w:top w:val="nil"/>
              <w:left w:val="nil"/>
              <w:bottom w:val="single" w:sz="4" w:space="0" w:color="auto"/>
              <w:right w:val="single" w:sz="4" w:space="0" w:color="auto"/>
            </w:tcBorders>
            <w:shd w:val="clear" w:color="auto" w:fill="auto"/>
            <w:vAlign w:val="center"/>
            <w:hideMark/>
          </w:tcPr>
          <w:p w14:paraId="1272B194"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11,48%</w:t>
            </w:r>
          </w:p>
        </w:tc>
      </w:tr>
      <w:tr w:rsidR="00DC5FDD" w:rsidRPr="00DC5FDD" w14:paraId="1C6854C8"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5D96BE89"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 xml:space="preserve">Поточні зобов’язання </w:t>
            </w:r>
          </w:p>
        </w:tc>
        <w:tc>
          <w:tcPr>
            <w:tcW w:w="715" w:type="pct"/>
            <w:tcBorders>
              <w:top w:val="nil"/>
              <w:left w:val="nil"/>
              <w:bottom w:val="single" w:sz="4" w:space="0" w:color="auto"/>
              <w:right w:val="single" w:sz="4" w:space="0" w:color="auto"/>
            </w:tcBorders>
            <w:shd w:val="clear" w:color="auto" w:fill="auto"/>
            <w:vAlign w:val="center"/>
            <w:hideMark/>
          </w:tcPr>
          <w:p w14:paraId="7B1880EE"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17 865 684</w:t>
            </w:r>
          </w:p>
        </w:tc>
        <w:tc>
          <w:tcPr>
            <w:tcW w:w="643" w:type="pct"/>
            <w:tcBorders>
              <w:top w:val="nil"/>
              <w:left w:val="nil"/>
              <w:bottom w:val="single" w:sz="4" w:space="0" w:color="auto"/>
              <w:right w:val="single" w:sz="4" w:space="0" w:color="auto"/>
            </w:tcBorders>
            <w:shd w:val="clear" w:color="auto" w:fill="auto"/>
            <w:vAlign w:val="center"/>
            <w:hideMark/>
          </w:tcPr>
          <w:p w14:paraId="761731A1"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20,22%</w:t>
            </w:r>
          </w:p>
        </w:tc>
        <w:tc>
          <w:tcPr>
            <w:tcW w:w="714" w:type="pct"/>
            <w:tcBorders>
              <w:top w:val="nil"/>
              <w:left w:val="nil"/>
              <w:bottom w:val="single" w:sz="4" w:space="0" w:color="auto"/>
              <w:right w:val="single" w:sz="4" w:space="0" w:color="auto"/>
            </w:tcBorders>
            <w:shd w:val="clear" w:color="auto" w:fill="auto"/>
            <w:vAlign w:val="center"/>
            <w:hideMark/>
          </w:tcPr>
          <w:p w14:paraId="72D7E166"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21 889 735</w:t>
            </w:r>
          </w:p>
        </w:tc>
        <w:tc>
          <w:tcPr>
            <w:tcW w:w="690" w:type="pct"/>
            <w:tcBorders>
              <w:top w:val="nil"/>
              <w:left w:val="nil"/>
              <w:bottom w:val="single" w:sz="4" w:space="0" w:color="auto"/>
              <w:right w:val="single" w:sz="4" w:space="0" w:color="auto"/>
            </w:tcBorders>
            <w:shd w:val="clear" w:color="auto" w:fill="auto"/>
            <w:vAlign w:val="center"/>
            <w:hideMark/>
          </w:tcPr>
          <w:p w14:paraId="5EEF0641"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20,69%</w:t>
            </w:r>
          </w:p>
        </w:tc>
        <w:tc>
          <w:tcPr>
            <w:tcW w:w="669" w:type="pct"/>
            <w:tcBorders>
              <w:top w:val="nil"/>
              <w:left w:val="nil"/>
              <w:bottom w:val="single" w:sz="4" w:space="0" w:color="auto"/>
              <w:right w:val="single" w:sz="4" w:space="0" w:color="auto"/>
            </w:tcBorders>
            <w:shd w:val="clear" w:color="auto" w:fill="auto"/>
            <w:vAlign w:val="center"/>
            <w:hideMark/>
          </w:tcPr>
          <w:p w14:paraId="12CFE3B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18 423 468</w:t>
            </w:r>
          </w:p>
        </w:tc>
        <w:tc>
          <w:tcPr>
            <w:tcW w:w="640" w:type="pct"/>
            <w:tcBorders>
              <w:top w:val="nil"/>
              <w:left w:val="nil"/>
              <w:bottom w:val="single" w:sz="4" w:space="0" w:color="auto"/>
              <w:right w:val="single" w:sz="4" w:space="0" w:color="auto"/>
            </w:tcBorders>
            <w:shd w:val="clear" w:color="auto" w:fill="auto"/>
            <w:vAlign w:val="center"/>
            <w:hideMark/>
          </w:tcPr>
          <w:p w14:paraId="4C601090"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34,97%</w:t>
            </w:r>
          </w:p>
        </w:tc>
      </w:tr>
      <w:tr w:rsidR="00DC5FDD" w:rsidRPr="00DC5FDD" w14:paraId="5230D9E5" w14:textId="77777777" w:rsidTr="0029174C">
        <w:trPr>
          <w:trHeight w:val="20"/>
        </w:trPr>
        <w:tc>
          <w:tcPr>
            <w:tcW w:w="929" w:type="pct"/>
            <w:tcBorders>
              <w:top w:val="nil"/>
              <w:left w:val="single" w:sz="4" w:space="0" w:color="auto"/>
              <w:bottom w:val="single" w:sz="4" w:space="0" w:color="auto"/>
              <w:right w:val="single" w:sz="4" w:space="0" w:color="auto"/>
            </w:tcBorders>
            <w:shd w:val="clear" w:color="auto" w:fill="auto"/>
            <w:vAlign w:val="center"/>
            <w:hideMark/>
          </w:tcPr>
          <w:p w14:paraId="698948C8"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Загальні пасиви</w:t>
            </w:r>
          </w:p>
        </w:tc>
        <w:tc>
          <w:tcPr>
            <w:tcW w:w="715" w:type="pct"/>
            <w:tcBorders>
              <w:top w:val="nil"/>
              <w:left w:val="nil"/>
              <w:bottom w:val="single" w:sz="4" w:space="0" w:color="auto"/>
              <w:right w:val="single" w:sz="4" w:space="0" w:color="auto"/>
            </w:tcBorders>
            <w:shd w:val="clear" w:color="auto" w:fill="auto"/>
            <w:vAlign w:val="center"/>
            <w:hideMark/>
          </w:tcPr>
          <w:p w14:paraId="52BA0F79"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88 349 556</w:t>
            </w:r>
          </w:p>
        </w:tc>
        <w:tc>
          <w:tcPr>
            <w:tcW w:w="643" w:type="pct"/>
            <w:tcBorders>
              <w:top w:val="nil"/>
              <w:left w:val="nil"/>
              <w:bottom w:val="single" w:sz="4" w:space="0" w:color="auto"/>
              <w:right w:val="single" w:sz="4" w:space="0" w:color="auto"/>
            </w:tcBorders>
            <w:shd w:val="clear" w:color="auto" w:fill="auto"/>
            <w:noWrap/>
            <w:vAlign w:val="center"/>
            <w:hideMark/>
          </w:tcPr>
          <w:p w14:paraId="46F08799"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100,00%</w:t>
            </w:r>
          </w:p>
        </w:tc>
        <w:tc>
          <w:tcPr>
            <w:tcW w:w="714" w:type="pct"/>
            <w:tcBorders>
              <w:top w:val="nil"/>
              <w:left w:val="nil"/>
              <w:bottom w:val="single" w:sz="4" w:space="0" w:color="auto"/>
              <w:right w:val="single" w:sz="4" w:space="0" w:color="auto"/>
            </w:tcBorders>
            <w:shd w:val="clear" w:color="auto" w:fill="auto"/>
            <w:vAlign w:val="center"/>
            <w:hideMark/>
          </w:tcPr>
          <w:p w14:paraId="148ECEFA"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105 800 975</w:t>
            </w:r>
          </w:p>
        </w:tc>
        <w:tc>
          <w:tcPr>
            <w:tcW w:w="690" w:type="pct"/>
            <w:tcBorders>
              <w:top w:val="nil"/>
              <w:left w:val="nil"/>
              <w:bottom w:val="single" w:sz="4" w:space="0" w:color="auto"/>
              <w:right w:val="single" w:sz="4" w:space="0" w:color="auto"/>
            </w:tcBorders>
            <w:shd w:val="clear" w:color="auto" w:fill="auto"/>
            <w:noWrap/>
            <w:vAlign w:val="center"/>
            <w:hideMark/>
          </w:tcPr>
          <w:p w14:paraId="45A710DB"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100,00%</w:t>
            </w:r>
          </w:p>
        </w:tc>
        <w:tc>
          <w:tcPr>
            <w:tcW w:w="669" w:type="pct"/>
            <w:tcBorders>
              <w:top w:val="nil"/>
              <w:left w:val="nil"/>
              <w:bottom w:val="single" w:sz="4" w:space="0" w:color="auto"/>
              <w:right w:val="single" w:sz="4" w:space="0" w:color="auto"/>
            </w:tcBorders>
            <w:shd w:val="clear" w:color="auto" w:fill="auto"/>
            <w:vAlign w:val="center"/>
            <w:hideMark/>
          </w:tcPr>
          <w:p w14:paraId="353E78B4"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52 682 761</w:t>
            </w:r>
          </w:p>
        </w:tc>
        <w:tc>
          <w:tcPr>
            <w:tcW w:w="640" w:type="pct"/>
            <w:tcBorders>
              <w:top w:val="nil"/>
              <w:left w:val="nil"/>
              <w:bottom w:val="single" w:sz="4" w:space="0" w:color="auto"/>
              <w:right w:val="single" w:sz="4" w:space="0" w:color="auto"/>
            </w:tcBorders>
            <w:shd w:val="clear" w:color="auto" w:fill="auto"/>
            <w:noWrap/>
            <w:vAlign w:val="center"/>
            <w:hideMark/>
          </w:tcPr>
          <w:p w14:paraId="38A94E62" w14:textId="77777777" w:rsidR="00DC5FDD" w:rsidRPr="00DC5FDD" w:rsidRDefault="00DC5FDD" w:rsidP="0029174C">
            <w:pPr>
              <w:spacing w:after="0" w:line="240" w:lineRule="auto"/>
              <w:jc w:val="center"/>
              <w:rPr>
                <w:rFonts w:ascii="Times New Roman" w:eastAsia="Times New Roman" w:hAnsi="Times New Roman" w:cs="Times New Roman"/>
                <w:color w:val="000000"/>
                <w:sz w:val="20"/>
                <w:szCs w:val="20"/>
                <w:lang w:val="uk-UA" w:eastAsia="ru-RU"/>
                <w14:ligatures w14:val="none"/>
              </w:rPr>
            </w:pPr>
            <w:r w:rsidRPr="00DC5FDD">
              <w:rPr>
                <w:rFonts w:ascii="Times New Roman" w:eastAsia="Times New Roman" w:hAnsi="Times New Roman" w:cs="Times New Roman"/>
                <w:color w:val="000000"/>
                <w:sz w:val="20"/>
                <w:szCs w:val="20"/>
                <w:lang w:val="uk-UA" w:eastAsia="ru-RU"/>
                <w14:ligatures w14:val="none"/>
              </w:rPr>
              <w:t>100,00%</w:t>
            </w:r>
          </w:p>
        </w:tc>
      </w:tr>
    </w:tbl>
    <w:bookmarkEnd w:id="34"/>
    <w:p w14:paraId="37240D4B" w14:textId="77777777" w:rsidR="00DC5FDD" w:rsidRPr="00DC5FDD" w:rsidRDefault="00DC5FDD" w:rsidP="00DC5FDD">
      <w:pPr>
        <w:widowControl w:val="0"/>
        <w:autoSpaceDE w:val="0"/>
        <w:autoSpaceDN w:val="0"/>
        <w:spacing w:after="0" w:line="240" w:lineRule="auto"/>
        <w:rPr>
          <w:rFonts w:ascii="Times New Roman" w:eastAsia="Times New Roman" w:hAnsi="Times New Roman" w:cs="Times New Roman"/>
          <w:sz w:val="28"/>
          <w:szCs w:val="28"/>
          <w:lang w:val="uk-UA"/>
          <w14:ligatures w14:val="none"/>
        </w:rPr>
      </w:pPr>
      <w:r w:rsidRPr="00DC5FDD">
        <w:rPr>
          <w:rFonts w:ascii="Times New Roman" w:eastAsia="Times New Roman" w:hAnsi="Times New Roman" w:cs="Times New Roman"/>
          <w:sz w:val="28"/>
          <w:szCs w:val="28"/>
          <w:lang w:val="uk-UA"/>
          <w14:ligatures w14:val="none"/>
        </w:rPr>
        <w:t>Джерело:</w:t>
      </w:r>
      <w:r w:rsidRPr="00DC5FDD">
        <w:rPr>
          <w:rFonts w:ascii="Times New Roman" w:eastAsia="Times New Roman" w:hAnsi="Times New Roman" w:cs="Times New Roman"/>
          <w:spacing w:val="-7"/>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сформовано</w:t>
      </w:r>
      <w:r w:rsidRPr="00DC5FDD">
        <w:rPr>
          <w:rFonts w:ascii="Times New Roman" w:eastAsia="Times New Roman" w:hAnsi="Times New Roman" w:cs="Times New Roman"/>
          <w:spacing w:val="-4"/>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 xml:space="preserve">автором за даними </w:t>
      </w:r>
      <w:r w:rsidRPr="00DC5FDD">
        <w:rPr>
          <w:rFonts w:ascii="Times New Roman" w:eastAsia="Times New Roman" w:hAnsi="Times New Roman" w:cs="Times New Roman"/>
          <w:sz w:val="28"/>
          <w:szCs w:val="28"/>
          <w:lang w:val="uk-UA"/>
        </w:rPr>
        <w:t>[33]</w:t>
      </w:r>
    </w:p>
    <w:p w14:paraId="7D1ECDAF" w14:textId="77777777" w:rsidR="00DC5FDD" w:rsidRPr="00DC5FDD" w:rsidRDefault="00DC5FDD" w:rsidP="00DC5FDD">
      <w:pPr>
        <w:widowControl w:val="0"/>
        <w:autoSpaceDE w:val="0"/>
        <w:autoSpaceDN w:val="0"/>
        <w:spacing w:after="0" w:line="240" w:lineRule="auto"/>
        <w:jc w:val="both"/>
        <w:rPr>
          <w:rFonts w:ascii="Times New Roman" w:eastAsia="Times New Roman" w:hAnsi="Times New Roman" w:cs="Times New Roman"/>
          <w:sz w:val="28"/>
          <w:szCs w:val="28"/>
          <w:lang w:val="uk-UA"/>
          <w14:ligatures w14:val="none"/>
        </w:rPr>
      </w:pPr>
    </w:p>
    <w:p w14:paraId="21C5B1CE" w14:textId="77777777" w:rsidR="00DC5FDD" w:rsidRPr="00DC5FDD" w:rsidRDefault="00DC5FDD" w:rsidP="00DC5FDD">
      <w:pPr>
        <w:widowControl w:val="0"/>
        <w:autoSpaceDE w:val="0"/>
        <w:autoSpaceDN w:val="0"/>
        <w:spacing w:after="0" w:line="240" w:lineRule="auto"/>
        <w:ind w:firstLine="709"/>
        <w:jc w:val="both"/>
        <w:rPr>
          <w:rFonts w:ascii="Times New Roman" w:eastAsia="Times New Roman" w:hAnsi="Times New Roman" w:cs="Times New Roman"/>
          <w:sz w:val="28"/>
          <w:szCs w:val="28"/>
          <w:lang w:val="uk-UA"/>
          <w14:ligatures w14:val="none"/>
        </w:rPr>
      </w:pPr>
      <w:r w:rsidRPr="00DC5FDD">
        <w:rPr>
          <w:rFonts w:ascii="Times New Roman" w:eastAsia="Times New Roman" w:hAnsi="Times New Roman" w:cs="Times New Roman"/>
          <w:noProof/>
          <w:sz w:val="28"/>
          <w:szCs w:val="28"/>
          <w:lang w:eastAsia="ru-RU"/>
          <w14:ligatures w14:val="none"/>
        </w:rPr>
        <w:drawing>
          <wp:anchor distT="0" distB="0" distL="114300" distR="114300" simplePos="0" relativeHeight="251668480" behindDoc="0" locked="0" layoutInCell="1" allowOverlap="1" wp14:anchorId="7177DA30" wp14:editId="1DFA5974">
            <wp:simplePos x="0" y="0"/>
            <wp:positionH relativeFrom="column">
              <wp:posOffset>638810</wp:posOffset>
            </wp:positionH>
            <wp:positionV relativeFrom="paragraph">
              <wp:posOffset>257810</wp:posOffset>
            </wp:positionV>
            <wp:extent cx="5006340" cy="2301240"/>
            <wp:effectExtent l="0" t="0" r="3810" b="3810"/>
            <wp:wrapTopAndBottom/>
            <wp:docPr id="1209284798" name="Диаграмма 1">
              <a:extLst xmlns:a="http://schemas.openxmlformats.org/drawingml/2006/main">
                <a:ext uri="{FF2B5EF4-FFF2-40B4-BE49-F238E27FC236}">
                  <a16:creationId xmlns:a16="http://schemas.microsoft.com/office/drawing/2014/main" id="{7763B37E-A612-F4AA-CB93-B32E1A4E28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14:paraId="3842EFCC" w14:textId="77777777" w:rsidR="00DC5FDD" w:rsidRPr="00DC5FDD" w:rsidRDefault="00DC5FDD" w:rsidP="00DC5FDD">
      <w:pPr>
        <w:widowControl w:val="0"/>
        <w:autoSpaceDE w:val="0"/>
        <w:autoSpaceDN w:val="0"/>
        <w:spacing w:after="0" w:line="240" w:lineRule="auto"/>
        <w:jc w:val="center"/>
        <w:rPr>
          <w:rFonts w:ascii="Times New Roman" w:eastAsia="Times New Roman" w:hAnsi="Times New Roman" w:cs="Times New Roman"/>
          <w:sz w:val="28"/>
          <w:szCs w:val="28"/>
          <w:lang w:val="uk-UA"/>
          <w14:ligatures w14:val="none"/>
        </w:rPr>
      </w:pPr>
    </w:p>
    <w:p w14:paraId="7AF63548" w14:textId="77777777" w:rsidR="005A725F" w:rsidRPr="00DC5FDD" w:rsidRDefault="00DC5FDD" w:rsidP="005A725F">
      <w:pPr>
        <w:widowControl w:val="0"/>
        <w:autoSpaceDE w:val="0"/>
        <w:autoSpaceDN w:val="0"/>
        <w:spacing w:after="0" w:line="240" w:lineRule="auto"/>
        <w:jc w:val="center"/>
        <w:rPr>
          <w:rFonts w:ascii="Times New Roman" w:eastAsia="Times New Roman" w:hAnsi="Times New Roman" w:cs="Times New Roman"/>
          <w:sz w:val="28"/>
          <w:szCs w:val="28"/>
          <w:lang w:val="uk-UA"/>
          <w14:ligatures w14:val="none"/>
        </w:rPr>
      </w:pPr>
      <w:r w:rsidRPr="00DC5FDD">
        <w:rPr>
          <w:rFonts w:ascii="Times New Roman" w:eastAsia="Times New Roman" w:hAnsi="Times New Roman" w:cs="Times New Roman"/>
          <w:sz w:val="28"/>
          <w:szCs w:val="28"/>
          <w:lang w:val="uk-UA"/>
          <w14:ligatures w14:val="none"/>
        </w:rPr>
        <w:t>Рисунок</w:t>
      </w:r>
      <w:r w:rsidRPr="00DC5FDD">
        <w:rPr>
          <w:rFonts w:ascii="Times New Roman" w:eastAsia="Times New Roman" w:hAnsi="Times New Roman" w:cs="Times New Roman"/>
          <w:spacing w:val="-6"/>
          <w:sz w:val="28"/>
          <w:szCs w:val="28"/>
          <w:lang w:val="uk-UA"/>
          <w14:ligatures w14:val="none"/>
        </w:rPr>
        <w:t xml:space="preserve"> </w:t>
      </w:r>
      <w:r w:rsidR="002E2FD7">
        <w:rPr>
          <w:rFonts w:ascii="Times New Roman" w:eastAsia="Times New Roman" w:hAnsi="Times New Roman" w:cs="Times New Roman"/>
          <w:sz w:val="28"/>
          <w:szCs w:val="28"/>
          <w:lang w:val="uk-UA"/>
          <w14:ligatures w14:val="none"/>
        </w:rPr>
        <w:t>Б</w:t>
      </w:r>
      <w:r w:rsidRPr="00DC5FDD">
        <w:rPr>
          <w:rFonts w:ascii="Times New Roman" w:eastAsia="Times New Roman" w:hAnsi="Times New Roman" w:cs="Times New Roman"/>
          <w:sz w:val="28"/>
          <w:szCs w:val="28"/>
          <w:lang w:val="uk-UA"/>
          <w14:ligatures w14:val="none"/>
        </w:rPr>
        <w:t>.1</w:t>
      </w:r>
      <w:r w:rsidRPr="00DC5FDD">
        <w:rPr>
          <w:rFonts w:ascii="Times New Roman" w:eastAsia="Times New Roman" w:hAnsi="Times New Roman" w:cs="Times New Roman"/>
          <w:spacing w:val="-2"/>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w:t>
      </w:r>
      <w:r w:rsidRPr="00DC5FDD">
        <w:rPr>
          <w:rFonts w:ascii="Times New Roman" w:eastAsia="Times New Roman" w:hAnsi="Times New Roman" w:cs="Times New Roman"/>
          <w:spacing w:val="-4"/>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Динаміка</w:t>
      </w:r>
      <w:r w:rsidRPr="00DC5FDD">
        <w:rPr>
          <w:rFonts w:ascii="Times New Roman" w:eastAsia="Times New Roman" w:hAnsi="Times New Roman" w:cs="Times New Roman"/>
          <w:spacing w:val="-3"/>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складових</w:t>
      </w:r>
      <w:r w:rsidRPr="00DC5FDD">
        <w:rPr>
          <w:rFonts w:ascii="Times New Roman" w:eastAsia="Times New Roman" w:hAnsi="Times New Roman" w:cs="Times New Roman"/>
          <w:spacing w:val="-8"/>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активів</w:t>
      </w:r>
      <w:r w:rsidRPr="00DC5FDD">
        <w:rPr>
          <w:rFonts w:ascii="Times New Roman" w:eastAsia="Times New Roman" w:hAnsi="Times New Roman" w:cs="Times New Roman"/>
          <w:spacing w:val="-6"/>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ПАТ</w:t>
      </w:r>
      <w:r w:rsidRPr="00DC5FDD">
        <w:rPr>
          <w:rFonts w:ascii="Times New Roman" w:eastAsia="Times New Roman" w:hAnsi="Times New Roman" w:cs="Times New Roman"/>
          <w:spacing w:val="-2"/>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w:t>
      </w:r>
      <w:r w:rsidR="00CC795A" w:rsidRPr="00DC5FDD">
        <w:rPr>
          <w:rFonts w:ascii="Times New Roman" w:eastAsia="Times New Roman" w:hAnsi="Times New Roman" w:cs="Times New Roman"/>
          <w:sz w:val="28"/>
          <w:szCs w:val="28"/>
          <w:lang w:val="uk-UA"/>
          <w14:ligatures w14:val="none"/>
        </w:rPr>
        <w:t>АМКР</w:t>
      </w:r>
      <w:r w:rsidRPr="00DC5FDD">
        <w:rPr>
          <w:rFonts w:ascii="Times New Roman" w:eastAsia="Times New Roman" w:hAnsi="Times New Roman" w:cs="Times New Roman"/>
          <w:sz w:val="28"/>
          <w:szCs w:val="28"/>
          <w:lang w:val="uk-UA"/>
          <w14:ligatures w14:val="none"/>
        </w:rPr>
        <w:t>»</w:t>
      </w:r>
      <w:r w:rsidRPr="00DC5FDD">
        <w:rPr>
          <w:rFonts w:ascii="Times New Roman" w:eastAsia="Times New Roman" w:hAnsi="Times New Roman" w:cs="Times New Roman"/>
          <w:spacing w:val="-6"/>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упродовж</w:t>
      </w:r>
      <w:r w:rsidRPr="00DC5FDD">
        <w:rPr>
          <w:rFonts w:ascii="Times New Roman" w:eastAsia="Times New Roman" w:hAnsi="Times New Roman" w:cs="Times New Roman"/>
          <w:spacing w:val="-2"/>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2020-2022</w:t>
      </w:r>
      <w:r w:rsidRPr="00DC5FDD">
        <w:rPr>
          <w:rFonts w:ascii="Times New Roman" w:eastAsia="Times New Roman" w:hAnsi="Times New Roman" w:cs="Times New Roman"/>
          <w:spacing w:val="-1"/>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рр.</w:t>
      </w:r>
      <w:r w:rsidRPr="00DC5FDD">
        <w:rPr>
          <w:rFonts w:ascii="Times New Roman" w:eastAsia="Times New Roman" w:hAnsi="Times New Roman" w:cs="Times New Roman"/>
          <w:spacing w:val="1"/>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(тис.</w:t>
      </w:r>
      <w:r w:rsidRPr="00DC5FDD">
        <w:rPr>
          <w:rFonts w:ascii="Times New Roman" w:eastAsia="Times New Roman" w:hAnsi="Times New Roman" w:cs="Times New Roman"/>
          <w:spacing w:val="1"/>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грн.)</w:t>
      </w:r>
    </w:p>
    <w:p w14:paraId="5266F2A2" w14:textId="77777777" w:rsidR="00DC5FDD" w:rsidRPr="00DC5FDD" w:rsidRDefault="00DC5FDD" w:rsidP="00DC5FDD">
      <w:pPr>
        <w:widowControl w:val="0"/>
        <w:autoSpaceDE w:val="0"/>
        <w:autoSpaceDN w:val="0"/>
        <w:spacing w:after="0" w:line="240" w:lineRule="auto"/>
        <w:jc w:val="center"/>
        <w:rPr>
          <w:rFonts w:ascii="Times New Roman" w:eastAsia="Times New Roman" w:hAnsi="Times New Roman" w:cs="Times New Roman"/>
          <w:sz w:val="28"/>
          <w:szCs w:val="28"/>
          <w:lang w:val="uk-UA"/>
          <w14:ligatures w14:val="none"/>
        </w:rPr>
      </w:pPr>
      <w:r w:rsidRPr="00DC5FDD">
        <w:rPr>
          <w:rFonts w:ascii="Times New Roman" w:eastAsia="Times New Roman" w:hAnsi="Times New Roman" w:cs="Times New Roman"/>
          <w:noProof/>
          <w:sz w:val="28"/>
          <w:szCs w:val="28"/>
          <w:lang w:eastAsia="ru-RU"/>
          <w14:ligatures w14:val="none"/>
        </w:rPr>
        <w:lastRenderedPageBreak/>
        <w:drawing>
          <wp:anchor distT="0" distB="0" distL="114300" distR="114300" simplePos="0" relativeHeight="251669504" behindDoc="0" locked="0" layoutInCell="1" allowOverlap="1" wp14:anchorId="28466DEA" wp14:editId="30F37B62">
            <wp:simplePos x="0" y="0"/>
            <wp:positionH relativeFrom="column">
              <wp:posOffset>715010</wp:posOffset>
            </wp:positionH>
            <wp:positionV relativeFrom="paragraph">
              <wp:posOffset>255270</wp:posOffset>
            </wp:positionV>
            <wp:extent cx="4930140" cy="2316480"/>
            <wp:effectExtent l="0" t="0" r="3810" b="7620"/>
            <wp:wrapTopAndBottom/>
            <wp:docPr id="1603401492" name="Диаграмма 1">
              <a:extLst xmlns:a="http://schemas.openxmlformats.org/drawingml/2006/main">
                <a:ext uri="{FF2B5EF4-FFF2-40B4-BE49-F238E27FC236}">
                  <a16:creationId xmlns:a16="http://schemas.microsoft.com/office/drawing/2014/main" id="{07EB9874-8CEE-057B-241B-96DAEA840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527704D8" w14:textId="77777777" w:rsidR="00DC5FDD" w:rsidRPr="00DC5FDD" w:rsidRDefault="00DC5FDD" w:rsidP="00DC5FDD">
      <w:pPr>
        <w:widowControl w:val="0"/>
        <w:autoSpaceDE w:val="0"/>
        <w:autoSpaceDN w:val="0"/>
        <w:spacing w:after="0" w:line="240" w:lineRule="auto"/>
        <w:ind w:firstLine="284"/>
        <w:jc w:val="both"/>
        <w:rPr>
          <w:rFonts w:ascii="Times New Roman" w:eastAsia="Times New Roman" w:hAnsi="Times New Roman" w:cs="Times New Roman"/>
          <w:sz w:val="28"/>
          <w:szCs w:val="40"/>
          <w:lang w:val="uk-UA"/>
          <w14:ligatures w14:val="none"/>
        </w:rPr>
      </w:pPr>
    </w:p>
    <w:p w14:paraId="3B01C410" w14:textId="77777777" w:rsidR="00DC5FDD" w:rsidRPr="00DC5FDD" w:rsidRDefault="00DC5FDD" w:rsidP="00DC5FDD">
      <w:pPr>
        <w:widowControl w:val="0"/>
        <w:autoSpaceDE w:val="0"/>
        <w:autoSpaceDN w:val="0"/>
        <w:spacing w:after="0" w:line="240" w:lineRule="auto"/>
        <w:jc w:val="center"/>
        <w:rPr>
          <w:rFonts w:ascii="Times New Roman" w:eastAsia="Times New Roman" w:hAnsi="Times New Roman" w:cs="Times New Roman"/>
          <w:sz w:val="28"/>
          <w:szCs w:val="28"/>
          <w:lang w:val="uk-UA"/>
          <w14:ligatures w14:val="none"/>
        </w:rPr>
      </w:pPr>
      <w:r w:rsidRPr="00DC5FDD">
        <w:rPr>
          <w:rFonts w:ascii="Times New Roman" w:eastAsia="Times New Roman" w:hAnsi="Times New Roman" w:cs="Times New Roman"/>
          <w:spacing w:val="-1"/>
          <w:sz w:val="28"/>
          <w:szCs w:val="28"/>
          <w:lang w:val="uk-UA"/>
          <w14:ligatures w14:val="none"/>
        </w:rPr>
        <w:t>Рисунок</w:t>
      </w:r>
      <w:r w:rsidRPr="00DC5FDD">
        <w:rPr>
          <w:rFonts w:ascii="Times New Roman" w:eastAsia="Times New Roman" w:hAnsi="Times New Roman" w:cs="Times New Roman"/>
          <w:spacing w:val="-14"/>
          <w:sz w:val="28"/>
          <w:szCs w:val="28"/>
          <w:lang w:val="uk-UA"/>
          <w14:ligatures w14:val="none"/>
        </w:rPr>
        <w:t xml:space="preserve"> </w:t>
      </w:r>
      <w:r w:rsidR="002E2FD7">
        <w:rPr>
          <w:rFonts w:ascii="Times New Roman" w:eastAsia="Times New Roman" w:hAnsi="Times New Roman" w:cs="Times New Roman"/>
          <w:spacing w:val="-1"/>
          <w:sz w:val="28"/>
          <w:szCs w:val="28"/>
          <w:lang w:val="uk-UA"/>
          <w14:ligatures w14:val="none"/>
        </w:rPr>
        <w:t>Б</w:t>
      </w:r>
      <w:r w:rsidRPr="00DC5FDD">
        <w:rPr>
          <w:rFonts w:ascii="Times New Roman" w:eastAsia="Times New Roman" w:hAnsi="Times New Roman" w:cs="Times New Roman"/>
          <w:spacing w:val="-1"/>
          <w:sz w:val="28"/>
          <w:szCs w:val="28"/>
          <w:lang w:val="uk-UA"/>
          <w14:ligatures w14:val="none"/>
        </w:rPr>
        <w:t>.2</w:t>
      </w:r>
      <w:r w:rsidRPr="00DC5FDD">
        <w:rPr>
          <w:rFonts w:ascii="Times New Roman" w:eastAsia="Times New Roman" w:hAnsi="Times New Roman" w:cs="Times New Roman"/>
          <w:spacing w:val="-12"/>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w:t>
      </w:r>
      <w:r w:rsidRPr="00DC5FDD">
        <w:rPr>
          <w:rFonts w:ascii="Times New Roman" w:eastAsia="Times New Roman" w:hAnsi="Times New Roman" w:cs="Times New Roman"/>
          <w:spacing w:val="-12"/>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Структура</w:t>
      </w:r>
      <w:r w:rsidRPr="00DC5FDD">
        <w:rPr>
          <w:rFonts w:ascii="Times New Roman" w:eastAsia="Times New Roman" w:hAnsi="Times New Roman" w:cs="Times New Roman"/>
          <w:spacing w:val="-11"/>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капіталу</w:t>
      </w:r>
      <w:r w:rsidRPr="00DC5FDD">
        <w:rPr>
          <w:rFonts w:ascii="Times New Roman" w:eastAsia="Times New Roman" w:hAnsi="Times New Roman" w:cs="Times New Roman"/>
          <w:spacing w:val="-18"/>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ПАТ</w:t>
      </w:r>
      <w:r w:rsidRPr="00DC5FDD">
        <w:rPr>
          <w:rFonts w:ascii="Times New Roman" w:eastAsia="Times New Roman" w:hAnsi="Times New Roman" w:cs="Times New Roman"/>
          <w:spacing w:val="-14"/>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w:t>
      </w:r>
      <w:r w:rsidR="00CC795A" w:rsidRPr="00DC5FDD">
        <w:rPr>
          <w:rFonts w:ascii="Times New Roman" w:eastAsia="Times New Roman" w:hAnsi="Times New Roman" w:cs="Times New Roman"/>
          <w:sz w:val="28"/>
          <w:szCs w:val="28"/>
          <w:lang w:val="uk-UA"/>
          <w14:ligatures w14:val="none"/>
        </w:rPr>
        <w:t>АМКР</w:t>
      </w:r>
      <w:r w:rsidRPr="00DC5FDD">
        <w:rPr>
          <w:rFonts w:ascii="Times New Roman" w:eastAsia="Times New Roman" w:hAnsi="Times New Roman" w:cs="Times New Roman"/>
          <w:sz w:val="28"/>
          <w:szCs w:val="28"/>
          <w:lang w:val="uk-UA"/>
          <w14:ligatures w14:val="none"/>
        </w:rPr>
        <w:t xml:space="preserve">» </w:t>
      </w:r>
      <w:r w:rsidRPr="00DC5FDD">
        <w:rPr>
          <w:rFonts w:ascii="Times New Roman" w:eastAsia="Times New Roman" w:hAnsi="Times New Roman" w:cs="Times New Roman"/>
          <w:spacing w:val="-68"/>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упродовж 2020 - 2022</w:t>
      </w:r>
      <w:r w:rsidRPr="00DC5FDD">
        <w:rPr>
          <w:rFonts w:ascii="Times New Roman" w:eastAsia="Times New Roman" w:hAnsi="Times New Roman" w:cs="Times New Roman"/>
          <w:spacing w:val="1"/>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рр.</w:t>
      </w:r>
      <w:r w:rsidRPr="00DC5FDD">
        <w:rPr>
          <w:rFonts w:ascii="Times New Roman" w:eastAsia="Times New Roman" w:hAnsi="Times New Roman" w:cs="Times New Roman"/>
          <w:spacing w:val="4"/>
          <w:sz w:val="28"/>
          <w:szCs w:val="28"/>
          <w:lang w:val="uk-UA"/>
          <w14:ligatures w14:val="none"/>
        </w:rPr>
        <w:t xml:space="preserve"> </w:t>
      </w:r>
      <w:r w:rsidRPr="00DC5FDD">
        <w:rPr>
          <w:rFonts w:ascii="Times New Roman" w:eastAsia="Times New Roman" w:hAnsi="Times New Roman" w:cs="Times New Roman"/>
          <w:sz w:val="28"/>
          <w:szCs w:val="28"/>
          <w:lang w:val="uk-UA"/>
          <w14:ligatures w14:val="none"/>
        </w:rPr>
        <w:t>(%)</w:t>
      </w:r>
    </w:p>
    <w:p w14:paraId="4DCB5B60" w14:textId="77777777" w:rsidR="00FA742F" w:rsidRDefault="00FA742F">
      <w:pPr>
        <w:rPr>
          <w:rFonts w:ascii="Times New Roman" w:eastAsia="Times New Roman" w:hAnsi="Times New Roman" w:cs="Times New Roman"/>
          <w:sz w:val="28"/>
          <w:szCs w:val="28"/>
          <w:lang w:val="uk-UA"/>
          <w14:ligatures w14:val="none"/>
        </w:rPr>
      </w:pPr>
      <w:r>
        <w:rPr>
          <w:rFonts w:ascii="Times New Roman" w:eastAsia="Times New Roman" w:hAnsi="Times New Roman" w:cs="Times New Roman"/>
          <w:sz w:val="28"/>
          <w:szCs w:val="28"/>
          <w:lang w:val="uk-UA"/>
          <w14:ligatures w14:val="none"/>
        </w:rPr>
        <w:br w:type="page"/>
      </w:r>
    </w:p>
    <w:p w14:paraId="0D7D493F" w14:textId="77777777" w:rsidR="00FA742F" w:rsidRDefault="00FA742F" w:rsidP="00FA742F">
      <w:pPr>
        <w:spacing w:after="0" w:line="240" w:lineRule="auto"/>
        <w:jc w:val="center"/>
        <w:rPr>
          <w:rFonts w:ascii="Times New Roman" w:eastAsia="Times New Roman" w:hAnsi="Times New Roman" w:cs="Times New Roman"/>
          <w:b/>
          <w:bCs/>
          <w:sz w:val="28"/>
          <w:szCs w:val="28"/>
          <w:lang w:val="uk-UA"/>
          <w14:ligatures w14:val="none"/>
        </w:rPr>
      </w:pPr>
      <w:r w:rsidRPr="00073A7C">
        <w:rPr>
          <w:rFonts w:ascii="Times New Roman" w:eastAsia="Times New Roman" w:hAnsi="Times New Roman" w:cs="Times New Roman"/>
          <w:b/>
          <w:bCs/>
          <w:sz w:val="28"/>
          <w:szCs w:val="28"/>
          <w:lang w:val="uk-UA"/>
          <w14:ligatures w14:val="none"/>
        </w:rPr>
        <w:lastRenderedPageBreak/>
        <w:t>Додаток В</w:t>
      </w:r>
    </w:p>
    <w:p w14:paraId="1A6FA16C" w14:textId="77777777" w:rsidR="00FA742F" w:rsidRDefault="00FA742F" w:rsidP="00FA742F">
      <w:pPr>
        <w:spacing w:after="0" w:line="240" w:lineRule="auto"/>
        <w:ind w:firstLine="709"/>
        <w:jc w:val="center"/>
        <w:rPr>
          <w:rFonts w:ascii="Times New Roman" w:eastAsia="Times New Roman" w:hAnsi="Times New Roman" w:cs="Times New Roman"/>
          <w:b/>
          <w:bCs/>
          <w:sz w:val="28"/>
          <w:szCs w:val="28"/>
          <w:lang w:val="uk-UA"/>
          <w14:ligatures w14:val="none"/>
        </w:rPr>
      </w:pPr>
    </w:p>
    <w:p w14:paraId="4790742A"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Згідно з умовами, які були викладені у кредитному договорі з Європейським банком реконструкції та розвитку (ЄБРР) для кредиту 1, погашення зобов</w:t>
      </w:r>
      <w:r>
        <w:rPr>
          <w:rFonts w:ascii="Times New Roman" w:hAnsi="Times New Roman" w:cs="Times New Roman"/>
          <w:color w:val="000000" w:themeColor="text1"/>
          <w:sz w:val="28"/>
          <w:szCs w:val="28"/>
          <w:lang w:val="uk-UA"/>
        </w:rPr>
        <w:t>’</w:t>
      </w:r>
      <w:r w:rsidRPr="003A022D">
        <w:rPr>
          <w:rFonts w:ascii="Times New Roman" w:hAnsi="Times New Roman" w:cs="Times New Roman"/>
          <w:color w:val="000000" w:themeColor="text1"/>
          <w:sz w:val="28"/>
          <w:szCs w:val="28"/>
          <w:lang w:val="uk-UA"/>
        </w:rPr>
        <w:t>язань має відбутися протягом періоду 2023-2024 років. Станом на 31 грудня 2022 року залишок боргу склав 1 316 470 тис. грн. Щодо кредиту 2, погашення планується на рік 2024, а залишок на кінцеву дату 2022 року становив 1 817 459 тис. грн.</w:t>
      </w:r>
    </w:p>
    <w:p w14:paraId="0BC5577D"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Отже, загальна сума, яку необхідно сплатити до завершення 2024 року, складає:</w:t>
      </w:r>
    </w:p>
    <w:p w14:paraId="2CB9FCED" w14:textId="77777777" w:rsidR="00FA742F" w:rsidRPr="003A022D" w:rsidRDefault="00FA742F" w:rsidP="00FA742F">
      <w:pPr>
        <w:spacing w:after="0" w:line="240" w:lineRule="auto"/>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 </w:t>
      </w:r>
      <w:r w:rsidRPr="003A022D">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316</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470</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817</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459</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133</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929</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тис.грн.</w:t>
      </w:r>
    </w:p>
    <w:p w14:paraId="7628D182"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 xml:space="preserve">Якщо рівномірно розподілити погашення протягом </w:t>
      </w:r>
      <w:r>
        <w:rPr>
          <w:rFonts w:ascii="Times New Roman" w:hAnsi="Times New Roman" w:cs="Times New Roman"/>
          <w:color w:val="000000" w:themeColor="text1"/>
          <w:sz w:val="28"/>
          <w:szCs w:val="28"/>
          <w:lang w:val="uk-UA"/>
        </w:rPr>
        <w:t>8</w:t>
      </w:r>
      <w:r w:rsidRPr="003A022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кварталів</w:t>
      </w:r>
      <w:r w:rsidRPr="003A022D">
        <w:rPr>
          <w:rFonts w:ascii="Times New Roman" w:hAnsi="Times New Roman" w:cs="Times New Roman"/>
          <w:color w:val="000000" w:themeColor="text1"/>
          <w:sz w:val="28"/>
          <w:szCs w:val="28"/>
          <w:lang w:val="uk-UA"/>
        </w:rPr>
        <w:t xml:space="preserve"> (від 2023 до 2024 року), то що</w:t>
      </w:r>
      <w:r>
        <w:rPr>
          <w:rFonts w:ascii="Times New Roman" w:hAnsi="Times New Roman" w:cs="Times New Roman"/>
          <w:color w:val="000000" w:themeColor="text1"/>
          <w:sz w:val="28"/>
          <w:szCs w:val="28"/>
          <w:lang w:val="uk-UA"/>
        </w:rPr>
        <w:t>кварталь</w:t>
      </w:r>
      <w:r w:rsidRPr="003A022D">
        <w:rPr>
          <w:rFonts w:ascii="Times New Roman" w:hAnsi="Times New Roman" w:cs="Times New Roman"/>
          <w:color w:val="000000" w:themeColor="text1"/>
          <w:sz w:val="28"/>
          <w:szCs w:val="28"/>
          <w:lang w:val="uk-UA"/>
        </w:rPr>
        <w:t>но слід виплачувати:</w:t>
      </w:r>
    </w:p>
    <w:p w14:paraId="16FA5806"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 </w:t>
      </w:r>
      <w:r w:rsidRPr="003A022D">
        <w:rPr>
          <w:rFonts w:ascii="Times New Roman" w:hAnsi="Times New Roman" w:cs="Times New Roman"/>
          <w:color w:val="000000" w:themeColor="text1"/>
          <w:sz w:val="28"/>
          <w:szCs w:val="28"/>
          <w:lang w:val="uk-UA"/>
        </w:rPr>
        <w:t>Що</w:t>
      </w:r>
      <w:r>
        <w:rPr>
          <w:rFonts w:ascii="Times New Roman" w:hAnsi="Times New Roman" w:cs="Times New Roman"/>
          <w:color w:val="000000" w:themeColor="text1"/>
          <w:sz w:val="28"/>
          <w:szCs w:val="28"/>
          <w:lang w:val="uk-UA"/>
        </w:rPr>
        <w:t xml:space="preserve">квартальне </w:t>
      </w:r>
      <w:r w:rsidRPr="003A022D">
        <w:rPr>
          <w:rFonts w:ascii="Times New Roman" w:hAnsi="Times New Roman" w:cs="Times New Roman"/>
          <w:color w:val="000000" w:themeColor="text1"/>
          <w:sz w:val="28"/>
          <w:szCs w:val="28"/>
          <w:lang w:val="uk-UA"/>
        </w:rPr>
        <w:t>погашення</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Загальна</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сума</w:t>
      </w:r>
      <w:r>
        <w:rPr>
          <w:rFonts w:ascii="Times New Roman" w:hAnsi="Times New Roman" w:cs="Times New Roman"/>
          <w:color w:val="000000" w:themeColor="text1"/>
          <w:sz w:val="28"/>
          <w:szCs w:val="28"/>
          <w:lang w:val="uk-UA"/>
        </w:rPr>
        <w:t xml:space="preserve"> / </w:t>
      </w:r>
      <w:r w:rsidRPr="003A022D">
        <w:rPr>
          <w:rFonts w:ascii="Times New Roman" w:hAnsi="Times New Roman" w:cs="Times New Roman"/>
          <w:color w:val="000000" w:themeColor="text1"/>
          <w:sz w:val="28"/>
          <w:szCs w:val="28"/>
          <w:lang w:val="uk-UA"/>
        </w:rPr>
        <w:t>Кількість</w:t>
      </w:r>
      <w:r>
        <w:rPr>
          <w:rFonts w:ascii="Times New Roman" w:hAnsi="Times New Roman" w:cs="Times New Roman"/>
          <w:color w:val="000000" w:themeColor="text1"/>
          <w:sz w:val="28"/>
          <w:szCs w:val="28"/>
          <w:lang w:val="uk-UA"/>
        </w:rPr>
        <w:t xml:space="preserve"> кварталів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133</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929</w:t>
      </w:r>
      <w:r>
        <w:rPr>
          <w:rFonts w:ascii="Times New Roman" w:hAnsi="Times New Roman" w:cs="Times New Roman"/>
          <w:color w:val="000000" w:themeColor="text1"/>
          <w:sz w:val="28"/>
          <w:szCs w:val="28"/>
          <w:lang w:val="uk-UA"/>
        </w:rPr>
        <w:t xml:space="preserve"> / 8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391 741 </w:t>
      </w:r>
      <w:r w:rsidRPr="003A022D">
        <w:rPr>
          <w:rFonts w:ascii="Times New Roman" w:hAnsi="Times New Roman" w:cs="Times New Roman"/>
          <w:color w:val="000000" w:themeColor="text1"/>
          <w:sz w:val="28"/>
          <w:szCs w:val="28"/>
          <w:lang w:val="uk-UA"/>
        </w:rPr>
        <w:t>тис.грн.</w:t>
      </w:r>
    </w:p>
    <w:p w14:paraId="1D0F91F5"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Відсоткова ставка за кредитами в 2022 році становила 2,9% річних. Таким чином, в розрахунку на 1 місяць ставка становить приблизно 0,</w:t>
      </w:r>
      <w:r>
        <w:rPr>
          <w:rFonts w:ascii="Times New Roman" w:hAnsi="Times New Roman" w:cs="Times New Roman"/>
          <w:color w:val="000000" w:themeColor="text1"/>
          <w:sz w:val="28"/>
          <w:szCs w:val="28"/>
          <w:lang w:val="uk-UA"/>
        </w:rPr>
        <w:t>73</w:t>
      </w:r>
      <w:r w:rsidRPr="003A022D">
        <w:rPr>
          <w:rFonts w:ascii="Times New Roman" w:hAnsi="Times New Roman" w:cs="Times New Roman"/>
          <w:color w:val="000000" w:themeColor="text1"/>
          <w:sz w:val="28"/>
          <w:szCs w:val="28"/>
          <w:lang w:val="uk-UA"/>
        </w:rPr>
        <w:t xml:space="preserve">% (2,9% / </w:t>
      </w:r>
      <w:r>
        <w:rPr>
          <w:rFonts w:ascii="Times New Roman" w:hAnsi="Times New Roman" w:cs="Times New Roman"/>
          <w:color w:val="000000" w:themeColor="text1"/>
          <w:sz w:val="28"/>
          <w:szCs w:val="28"/>
          <w:lang w:val="uk-UA"/>
        </w:rPr>
        <w:t>4</w:t>
      </w:r>
      <w:r w:rsidRPr="003A022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кварт</w:t>
      </w:r>
      <w:r w:rsidRPr="003A022D">
        <w:rPr>
          <w:rFonts w:ascii="Times New Roman" w:hAnsi="Times New Roman" w:cs="Times New Roman"/>
          <w:color w:val="000000" w:themeColor="text1"/>
          <w:sz w:val="28"/>
          <w:szCs w:val="28"/>
          <w:lang w:val="uk-UA"/>
        </w:rPr>
        <w:t>.).</w:t>
      </w:r>
    </w:p>
    <w:p w14:paraId="795F2B2F" w14:textId="77777777" w:rsidR="00FA742F"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Отже, щомісячна сума відсотків розраховується за формулою:</w:t>
      </w:r>
    </w:p>
    <w:p w14:paraId="53089958"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p>
    <w:p w14:paraId="0BEF94C5" w14:textId="77777777" w:rsidR="00FA742F" w:rsidRDefault="00FA742F" w:rsidP="00FA742F">
      <w:pPr>
        <w:spacing w:after="0" w:line="240" w:lineRule="auto"/>
        <w:ind w:firstLine="709"/>
        <w:jc w:val="right"/>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Щомісячні</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відсотки</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Залишок</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заборгованості</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73</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 </w:t>
      </w:r>
      <w:r w:rsidRPr="003A022D">
        <w:rPr>
          <w:rFonts w:ascii="Times New Roman" w:hAnsi="Times New Roman" w:cs="Times New Roman"/>
          <w:color w:val="000000" w:themeColor="text1"/>
          <w:sz w:val="28"/>
          <w:szCs w:val="28"/>
          <w:lang w:val="uk-UA"/>
        </w:rPr>
        <w:t>100%</w:t>
      </w:r>
      <w:r>
        <w:rPr>
          <w:rFonts w:ascii="Times New Roman" w:hAnsi="Times New Roman" w:cs="Times New Roman"/>
          <w:color w:val="000000" w:themeColor="text1"/>
          <w:sz w:val="28"/>
          <w:szCs w:val="28"/>
          <w:lang w:val="uk-UA"/>
        </w:rPr>
        <w:t xml:space="preserve">        (В.1)</w:t>
      </w:r>
    </w:p>
    <w:p w14:paraId="012B0E34" w14:textId="77777777" w:rsidR="00FA742F" w:rsidRPr="003A022D" w:rsidRDefault="00FA742F" w:rsidP="00FA742F">
      <w:pPr>
        <w:spacing w:after="0" w:line="240" w:lineRule="auto"/>
        <w:ind w:firstLine="709"/>
        <w:jc w:val="right"/>
        <w:rPr>
          <w:rFonts w:ascii="Times New Roman" w:hAnsi="Times New Roman" w:cs="Times New Roman"/>
          <w:color w:val="000000" w:themeColor="text1"/>
          <w:sz w:val="28"/>
          <w:szCs w:val="28"/>
          <w:lang w:val="uk-UA"/>
        </w:rPr>
      </w:pPr>
    </w:p>
    <w:p w14:paraId="6BCCA30D"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Як вже було зазначено раніше </w:t>
      </w:r>
      <w:r w:rsidRPr="003A022D">
        <w:rPr>
          <w:rFonts w:ascii="Times New Roman" w:hAnsi="Times New Roman" w:cs="Times New Roman"/>
          <w:color w:val="000000" w:themeColor="text1"/>
          <w:sz w:val="28"/>
          <w:szCs w:val="28"/>
          <w:lang w:val="uk-UA"/>
        </w:rPr>
        <w:t>в січні 2023 року залишок</w:t>
      </w:r>
      <w:r>
        <w:rPr>
          <w:rFonts w:ascii="Times New Roman" w:hAnsi="Times New Roman" w:cs="Times New Roman"/>
          <w:color w:val="000000" w:themeColor="text1"/>
          <w:sz w:val="28"/>
          <w:szCs w:val="28"/>
          <w:lang w:val="uk-UA"/>
        </w:rPr>
        <w:t xml:space="preserve"> на початку року</w:t>
      </w:r>
      <w:r w:rsidRPr="003A022D">
        <w:rPr>
          <w:rFonts w:ascii="Times New Roman" w:hAnsi="Times New Roman" w:cs="Times New Roman"/>
          <w:color w:val="000000" w:themeColor="text1"/>
          <w:sz w:val="28"/>
          <w:szCs w:val="28"/>
          <w:lang w:val="uk-UA"/>
        </w:rPr>
        <w:t xml:space="preserve"> станови</w:t>
      </w:r>
      <w:r>
        <w:rPr>
          <w:rFonts w:ascii="Times New Roman" w:hAnsi="Times New Roman" w:cs="Times New Roman"/>
          <w:color w:val="000000" w:themeColor="text1"/>
          <w:sz w:val="28"/>
          <w:szCs w:val="28"/>
          <w:lang w:val="uk-UA"/>
        </w:rPr>
        <w:t>ть</w:t>
      </w:r>
      <w:r w:rsidRPr="003A022D">
        <w:rPr>
          <w:rFonts w:ascii="Times New Roman" w:hAnsi="Times New Roman" w:cs="Times New Roman"/>
          <w:color w:val="000000" w:themeColor="text1"/>
          <w:sz w:val="28"/>
          <w:szCs w:val="28"/>
          <w:lang w:val="uk-UA"/>
        </w:rPr>
        <w:t xml:space="preserve"> 3 133 929 тис. грн.</w:t>
      </w:r>
    </w:p>
    <w:p w14:paraId="2498127A"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 </w:t>
      </w:r>
      <w:r w:rsidRPr="003A022D">
        <w:rPr>
          <w:rFonts w:ascii="Times New Roman" w:hAnsi="Times New Roman" w:cs="Times New Roman"/>
          <w:color w:val="000000" w:themeColor="text1"/>
          <w:sz w:val="28"/>
          <w:szCs w:val="28"/>
          <w:lang w:val="uk-UA"/>
        </w:rPr>
        <w:t>Що</w:t>
      </w:r>
      <w:r>
        <w:rPr>
          <w:rFonts w:ascii="Times New Roman" w:hAnsi="Times New Roman" w:cs="Times New Roman"/>
          <w:color w:val="000000" w:themeColor="text1"/>
          <w:sz w:val="28"/>
          <w:szCs w:val="28"/>
          <w:lang w:val="uk-UA"/>
        </w:rPr>
        <w:t>квартальн</w:t>
      </w:r>
      <w:r w:rsidRPr="003A022D">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відсотки</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133</w:t>
      </w:r>
      <w:r>
        <w:rPr>
          <w:rFonts w:ascii="Times New Roman" w:hAnsi="Times New Roman" w:cs="Times New Roman"/>
          <w:color w:val="000000" w:themeColor="text1"/>
          <w:sz w:val="28"/>
          <w:szCs w:val="28"/>
          <w:lang w:val="uk-UA"/>
        </w:rPr>
        <w:t> </w:t>
      </w:r>
      <w:r w:rsidRPr="003A022D">
        <w:rPr>
          <w:rFonts w:ascii="Times New Roman" w:hAnsi="Times New Roman" w:cs="Times New Roman"/>
          <w:color w:val="000000" w:themeColor="text1"/>
          <w:sz w:val="28"/>
          <w:szCs w:val="28"/>
          <w:lang w:val="uk-UA"/>
        </w:rPr>
        <w:t>929</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73</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 </w:t>
      </w:r>
      <w:r w:rsidRPr="003A022D">
        <w:rPr>
          <w:rFonts w:ascii="Times New Roman" w:hAnsi="Times New Roman" w:cs="Times New Roman"/>
          <w:color w:val="000000" w:themeColor="text1"/>
          <w:sz w:val="28"/>
          <w:szCs w:val="28"/>
          <w:lang w:val="uk-UA"/>
        </w:rPr>
        <w:t>100%</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7</w:t>
      </w:r>
      <w:r>
        <w:rPr>
          <w:rFonts w:ascii="Times New Roman" w:hAnsi="Times New Roman" w:cs="Times New Roman"/>
          <w:color w:val="000000" w:themeColor="text1"/>
          <w:sz w:val="28"/>
          <w:szCs w:val="28"/>
          <w:lang w:val="uk-UA"/>
        </w:rPr>
        <w:t xml:space="preserve"> </w:t>
      </w:r>
      <w:r w:rsidRPr="003A022D">
        <w:rPr>
          <w:rFonts w:ascii="Times New Roman" w:hAnsi="Times New Roman" w:cs="Times New Roman"/>
          <w:color w:val="000000" w:themeColor="text1"/>
          <w:sz w:val="28"/>
          <w:szCs w:val="28"/>
          <w:lang w:val="uk-UA"/>
        </w:rPr>
        <w:t>522тис.грн.</w:t>
      </w:r>
    </w:p>
    <w:p w14:paraId="79098EC9" w14:textId="77777777" w:rsidR="00FA742F" w:rsidRPr="003A022D"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3A022D">
        <w:rPr>
          <w:rFonts w:ascii="Times New Roman" w:hAnsi="Times New Roman" w:cs="Times New Roman"/>
          <w:color w:val="000000" w:themeColor="text1"/>
          <w:sz w:val="28"/>
          <w:szCs w:val="28"/>
          <w:lang w:val="uk-UA"/>
        </w:rPr>
        <w:t>Таким чином, у січні 2023 року підприємство сплатить 7 522 тис. грн. відсотків та 130 580 тис. грн. основної суми боргу. На основі цього можна скласти графік з динамікою щоквартальних виплат довгострокового кредиту за визначений строк</w:t>
      </w:r>
      <w:r>
        <w:rPr>
          <w:rFonts w:ascii="Times New Roman" w:hAnsi="Times New Roman" w:cs="Times New Roman"/>
          <w:color w:val="000000" w:themeColor="text1"/>
          <w:sz w:val="28"/>
          <w:szCs w:val="28"/>
          <w:lang w:val="uk-UA"/>
        </w:rPr>
        <w:t xml:space="preserve"> (рис.В.1).</w:t>
      </w:r>
    </w:p>
    <w:p w14:paraId="7EB7A542" w14:textId="77777777" w:rsidR="00FA742F" w:rsidRDefault="00FA742F" w:rsidP="00FA742F">
      <w:pPr>
        <w:spacing w:after="0" w:line="240" w:lineRule="auto"/>
        <w:jc w:val="both"/>
        <w:rPr>
          <w:rFonts w:ascii="Times New Roman" w:hAnsi="Times New Roman" w:cs="Times New Roman"/>
          <w:color w:val="000000" w:themeColor="text1"/>
          <w:sz w:val="28"/>
          <w:szCs w:val="28"/>
          <w:lang w:val="uk-UA"/>
        </w:rPr>
      </w:pPr>
    </w:p>
    <w:p w14:paraId="664BD913" w14:textId="77777777" w:rsidR="00FA742F" w:rsidRDefault="00FA742F" w:rsidP="00FA742F">
      <w:pPr>
        <w:spacing w:after="0" w:line="240" w:lineRule="auto"/>
        <w:ind w:left="360"/>
        <w:jc w:val="both"/>
        <w:rPr>
          <w:rFonts w:ascii="Times New Roman" w:eastAsia="Times New Roman" w:hAnsi="Times New Roman" w:cs="Times New Roman"/>
          <w:sz w:val="28"/>
          <w:lang w:val="uk-UA"/>
        </w:rPr>
      </w:pPr>
      <w:r w:rsidRPr="00042924">
        <w:rPr>
          <w:noProof/>
          <w:sz w:val="28"/>
          <w:szCs w:val="28"/>
          <w:lang w:eastAsia="ru-RU"/>
        </w:rPr>
        <w:drawing>
          <wp:inline distT="0" distB="0" distL="0" distR="0" wp14:anchorId="07D11C1F" wp14:editId="7C30899B">
            <wp:extent cx="6111240" cy="3002280"/>
            <wp:effectExtent l="0" t="0" r="3810" b="7620"/>
            <wp:docPr id="873078677" name="Об'є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6D390BD" w14:textId="77777777" w:rsidR="00FA742F" w:rsidRDefault="00FA742F" w:rsidP="00FA742F">
      <w:pPr>
        <w:spacing w:after="0" w:line="240" w:lineRule="auto"/>
        <w:jc w:val="center"/>
        <w:rPr>
          <w:rFonts w:ascii="Times New Roman" w:hAnsi="Times New Roman" w:cs="Times New Roman"/>
          <w:color w:val="000000" w:themeColor="text1"/>
          <w:sz w:val="28"/>
          <w:szCs w:val="28"/>
          <w:lang w:val="uk-UA"/>
        </w:rPr>
      </w:pPr>
      <w:r>
        <w:rPr>
          <w:rFonts w:ascii="Times New Roman" w:eastAsia="Times New Roman" w:hAnsi="Times New Roman" w:cs="Times New Roman"/>
          <w:sz w:val="28"/>
          <w:lang w:val="uk-UA"/>
        </w:rPr>
        <w:t>Рисунок В.1 – Динаміка виплати довгострокового кредиту за визначений строк</w:t>
      </w:r>
    </w:p>
    <w:p w14:paraId="7D64462C" w14:textId="77777777" w:rsidR="00FA742F" w:rsidRDefault="00FA742F" w:rsidP="00FA742F">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Джерело: складено автором</w:t>
      </w:r>
    </w:p>
    <w:p w14:paraId="0AE509F0" w14:textId="77777777" w:rsidR="00FA742F" w:rsidRPr="00931F9E" w:rsidRDefault="00FA742F" w:rsidP="00FA742F">
      <w:pPr>
        <w:spacing w:after="0" w:line="240" w:lineRule="auto"/>
        <w:jc w:val="center"/>
        <w:rPr>
          <w:rFonts w:ascii="Times New Roman" w:hAnsi="Times New Roman" w:cs="Times New Roman"/>
          <w:b/>
          <w:bCs/>
          <w:color w:val="000000" w:themeColor="text1"/>
          <w:sz w:val="28"/>
          <w:szCs w:val="28"/>
          <w:lang w:val="uk-UA"/>
        </w:rPr>
      </w:pPr>
      <w:r w:rsidRPr="00931F9E">
        <w:rPr>
          <w:rFonts w:ascii="Times New Roman" w:hAnsi="Times New Roman" w:cs="Times New Roman"/>
          <w:b/>
          <w:bCs/>
          <w:color w:val="000000" w:themeColor="text1"/>
          <w:sz w:val="28"/>
          <w:szCs w:val="28"/>
          <w:lang w:val="uk-UA"/>
        </w:rPr>
        <w:lastRenderedPageBreak/>
        <w:t>Додаток Г</w:t>
      </w:r>
    </w:p>
    <w:p w14:paraId="0FBAEAB9" w14:textId="77777777" w:rsidR="00FA742F" w:rsidRDefault="00FA742F" w:rsidP="00FA742F">
      <w:pPr>
        <w:spacing w:after="0" w:line="240" w:lineRule="auto"/>
        <w:ind w:firstLine="709"/>
        <w:jc w:val="center"/>
        <w:rPr>
          <w:rFonts w:ascii="Times New Roman" w:hAnsi="Times New Roman" w:cs="Times New Roman"/>
          <w:color w:val="000000" w:themeColor="text1"/>
          <w:sz w:val="28"/>
          <w:szCs w:val="28"/>
          <w:lang w:val="uk-UA"/>
        </w:rPr>
      </w:pPr>
    </w:p>
    <w:p w14:paraId="10CB66F8" w14:textId="77777777" w:rsidR="00FA742F" w:rsidRPr="0029635E" w:rsidRDefault="00FA742F" w:rsidP="00FA742F">
      <w:pPr>
        <w:spacing w:after="0" w:line="240" w:lineRule="auto"/>
        <w:ind w:firstLine="709"/>
        <w:jc w:val="both"/>
        <w:rPr>
          <w:rFonts w:ascii="Times New Roman" w:hAnsi="Times New Roman" w:cs="Times New Roman"/>
          <w:color w:val="000000" w:themeColor="text1"/>
          <w:sz w:val="28"/>
          <w:szCs w:val="28"/>
          <w:lang w:val="uk-UA"/>
        </w:rPr>
      </w:pPr>
    </w:p>
    <w:p w14:paraId="6639EE91" w14:textId="77777777" w:rsidR="00FA742F" w:rsidRDefault="00FA742F" w:rsidP="00FA742F">
      <w:pPr>
        <w:spacing w:after="0" w:line="240" w:lineRule="auto"/>
        <w:ind w:firstLine="709"/>
        <w:jc w:val="both"/>
        <w:rPr>
          <w:rFonts w:ascii="Times New Roman" w:hAnsi="Times New Roman" w:cs="Times New Roman"/>
          <w:color w:val="000000" w:themeColor="text1"/>
          <w:sz w:val="28"/>
          <w:szCs w:val="28"/>
          <w:lang w:val="uk-UA"/>
        </w:rPr>
      </w:pPr>
      <w:r w:rsidRPr="00176B81">
        <w:rPr>
          <w:rFonts w:ascii="Times New Roman" w:hAnsi="Times New Roman" w:cs="Times New Roman"/>
          <w:color w:val="000000" w:themeColor="text1"/>
          <w:sz w:val="28"/>
          <w:szCs w:val="28"/>
          <w:lang w:val="uk-UA"/>
        </w:rPr>
        <w:t xml:space="preserve">Таблиця Г.1 </w:t>
      </w:r>
      <w:r>
        <w:rPr>
          <w:rFonts w:ascii="Times New Roman" w:hAnsi="Times New Roman" w:cs="Times New Roman"/>
          <w:color w:val="000000" w:themeColor="text1"/>
          <w:sz w:val="28"/>
          <w:szCs w:val="28"/>
          <w:lang w:val="uk-UA"/>
        </w:rPr>
        <w:t>–</w:t>
      </w:r>
      <w:r w:rsidRPr="00176B8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Порівняльна таблиця факторингових компаній </w:t>
      </w:r>
    </w:p>
    <w:tbl>
      <w:tblPr>
        <w:tblW w:w="5000" w:type="pct"/>
        <w:tblLook w:val="04A0" w:firstRow="1" w:lastRow="0" w:firstColumn="1" w:lastColumn="0" w:noHBand="0" w:noVBand="1"/>
      </w:tblPr>
      <w:tblGrid>
        <w:gridCol w:w="3669"/>
        <w:gridCol w:w="2153"/>
        <w:gridCol w:w="1857"/>
        <w:gridCol w:w="2232"/>
      </w:tblGrid>
      <w:tr w:rsidR="00FA742F" w:rsidRPr="00176B81" w14:paraId="0930B76E" w14:textId="77777777" w:rsidTr="00BE6C60">
        <w:trPr>
          <w:trHeight w:val="1224"/>
        </w:trPr>
        <w:tc>
          <w:tcPr>
            <w:tcW w:w="185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820C89"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Компанія</w:t>
            </w:r>
          </w:p>
        </w:tc>
        <w:tc>
          <w:tcPr>
            <w:tcW w:w="1086" w:type="pct"/>
            <w:tcBorders>
              <w:top w:val="single" w:sz="4" w:space="0" w:color="auto"/>
              <w:left w:val="nil"/>
              <w:bottom w:val="single" w:sz="4" w:space="0" w:color="auto"/>
              <w:right w:val="single" w:sz="4" w:space="0" w:color="auto"/>
            </w:tcBorders>
            <w:shd w:val="clear" w:color="000000" w:fill="FFFFFF"/>
            <w:vAlign w:val="center"/>
            <w:hideMark/>
          </w:tcPr>
          <w:p w14:paraId="3327D822"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Обсяг фінансування</w:t>
            </w:r>
          </w:p>
        </w:tc>
        <w:tc>
          <w:tcPr>
            <w:tcW w:w="937" w:type="pct"/>
            <w:tcBorders>
              <w:top w:val="single" w:sz="4" w:space="0" w:color="auto"/>
              <w:left w:val="nil"/>
              <w:bottom w:val="single" w:sz="4" w:space="0" w:color="auto"/>
              <w:right w:val="single" w:sz="4" w:space="0" w:color="auto"/>
            </w:tcBorders>
            <w:shd w:val="clear" w:color="000000" w:fill="FFFFFF"/>
            <w:vAlign w:val="center"/>
            <w:hideMark/>
          </w:tcPr>
          <w:p w14:paraId="1A9B6D91"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Дисконтна ставка</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14:paraId="57C705A7"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Термін факторингу</w:t>
            </w:r>
          </w:p>
        </w:tc>
      </w:tr>
      <w:tr w:rsidR="00FA742F" w:rsidRPr="00176B81" w14:paraId="21B67F0C" w14:textId="77777777" w:rsidTr="00BE6C60">
        <w:trPr>
          <w:trHeight w:val="408"/>
        </w:trPr>
        <w:tc>
          <w:tcPr>
            <w:tcW w:w="1851" w:type="pct"/>
            <w:tcBorders>
              <w:top w:val="nil"/>
              <w:left w:val="single" w:sz="4" w:space="0" w:color="auto"/>
              <w:bottom w:val="single" w:sz="4" w:space="0" w:color="auto"/>
              <w:right w:val="single" w:sz="4" w:space="0" w:color="auto"/>
            </w:tcBorders>
            <w:shd w:val="clear" w:color="000000" w:fill="FFFFFF"/>
            <w:vAlign w:val="center"/>
            <w:hideMark/>
          </w:tcPr>
          <w:p w14:paraId="2CF9AFAF"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Факторинг Фінанс</w:t>
            </w:r>
          </w:p>
        </w:tc>
        <w:tc>
          <w:tcPr>
            <w:tcW w:w="1086" w:type="pct"/>
            <w:tcBorders>
              <w:top w:val="nil"/>
              <w:left w:val="nil"/>
              <w:bottom w:val="single" w:sz="4" w:space="0" w:color="auto"/>
              <w:right w:val="single" w:sz="4" w:space="0" w:color="auto"/>
            </w:tcBorders>
            <w:shd w:val="clear" w:color="000000" w:fill="FFFFFF"/>
            <w:vAlign w:val="center"/>
            <w:hideMark/>
          </w:tcPr>
          <w:p w14:paraId="01D59350"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80%</w:t>
            </w:r>
          </w:p>
        </w:tc>
        <w:tc>
          <w:tcPr>
            <w:tcW w:w="937" w:type="pct"/>
            <w:tcBorders>
              <w:top w:val="nil"/>
              <w:left w:val="nil"/>
              <w:bottom w:val="single" w:sz="4" w:space="0" w:color="auto"/>
              <w:right w:val="single" w:sz="4" w:space="0" w:color="auto"/>
            </w:tcBorders>
            <w:shd w:val="clear" w:color="000000" w:fill="FFFFFF"/>
            <w:vAlign w:val="center"/>
            <w:hideMark/>
          </w:tcPr>
          <w:p w14:paraId="79810328"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 xml:space="preserve"> до 25%</w:t>
            </w:r>
          </w:p>
        </w:tc>
        <w:tc>
          <w:tcPr>
            <w:tcW w:w="1127" w:type="pct"/>
            <w:tcBorders>
              <w:top w:val="nil"/>
              <w:left w:val="nil"/>
              <w:bottom w:val="single" w:sz="4" w:space="0" w:color="auto"/>
              <w:right w:val="single" w:sz="4" w:space="0" w:color="auto"/>
            </w:tcBorders>
            <w:shd w:val="clear" w:color="000000" w:fill="FFFFFF"/>
            <w:vAlign w:val="center"/>
            <w:hideMark/>
          </w:tcPr>
          <w:p w14:paraId="6562FDFB"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180</w:t>
            </w:r>
          </w:p>
        </w:tc>
      </w:tr>
      <w:tr w:rsidR="00FA742F" w:rsidRPr="00176B81" w14:paraId="4F71DFB7" w14:textId="77777777" w:rsidTr="00BE6C60">
        <w:trPr>
          <w:trHeight w:val="1224"/>
        </w:trPr>
        <w:tc>
          <w:tcPr>
            <w:tcW w:w="1851" w:type="pct"/>
            <w:tcBorders>
              <w:top w:val="nil"/>
              <w:left w:val="single" w:sz="4" w:space="0" w:color="auto"/>
              <w:bottom w:val="single" w:sz="4" w:space="0" w:color="auto"/>
              <w:right w:val="single" w:sz="4" w:space="0" w:color="auto"/>
            </w:tcBorders>
            <w:shd w:val="clear" w:color="000000" w:fill="FFFFFF"/>
            <w:vAlign w:val="center"/>
            <w:hideMark/>
          </w:tcPr>
          <w:p w14:paraId="7134A24F"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Європейська факторингова компанія розвитку</w:t>
            </w:r>
          </w:p>
        </w:tc>
        <w:tc>
          <w:tcPr>
            <w:tcW w:w="1086" w:type="pct"/>
            <w:tcBorders>
              <w:top w:val="nil"/>
              <w:left w:val="nil"/>
              <w:bottom w:val="single" w:sz="4" w:space="0" w:color="auto"/>
              <w:right w:val="single" w:sz="4" w:space="0" w:color="auto"/>
            </w:tcBorders>
            <w:shd w:val="clear" w:color="000000" w:fill="FFFFFF"/>
            <w:vAlign w:val="center"/>
            <w:hideMark/>
          </w:tcPr>
          <w:p w14:paraId="0B439E53"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95 %</w:t>
            </w:r>
          </w:p>
        </w:tc>
        <w:tc>
          <w:tcPr>
            <w:tcW w:w="937" w:type="pct"/>
            <w:tcBorders>
              <w:top w:val="nil"/>
              <w:left w:val="nil"/>
              <w:bottom w:val="single" w:sz="4" w:space="0" w:color="auto"/>
              <w:right w:val="single" w:sz="4" w:space="0" w:color="auto"/>
            </w:tcBorders>
            <w:shd w:val="clear" w:color="000000" w:fill="FFFFFF"/>
            <w:vAlign w:val="center"/>
            <w:hideMark/>
          </w:tcPr>
          <w:p w14:paraId="3C1D7FBD"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 xml:space="preserve"> до 24%</w:t>
            </w:r>
          </w:p>
        </w:tc>
        <w:tc>
          <w:tcPr>
            <w:tcW w:w="1127" w:type="pct"/>
            <w:tcBorders>
              <w:top w:val="nil"/>
              <w:left w:val="nil"/>
              <w:bottom w:val="single" w:sz="4" w:space="0" w:color="auto"/>
              <w:right w:val="single" w:sz="4" w:space="0" w:color="auto"/>
            </w:tcBorders>
            <w:shd w:val="clear" w:color="000000" w:fill="FFFFFF"/>
            <w:vAlign w:val="center"/>
            <w:hideMark/>
          </w:tcPr>
          <w:p w14:paraId="52BA483B"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270</w:t>
            </w:r>
          </w:p>
        </w:tc>
      </w:tr>
      <w:tr w:rsidR="00FA742F" w:rsidRPr="00176B81" w14:paraId="4B3FFCC3" w14:textId="77777777" w:rsidTr="00BE6C60">
        <w:trPr>
          <w:trHeight w:val="1224"/>
        </w:trPr>
        <w:tc>
          <w:tcPr>
            <w:tcW w:w="1851" w:type="pct"/>
            <w:tcBorders>
              <w:top w:val="nil"/>
              <w:left w:val="single" w:sz="4" w:space="0" w:color="auto"/>
              <w:bottom w:val="single" w:sz="4" w:space="0" w:color="auto"/>
              <w:right w:val="single" w:sz="4" w:space="0" w:color="auto"/>
            </w:tcBorders>
            <w:shd w:val="clear" w:color="000000" w:fill="FFFFFF"/>
            <w:vAlign w:val="center"/>
            <w:hideMark/>
          </w:tcPr>
          <w:p w14:paraId="5EA058FA"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Міжрегіональна інвестиційно-лізингова компанія</w:t>
            </w:r>
          </w:p>
        </w:tc>
        <w:tc>
          <w:tcPr>
            <w:tcW w:w="1086" w:type="pct"/>
            <w:tcBorders>
              <w:top w:val="nil"/>
              <w:left w:val="nil"/>
              <w:bottom w:val="single" w:sz="4" w:space="0" w:color="auto"/>
              <w:right w:val="single" w:sz="4" w:space="0" w:color="auto"/>
            </w:tcBorders>
            <w:shd w:val="clear" w:color="000000" w:fill="FFFFFF"/>
            <w:vAlign w:val="center"/>
            <w:hideMark/>
          </w:tcPr>
          <w:p w14:paraId="4882656E"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100 %</w:t>
            </w:r>
          </w:p>
        </w:tc>
        <w:tc>
          <w:tcPr>
            <w:tcW w:w="937" w:type="pct"/>
            <w:tcBorders>
              <w:top w:val="nil"/>
              <w:left w:val="nil"/>
              <w:bottom w:val="single" w:sz="4" w:space="0" w:color="auto"/>
              <w:right w:val="single" w:sz="4" w:space="0" w:color="auto"/>
            </w:tcBorders>
            <w:shd w:val="clear" w:color="000000" w:fill="FFFFFF"/>
            <w:vAlign w:val="center"/>
            <w:hideMark/>
          </w:tcPr>
          <w:p w14:paraId="4D7A1B68"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30%</w:t>
            </w:r>
          </w:p>
        </w:tc>
        <w:tc>
          <w:tcPr>
            <w:tcW w:w="1127" w:type="pct"/>
            <w:tcBorders>
              <w:top w:val="nil"/>
              <w:left w:val="nil"/>
              <w:bottom w:val="single" w:sz="4" w:space="0" w:color="auto"/>
              <w:right w:val="single" w:sz="4" w:space="0" w:color="auto"/>
            </w:tcBorders>
            <w:shd w:val="clear" w:color="000000" w:fill="FFFFFF"/>
            <w:vAlign w:val="center"/>
            <w:hideMark/>
          </w:tcPr>
          <w:p w14:paraId="607A3494"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130</w:t>
            </w:r>
          </w:p>
        </w:tc>
      </w:tr>
      <w:tr w:rsidR="00FA742F" w:rsidRPr="00176B81" w14:paraId="16EF94DC" w14:textId="77777777" w:rsidTr="00BE6C60">
        <w:trPr>
          <w:trHeight w:val="408"/>
        </w:trPr>
        <w:tc>
          <w:tcPr>
            <w:tcW w:w="1851" w:type="pct"/>
            <w:tcBorders>
              <w:top w:val="nil"/>
              <w:left w:val="single" w:sz="4" w:space="0" w:color="auto"/>
              <w:bottom w:val="single" w:sz="4" w:space="0" w:color="auto"/>
              <w:right w:val="single" w:sz="4" w:space="0" w:color="auto"/>
            </w:tcBorders>
            <w:shd w:val="clear" w:color="000000" w:fill="FFFFFF"/>
            <w:vAlign w:val="center"/>
            <w:hideMark/>
          </w:tcPr>
          <w:p w14:paraId="70D0AD5D"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Скай сіті груп</w:t>
            </w:r>
          </w:p>
        </w:tc>
        <w:tc>
          <w:tcPr>
            <w:tcW w:w="1086" w:type="pct"/>
            <w:tcBorders>
              <w:top w:val="nil"/>
              <w:left w:val="nil"/>
              <w:bottom w:val="single" w:sz="4" w:space="0" w:color="auto"/>
              <w:right w:val="single" w:sz="4" w:space="0" w:color="auto"/>
            </w:tcBorders>
            <w:shd w:val="clear" w:color="000000" w:fill="FFFFFF"/>
            <w:vAlign w:val="center"/>
            <w:hideMark/>
          </w:tcPr>
          <w:p w14:paraId="1097B18A"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80-90%</w:t>
            </w:r>
          </w:p>
        </w:tc>
        <w:tc>
          <w:tcPr>
            <w:tcW w:w="937" w:type="pct"/>
            <w:tcBorders>
              <w:top w:val="nil"/>
              <w:left w:val="nil"/>
              <w:bottom w:val="single" w:sz="4" w:space="0" w:color="auto"/>
              <w:right w:val="single" w:sz="4" w:space="0" w:color="auto"/>
            </w:tcBorders>
            <w:shd w:val="clear" w:color="000000" w:fill="FFFFFF"/>
            <w:vAlign w:val="center"/>
            <w:hideMark/>
          </w:tcPr>
          <w:p w14:paraId="2682AC36"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10-20%</w:t>
            </w:r>
          </w:p>
        </w:tc>
        <w:tc>
          <w:tcPr>
            <w:tcW w:w="1127" w:type="pct"/>
            <w:tcBorders>
              <w:top w:val="nil"/>
              <w:left w:val="nil"/>
              <w:bottom w:val="single" w:sz="4" w:space="0" w:color="auto"/>
              <w:right w:val="single" w:sz="4" w:space="0" w:color="auto"/>
            </w:tcBorders>
            <w:shd w:val="clear" w:color="000000" w:fill="FFFFFF"/>
            <w:vAlign w:val="center"/>
            <w:hideMark/>
          </w:tcPr>
          <w:p w14:paraId="7E156C7B"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200</w:t>
            </w:r>
          </w:p>
        </w:tc>
      </w:tr>
      <w:tr w:rsidR="00FA742F" w:rsidRPr="00176B81" w14:paraId="475D0D41" w14:textId="77777777" w:rsidTr="00BE6C60">
        <w:trPr>
          <w:trHeight w:val="816"/>
        </w:trPr>
        <w:tc>
          <w:tcPr>
            <w:tcW w:w="1851" w:type="pct"/>
            <w:tcBorders>
              <w:top w:val="nil"/>
              <w:left w:val="single" w:sz="4" w:space="0" w:color="auto"/>
              <w:bottom w:val="single" w:sz="4" w:space="0" w:color="auto"/>
              <w:right w:val="single" w:sz="4" w:space="0" w:color="auto"/>
            </w:tcBorders>
            <w:shd w:val="clear" w:color="000000" w:fill="FFFFFF"/>
            <w:vAlign w:val="center"/>
            <w:hideMark/>
          </w:tcPr>
          <w:p w14:paraId="002E7E3D"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Центр Факторингових Послуг</w:t>
            </w:r>
          </w:p>
        </w:tc>
        <w:tc>
          <w:tcPr>
            <w:tcW w:w="1086" w:type="pct"/>
            <w:tcBorders>
              <w:top w:val="nil"/>
              <w:left w:val="nil"/>
              <w:bottom w:val="single" w:sz="4" w:space="0" w:color="auto"/>
              <w:right w:val="single" w:sz="4" w:space="0" w:color="auto"/>
            </w:tcBorders>
            <w:shd w:val="clear" w:color="000000" w:fill="FFFFFF"/>
            <w:vAlign w:val="center"/>
            <w:hideMark/>
          </w:tcPr>
          <w:p w14:paraId="12AD9420"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90%</w:t>
            </w:r>
          </w:p>
        </w:tc>
        <w:tc>
          <w:tcPr>
            <w:tcW w:w="937" w:type="pct"/>
            <w:tcBorders>
              <w:top w:val="nil"/>
              <w:left w:val="nil"/>
              <w:bottom w:val="single" w:sz="4" w:space="0" w:color="auto"/>
              <w:right w:val="single" w:sz="4" w:space="0" w:color="auto"/>
            </w:tcBorders>
            <w:shd w:val="clear" w:color="000000" w:fill="FFFFFF"/>
            <w:vAlign w:val="center"/>
            <w:hideMark/>
          </w:tcPr>
          <w:p w14:paraId="28183850"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20%</w:t>
            </w:r>
          </w:p>
        </w:tc>
        <w:tc>
          <w:tcPr>
            <w:tcW w:w="1127" w:type="pct"/>
            <w:tcBorders>
              <w:top w:val="nil"/>
              <w:left w:val="nil"/>
              <w:bottom w:val="single" w:sz="4" w:space="0" w:color="auto"/>
              <w:right w:val="single" w:sz="4" w:space="0" w:color="auto"/>
            </w:tcBorders>
            <w:shd w:val="clear" w:color="000000" w:fill="FFFFFF"/>
            <w:vAlign w:val="center"/>
            <w:hideMark/>
          </w:tcPr>
          <w:p w14:paraId="44352F1C" w14:textId="77777777" w:rsidR="00FA742F" w:rsidRPr="00176B81" w:rsidRDefault="00FA742F" w:rsidP="00BE6C60">
            <w:pPr>
              <w:spacing w:after="0" w:line="240" w:lineRule="auto"/>
              <w:jc w:val="center"/>
              <w:rPr>
                <w:rFonts w:ascii="Times New Roman" w:eastAsia="Times New Roman" w:hAnsi="Times New Roman" w:cs="Times New Roman"/>
                <w:color w:val="1C1917"/>
                <w:kern w:val="0"/>
                <w:sz w:val="28"/>
                <w:szCs w:val="28"/>
                <w:lang w:val="uk-UA" w:eastAsia="uk-UA"/>
                <w14:ligatures w14:val="none"/>
              </w:rPr>
            </w:pPr>
            <w:r w:rsidRPr="00176B81">
              <w:rPr>
                <w:rFonts w:ascii="Times New Roman" w:eastAsia="Times New Roman" w:hAnsi="Times New Roman" w:cs="Times New Roman"/>
                <w:color w:val="1C1917"/>
                <w:kern w:val="0"/>
                <w:sz w:val="28"/>
                <w:szCs w:val="28"/>
                <w:lang w:val="uk-UA" w:eastAsia="uk-UA"/>
                <w14:ligatures w14:val="none"/>
              </w:rPr>
              <w:t>До 120</w:t>
            </w:r>
          </w:p>
        </w:tc>
      </w:tr>
    </w:tbl>
    <w:p w14:paraId="57D24669" w14:textId="77777777" w:rsidR="00FA742F" w:rsidRPr="00406380" w:rsidRDefault="00FA742F" w:rsidP="00FA742F">
      <w:pPr>
        <w:spacing w:after="0" w:line="24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Джерело: систематизовано автором самостійно </w:t>
      </w:r>
      <w:r w:rsidR="00BE6C60">
        <w:rPr>
          <w:rFonts w:ascii="Times New Roman" w:hAnsi="Times New Roman" w:cs="Times New Roman"/>
          <w:color w:val="000000" w:themeColor="text1"/>
          <w:sz w:val="28"/>
          <w:szCs w:val="28"/>
          <w:lang w:val="uk-UA"/>
        </w:rPr>
        <w:t>на основі сайтів факторингових компаній</w:t>
      </w:r>
    </w:p>
    <w:p w14:paraId="38E41525" w14:textId="77777777" w:rsidR="00AA3D3E" w:rsidRDefault="00AA3D3E">
      <w:pPr>
        <w:rPr>
          <w:rFonts w:ascii="Times New Roman" w:eastAsia="Times New Roman" w:hAnsi="Times New Roman" w:cs="Times New Roman"/>
          <w:sz w:val="28"/>
          <w:szCs w:val="28"/>
          <w:lang w:val="uk-UA"/>
          <w14:ligatures w14:val="none"/>
        </w:rPr>
      </w:pPr>
      <w:r>
        <w:rPr>
          <w:rFonts w:ascii="Times New Roman" w:eastAsia="Times New Roman" w:hAnsi="Times New Roman" w:cs="Times New Roman"/>
          <w:sz w:val="28"/>
          <w:szCs w:val="28"/>
          <w:lang w:val="uk-UA"/>
          <w14:ligatures w14:val="none"/>
        </w:rPr>
        <w:br w:type="page"/>
      </w:r>
    </w:p>
    <w:p w14:paraId="210BEE9B" w14:textId="77777777" w:rsidR="00DC5FDD" w:rsidRDefault="00AA3D3E" w:rsidP="00AA3D3E">
      <w:pPr>
        <w:widowControl w:val="0"/>
        <w:autoSpaceDE w:val="0"/>
        <w:autoSpaceDN w:val="0"/>
        <w:spacing w:after="0" w:line="240" w:lineRule="auto"/>
        <w:jc w:val="center"/>
        <w:rPr>
          <w:rFonts w:ascii="Times New Roman" w:eastAsia="Times New Roman" w:hAnsi="Times New Roman" w:cs="Times New Roman"/>
          <w:b/>
          <w:bCs/>
          <w:sz w:val="28"/>
          <w:szCs w:val="28"/>
          <w:lang w:val="uk-UA"/>
          <w14:ligatures w14:val="none"/>
        </w:rPr>
      </w:pPr>
      <w:bookmarkStart w:id="35" w:name="_Hlk153352059"/>
      <w:r w:rsidRPr="00AA3D3E">
        <w:rPr>
          <w:rFonts w:ascii="Times New Roman" w:eastAsia="Times New Roman" w:hAnsi="Times New Roman" w:cs="Times New Roman"/>
          <w:b/>
          <w:bCs/>
          <w:sz w:val="28"/>
          <w:szCs w:val="28"/>
          <w:lang w:val="uk-UA"/>
          <w14:ligatures w14:val="none"/>
        </w:rPr>
        <w:lastRenderedPageBreak/>
        <w:t>Додаток Д</w:t>
      </w:r>
    </w:p>
    <w:p w14:paraId="61CD72B1" w14:textId="77777777" w:rsidR="00AA3D3E" w:rsidRDefault="00AA3D3E" w:rsidP="00AA3D3E">
      <w:pPr>
        <w:widowControl w:val="0"/>
        <w:autoSpaceDE w:val="0"/>
        <w:autoSpaceDN w:val="0"/>
        <w:spacing w:after="0" w:line="240" w:lineRule="auto"/>
        <w:jc w:val="center"/>
        <w:rPr>
          <w:rFonts w:ascii="Times New Roman" w:eastAsia="Times New Roman" w:hAnsi="Times New Roman" w:cs="Times New Roman"/>
          <w:b/>
          <w:bCs/>
          <w:sz w:val="28"/>
          <w:szCs w:val="28"/>
          <w:lang w:val="uk-UA"/>
          <w14:ligatures w14:val="none"/>
        </w:rPr>
      </w:pPr>
    </w:p>
    <w:p w14:paraId="21B5EDF5" w14:textId="77777777" w:rsidR="00AA3D3E" w:rsidRDefault="00AA3D3E" w:rsidP="00AA3D3E">
      <w:pPr>
        <w:widowControl w:val="0"/>
        <w:autoSpaceDE w:val="0"/>
        <w:autoSpaceDN w:val="0"/>
        <w:spacing w:after="0" w:line="240" w:lineRule="auto"/>
        <w:jc w:val="center"/>
        <w:rPr>
          <w:rFonts w:ascii="Times New Roman" w:eastAsia="Times New Roman" w:hAnsi="Times New Roman" w:cs="Times New Roman"/>
          <w:b/>
          <w:bCs/>
          <w:sz w:val="28"/>
          <w:szCs w:val="28"/>
          <w:lang w:val="uk-UA"/>
          <w14:ligatures w14:val="none"/>
        </w:rPr>
      </w:pPr>
    </w:p>
    <w:p w14:paraId="5B769AEE" w14:textId="77777777" w:rsidR="00AA3D3E" w:rsidRDefault="00AA3D3E" w:rsidP="00AA3D3E">
      <w:pPr>
        <w:widowControl w:val="0"/>
        <w:autoSpaceDE w:val="0"/>
        <w:autoSpaceDN w:val="0"/>
        <w:spacing w:after="0" w:line="240" w:lineRule="auto"/>
        <w:ind w:firstLine="709"/>
        <w:jc w:val="both"/>
        <w:rPr>
          <w:rFonts w:ascii="Times New Roman" w:eastAsia="Times New Roman" w:hAnsi="Times New Roman" w:cs="Times New Roman"/>
          <w:sz w:val="28"/>
          <w:szCs w:val="28"/>
          <w:lang w:val="uk-UA"/>
          <w14:ligatures w14:val="none"/>
        </w:rPr>
      </w:pPr>
      <w:r>
        <w:rPr>
          <w:rFonts w:ascii="Times New Roman" w:eastAsia="Times New Roman" w:hAnsi="Times New Roman" w:cs="Times New Roman"/>
          <w:sz w:val="28"/>
          <w:szCs w:val="28"/>
          <w:lang w:val="uk-UA"/>
          <w14:ligatures w14:val="none"/>
        </w:rPr>
        <w:t xml:space="preserve">Таблиця Д.1 </w:t>
      </w:r>
      <w:r w:rsidR="004010C7">
        <w:rPr>
          <w:rFonts w:ascii="Times New Roman" w:eastAsia="Times New Roman" w:hAnsi="Times New Roman" w:cs="Times New Roman"/>
          <w:sz w:val="28"/>
          <w:szCs w:val="28"/>
          <w:lang w:val="uk-UA"/>
          <w14:ligatures w14:val="none"/>
        </w:rPr>
        <w:t>–</w:t>
      </w:r>
      <w:r>
        <w:rPr>
          <w:rFonts w:ascii="Times New Roman" w:eastAsia="Times New Roman" w:hAnsi="Times New Roman" w:cs="Times New Roman"/>
          <w:sz w:val="28"/>
          <w:szCs w:val="28"/>
          <w:lang w:val="uk-UA"/>
          <w14:ligatures w14:val="none"/>
        </w:rPr>
        <w:t xml:space="preserve"> </w:t>
      </w:r>
      <w:r w:rsidR="004010C7">
        <w:rPr>
          <w:rFonts w:ascii="Times New Roman" w:eastAsia="Times New Roman" w:hAnsi="Times New Roman" w:cs="Times New Roman"/>
          <w:sz w:val="28"/>
          <w:szCs w:val="28"/>
          <w:lang w:val="uk-UA"/>
          <w14:ligatures w14:val="none"/>
        </w:rPr>
        <w:t>Розрахунок економічного ефекту від запропонованих заходів</w:t>
      </w:r>
    </w:p>
    <w:tbl>
      <w:tblPr>
        <w:tblStyle w:val="a6"/>
        <w:tblW w:w="5000" w:type="pct"/>
        <w:jc w:val="center"/>
        <w:tblLayout w:type="fixed"/>
        <w:tblCellMar>
          <w:top w:w="113" w:type="dxa"/>
          <w:left w:w="57" w:type="dxa"/>
          <w:bottom w:w="113" w:type="dxa"/>
          <w:right w:w="113" w:type="dxa"/>
        </w:tblCellMar>
        <w:tblLook w:val="04A0" w:firstRow="1" w:lastRow="0" w:firstColumn="1" w:lastColumn="0" w:noHBand="0" w:noVBand="1"/>
      </w:tblPr>
      <w:tblGrid>
        <w:gridCol w:w="987"/>
        <w:gridCol w:w="6095"/>
        <w:gridCol w:w="2829"/>
      </w:tblGrid>
      <w:tr w:rsidR="002E4508" w:rsidRPr="00A32D84" w14:paraId="4A89356D" w14:textId="77777777" w:rsidTr="00CC70CF">
        <w:trPr>
          <w:jc w:val="center"/>
        </w:trPr>
        <w:tc>
          <w:tcPr>
            <w:tcW w:w="498" w:type="pct"/>
            <w:vAlign w:val="center"/>
          </w:tcPr>
          <w:p w14:paraId="70228EE0" w14:textId="77777777" w:rsidR="004010C7" w:rsidRPr="00A32D84" w:rsidRDefault="00712105"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Напрям</w:t>
            </w:r>
          </w:p>
        </w:tc>
        <w:tc>
          <w:tcPr>
            <w:tcW w:w="3075" w:type="pct"/>
            <w:vAlign w:val="center"/>
          </w:tcPr>
          <w:p w14:paraId="78D00F39"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Розрахунок</w:t>
            </w:r>
          </w:p>
        </w:tc>
        <w:tc>
          <w:tcPr>
            <w:tcW w:w="1427" w:type="pct"/>
            <w:vAlign w:val="center"/>
          </w:tcPr>
          <w:p w14:paraId="60E4F49E"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Результат</w:t>
            </w:r>
          </w:p>
        </w:tc>
      </w:tr>
      <w:tr w:rsidR="00712105" w:rsidRPr="00A32D84" w14:paraId="6E4890AE" w14:textId="77777777" w:rsidTr="00CC70CF">
        <w:trPr>
          <w:trHeight w:val="283"/>
          <w:jc w:val="center"/>
        </w:trPr>
        <w:tc>
          <w:tcPr>
            <w:tcW w:w="498" w:type="pct"/>
            <w:vAlign w:val="center"/>
          </w:tcPr>
          <w:p w14:paraId="0CD3833F" w14:textId="77777777" w:rsidR="00712105" w:rsidRPr="00A32D84" w:rsidRDefault="00712105"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1</w:t>
            </w:r>
          </w:p>
        </w:tc>
        <w:tc>
          <w:tcPr>
            <w:tcW w:w="3075" w:type="pct"/>
            <w:vAlign w:val="center"/>
          </w:tcPr>
          <w:p w14:paraId="295EC9E6" w14:textId="77777777" w:rsidR="00712105" w:rsidRPr="00A32D84" w:rsidRDefault="00712105"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2</w:t>
            </w:r>
          </w:p>
        </w:tc>
        <w:tc>
          <w:tcPr>
            <w:tcW w:w="1427" w:type="pct"/>
            <w:vAlign w:val="center"/>
          </w:tcPr>
          <w:p w14:paraId="3474575E" w14:textId="77777777" w:rsidR="00712105" w:rsidRPr="00A32D84" w:rsidRDefault="00712105"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3</w:t>
            </w:r>
          </w:p>
        </w:tc>
      </w:tr>
      <w:tr w:rsidR="002E4508" w:rsidRPr="00A32D84" w14:paraId="65DBB4BD" w14:textId="77777777" w:rsidTr="00CC70CF">
        <w:trPr>
          <w:cantSplit/>
          <w:trHeight w:val="5738"/>
          <w:jc w:val="center"/>
        </w:trPr>
        <w:tc>
          <w:tcPr>
            <w:tcW w:w="498" w:type="pct"/>
            <w:textDirection w:val="btLr"/>
            <w:vAlign w:val="center"/>
          </w:tcPr>
          <w:p w14:paraId="70E353C0" w14:textId="77777777" w:rsidR="004010C7" w:rsidRPr="00A32D84" w:rsidRDefault="004010C7" w:rsidP="004A1DE7">
            <w:pPr>
              <w:ind w:left="113" w:right="113"/>
              <w:jc w:val="center"/>
              <w:rPr>
                <w:rFonts w:ascii="Times New Roman" w:hAnsi="Times New Roman" w:cs="Times New Roman"/>
                <w:sz w:val="24"/>
                <w:szCs w:val="24"/>
                <w:lang w:val="uk-UA"/>
              </w:rPr>
            </w:pPr>
            <w:r w:rsidRPr="00A32D84">
              <w:rPr>
                <w:rFonts w:ascii="Times New Roman" w:eastAsia="Times New Roman" w:hAnsi="Times New Roman" w:cs="Times New Roman"/>
                <w:color w:val="1C1917"/>
                <w:sz w:val="24"/>
                <w:szCs w:val="24"/>
                <w:lang w:val="uk-UA" w:eastAsia="uk-UA"/>
              </w:rPr>
              <w:t>1.Інвестиції</w:t>
            </w:r>
          </w:p>
        </w:tc>
        <w:tc>
          <w:tcPr>
            <w:tcW w:w="3075" w:type="pct"/>
            <w:vAlign w:val="center"/>
          </w:tcPr>
          <w:p w14:paraId="5C10E65B" w14:textId="77777777" w:rsidR="004010C7" w:rsidRPr="00C3614C" w:rsidRDefault="004010C7" w:rsidP="002E4508">
            <w:pPr>
              <w:numPr>
                <w:ilvl w:val="0"/>
                <w:numId w:val="11"/>
              </w:numPr>
              <w:ind w:left="530"/>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Сума кредиту становить 100 млн</w:t>
            </w:r>
            <w:r w:rsidRPr="00A32D84">
              <w:rPr>
                <w:rFonts w:ascii="Times New Roman" w:hAnsi="Times New Roman" w:cs="Times New Roman"/>
                <w:sz w:val="24"/>
                <w:szCs w:val="24"/>
                <w:lang w:val="uk-UA"/>
              </w:rPr>
              <w:t>.</w:t>
            </w:r>
            <w:r w:rsidRPr="00C3614C">
              <w:rPr>
                <w:rFonts w:ascii="Times New Roman" w:hAnsi="Times New Roman" w:cs="Times New Roman"/>
                <w:sz w:val="24"/>
                <w:szCs w:val="24"/>
                <w:lang w:val="uk-UA"/>
              </w:rPr>
              <w:t xml:space="preserve"> доларів США</w:t>
            </w:r>
          </w:p>
          <w:p w14:paraId="0F6229C5" w14:textId="77777777" w:rsidR="004010C7" w:rsidRPr="00C3614C" w:rsidRDefault="004010C7" w:rsidP="002E4508">
            <w:pPr>
              <w:numPr>
                <w:ilvl w:val="0"/>
                <w:numId w:val="11"/>
              </w:numPr>
              <w:ind w:left="530"/>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Перераховуємо цю суму в гривні за поточним курсом (умовно 30 грн/долар): 100 млн дол. * 3</w:t>
            </w:r>
            <w:r w:rsidRPr="00A32D84">
              <w:rPr>
                <w:rFonts w:ascii="Times New Roman" w:hAnsi="Times New Roman" w:cs="Times New Roman"/>
                <w:sz w:val="24"/>
                <w:szCs w:val="24"/>
                <w:lang w:val="uk-UA"/>
              </w:rPr>
              <w:t>7</w:t>
            </w:r>
            <w:r w:rsidRPr="00C3614C">
              <w:rPr>
                <w:rFonts w:ascii="Times New Roman" w:hAnsi="Times New Roman" w:cs="Times New Roman"/>
                <w:sz w:val="24"/>
                <w:szCs w:val="24"/>
                <w:lang w:val="uk-UA"/>
              </w:rPr>
              <w:t xml:space="preserve"> грн/дол = 3 </w:t>
            </w:r>
            <w:r w:rsidRPr="00A32D84">
              <w:rPr>
                <w:rFonts w:ascii="Times New Roman" w:hAnsi="Times New Roman" w:cs="Times New Roman"/>
                <w:sz w:val="24"/>
                <w:szCs w:val="24"/>
                <w:lang w:val="uk-UA"/>
              </w:rPr>
              <w:t>7</w:t>
            </w:r>
            <w:r w:rsidRPr="00C3614C">
              <w:rPr>
                <w:rFonts w:ascii="Times New Roman" w:hAnsi="Times New Roman" w:cs="Times New Roman"/>
                <w:sz w:val="24"/>
                <w:szCs w:val="24"/>
                <w:lang w:val="uk-UA"/>
              </w:rPr>
              <w:t>0</w:t>
            </w:r>
            <w:r w:rsidRPr="00A32D84">
              <w:rPr>
                <w:rFonts w:ascii="Times New Roman" w:hAnsi="Times New Roman" w:cs="Times New Roman"/>
                <w:sz w:val="24"/>
                <w:szCs w:val="24"/>
                <w:lang w:val="uk-UA"/>
              </w:rPr>
              <w:t>1</w:t>
            </w:r>
            <w:r w:rsidRPr="00C3614C">
              <w:rPr>
                <w:rFonts w:ascii="Times New Roman" w:hAnsi="Times New Roman" w:cs="Times New Roman"/>
                <w:sz w:val="24"/>
                <w:szCs w:val="24"/>
                <w:lang w:val="uk-UA"/>
              </w:rPr>
              <w:t xml:space="preserve"> млн</w:t>
            </w:r>
            <w:r w:rsidRPr="00A32D84">
              <w:rPr>
                <w:rFonts w:ascii="Times New Roman" w:hAnsi="Times New Roman" w:cs="Times New Roman"/>
                <w:sz w:val="24"/>
                <w:szCs w:val="24"/>
                <w:lang w:val="uk-UA"/>
              </w:rPr>
              <w:t>.</w:t>
            </w:r>
            <w:r w:rsidRPr="00C3614C">
              <w:rPr>
                <w:rFonts w:ascii="Times New Roman" w:hAnsi="Times New Roman" w:cs="Times New Roman"/>
                <w:sz w:val="24"/>
                <w:szCs w:val="24"/>
                <w:lang w:val="uk-UA"/>
              </w:rPr>
              <w:t xml:space="preserve"> грн</w:t>
            </w:r>
            <w:r w:rsidRPr="00A32D84">
              <w:rPr>
                <w:rFonts w:ascii="Times New Roman" w:hAnsi="Times New Roman" w:cs="Times New Roman"/>
                <w:sz w:val="24"/>
                <w:szCs w:val="24"/>
                <w:lang w:val="uk-UA"/>
              </w:rPr>
              <w:t>.</w:t>
            </w:r>
          </w:p>
          <w:p w14:paraId="43E935F2" w14:textId="77777777" w:rsidR="004010C7" w:rsidRPr="00C3614C" w:rsidRDefault="004010C7" w:rsidP="002E4508">
            <w:pPr>
              <w:numPr>
                <w:ilvl w:val="0"/>
                <w:numId w:val="11"/>
              </w:numPr>
              <w:ind w:left="530"/>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 xml:space="preserve">Додаємо отриману суму кредиту в 3 млрд грн до оборотних активів компанії: Початкові оборотні активи (рядок 1195 балансу) - 29 703 419 тис. грн Оборотні активи з урахуванням кредиту: 29 703 419 + 3 </w:t>
            </w:r>
            <w:r w:rsidRPr="00A32D84">
              <w:rPr>
                <w:rFonts w:ascii="Times New Roman" w:hAnsi="Times New Roman" w:cs="Times New Roman"/>
                <w:sz w:val="24"/>
                <w:szCs w:val="24"/>
                <w:lang w:val="uk-UA"/>
              </w:rPr>
              <w:t>7</w:t>
            </w:r>
            <w:r w:rsidRPr="00C3614C">
              <w:rPr>
                <w:rFonts w:ascii="Times New Roman" w:hAnsi="Times New Roman" w:cs="Times New Roman"/>
                <w:sz w:val="24"/>
                <w:szCs w:val="24"/>
                <w:lang w:val="uk-UA"/>
              </w:rPr>
              <w:t>0</w:t>
            </w:r>
            <w:r w:rsidRPr="00A32D84">
              <w:rPr>
                <w:rFonts w:ascii="Times New Roman" w:hAnsi="Times New Roman" w:cs="Times New Roman"/>
                <w:sz w:val="24"/>
                <w:szCs w:val="24"/>
                <w:lang w:val="uk-UA"/>
              </w:rPr>
              <w:t>1</w:t>
            </w:r>
            <w:r w:rsidRPr="00C3614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651</w:t>
            </w:r>
            <w:r w:rsidRPr="00C3614C">
              <w:rPr>
                <w:rFonts w:ascii="Times New Roman" w:hAnsi="Times New Roman" w:cs="Times New Roman"/>
                <w:sz w:val="24"/>
                <w:szCs w:val="24"/>
                <w:lang w:val="uk-UA"/>
              </w:rPr>
              <w:t xml:space="preserve"> = 3</w:t>
            </w:r>
            <w:r w:rsidRPr="00A32D84">
              <w:rPr>
                <w:rFonts w:ascii="Times New Roman" w:hAnsi="Times New Roman" w:cs="Times New Roman"/>
                <w:sz w:val="24"/>
                <w:szCs w:val="24"/>
                <w:lang w:val="uk-UA"/>
              </w:rPr>
              <w:t>3</w:t>
            </w:r>
            <w:r w:rsidRPr="00C3614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405</w:t>
            </w:r>
            <w:r w:rsidRPr="00C3614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070</w:t>
            </w:r>
            <w:r w:rsidRPr="00C3614C">
              <w:rPr>
                <w:rFonts w:ascii="Times New Roman" w:hAnsi="Times New Roman" w:cs="Times New Roman"/>
                <w:sz w:val="24"/>
                <w:szCs w:val="24"/>
                <w:lang w:val="uk-UA"/>
              </w:rPr>
              <w:t xml:space="preserve"> тис. грн</w:t>
            </w:r>
          </w:p>
          <w:p w14:paraId="64C75469" w14:textId="77777777" w:rsidR="004010C7" w:rsidRPr="00C3614C" w:rsidRDefault="004010C7" w:rsidP="002E4508">
            <w:pPr>
              <w:numPr>
                <w:ilvl w:val="0"/>
                <w:numId w:val="11"/>
              </w:numPr>
              <w:ind w:left="530"/>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 xml:space="preserve">Визначаємо зміну оборотних активів: Приріст оборотних активів становить 3 </w:t>
            </w:r>
            <w:r w:rsidRPr="00A32D84">
              <w:rPr>
                <w:rFonts w:ascii="Times New Roman" w:hAnsi="Times New Roman" w:cs="Times New Roman"/>
                <w:sz w:val="24"/>
                <w:szCs w:val="24"/>
                <w:lang w:val="uk-UA"/>
              </w:rPr>
              <w:t>7</w:t>
            </w:r>
            <w:r w:rsidRPr="00C3614C">
              <w:rPr>
                <w:rFonts w:ascii="Times New Roman" w:hAnsi="Times New Roman" w:cs="Times New Roman"/>
                <w:sz w:val="24"/>
                <w:szCs w:val="24"/>
                <w:lang w:val="uk-UA"/>
              </w:rPr>
              <w:t>0</w:t>
            </w:r>
            <w:r w:rsidRPr="00A32D84">
              <w:rPr>
                <w:rFonts w:ascii="Times New Roman" w:hAnsi="Times New Roman" w:cs="Times New Roman"/>
                <w:sz w:val="24"/>
                <w:szCs w:val="24"/>
                <w:lang w:val="uk-UA"/>
              </w:rPr>
              <w:t>1</w:t>
            </w:r>
            <w:r w:rsidRPr="00C3614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651</w:t>
            </w:r>
            <w:r w:rsidRPr="00C3614C">
              <w:rPr>
                <w:rFonts w:ascii="Times New Roman" w:hAnsi="Times New Roman" w:cs="Times New Roman"/>
                <w:sz w:val="24"/>
                <w:szCs w:val="24"/>
                <w:lang w:val="uk-UA"/>
              </w:rPr>
              <w:t xml:space="preserve"> тис. грн (сума кредиту)</w:t>
            </w:r>
          </w:p>
          <w:p w14:paraId="4DFE35A2" w14:textId="77777777" w:rsidR="004010C7" w:rsidRPr="00C3614C" w:rsidRDefault="004010C7" w:rsidP="002E4508">
            <w:pPr>
              <w:numPr>
                <w:ilvl w:val="0"/>
                <w:numId w:val="11"/>
              </w:numPr>
              <w:ind w:left="530"/>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 xml:space="preserve">Розраховуємо коефіцієнт покриття (поточної ліквідності): на початку </w:t>
            </w:r>
            <w:r w:rsidRPr="00A32D84">
              <w:rPr>
                <w:rFonts w:ascii="Times New Roman" w:hAnsi="Times New Roman" w:cs="Times New Roman"/>
                <w:sz w:val="24"/>
                <w:szCs w:val="24"/>
                <w:lang w:val="uk-UA"/>
              </w:rPr>
              <w:t>1</w:t>
            </w:r>
            <w:r w:rsidRPr="00C3614C">
              <w:rPr>
                <w:rFonts w:ascii="Times New Roman" w:hAnsi="Times New Roman" w:cs="Times New Roman"/>
                <w:sz w:val="24"/>
                <w:szCs w:val="24"/>
                <w:lang w:val="uk-UA"/>
              </w:rPr>
              <w:t>,</w:t>
            </w:r>
            <w:r w:rsidRPr="00A32D84">
              <w:rPr>
                <w:rFonts w:ascii="Times New Roman" w:hAnsi="Times New Roman" w:cs="Times New Roman"/>
                <w:sz w:val="24"/>
                <w:szCs w:val="24"/>
                <w:lang w:val="uk-UA"/>
              </w:rPr>
              <w:t>61</w:t>
            </w:r>
            <w:r w:rsidRPr="00C3614C">
              <w:rPr>
                <w:rFonts w:ascii="Times New Roman" w:hAnsi="Times New Roman" w:cs="Times New Roman"/>
                <w:sz w:val="24"/>
                <w:szCs w:val="24"/>
                <w:lang w:val="uk-UA"/>
              </w:rPr>
              <w:t xml:space="preserve"> з урахування кредиту: 3</w:t>
            </w:r>
            <w:r w:rsidRPr="00A32D84">
              <w:rPr>
                <w:rFonts w:ascii="Times New Roman" w:hAnsi="Times New Roman" w:cs="Times New Roman"/>
                <w:sz w:val="24"/>
                <w:szCs w:val="24"/>
                <w:lang w:val="uk-UA"/>
              </w:rPr>
              <w:t>3</w:t>
            </w:r>
            <w:r w:rsidRPr="00C3614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405</w:t>
            </w:r>
            <w:r w:rsidRPr="00C3614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070</w:t>
            </w:r>
            <w:r w:rsidRPr="00C3614C">
              <w:rPr>
                <w:rFonts w:ascii="Times New Roman" w:hAnsi="Times New Roman" w:cs="Times New Roman"/>
                <w:sz w:val="24"/>
                <w:szCs w:val="24"/>
                <w:lang w:val="uk-UA"/>
              </w:rPr>
              <w:t xml:space="preserve"> / 18 423 468 = 1,</w:t>
            </w:r>
            <w:r w:rsidRPr="00A32D84">
              <w:rPr>
                <w:rFonts w:ascii="Times New Roman" w:hAnsi="Times New Roman" w:cs="Times New Roman"/>
                <w:sz w:val="24"/>
                <w:szCs w:val="24"/>
                <w:lang w:val="uk-UA"/>
              </w:rPr>
              <w:t>81</w:t>
            </w:r>
          </w:p>
          <w:p w14:paraId="2C5C5A80" w14:textId="77777777" w:rsidR="004010C7" w:rsidRPr="00C3614C" w:rsidRDefault="004010C7" w:rsidP="002E4508">
            <w:pPr>
              <w:numPr>
                <w:ilvl w:val="0"/>
                <w:numId w:val="11"/>
              </w:numPr>
              <w:ind w:left="530"/>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Розрахунок економічного ефекту:</w:t>
            </w:r>
          </w:p>
          <w:p w14:paraId="6E08A163" w14:textId="77777777" w:rsidR="004010C7" w:rsidRPr="00C3614C" w:rsidRDefault="004010C7" w:rsidP="004010C7">
            <w:pPr>
              <w:numPr>
                <w:ilvl w:val="0"/>
                <w:numId w:val="12"/>
              </w:numPr>
              <w:ind w:left="1069"/>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зростання оборотних активів на 3</w:t>
            </w:r>
            <w:r w:rsidRPr="00A32D84">
              <w:rPr>
                <w:rFonts w:ascii="Times New Roman" w:hAnsi="Times New Roman" w:cs="Times New Roman"/>
                <w:sz w:val="24"/>
                <w:szCs w:val="24"/>
                <w:lang w:val="uk-UA"/>
              </w:rPr>
              <w:t>,7</w:t>
            </w:r>
            <w:r w:rsidRPr="00C3614C">
              <w:rPr>
                <w:rFonts w:ascii="Times New Roman" w:hAnsi="Times New Roman" w:cs="Times New Roman"/>
                <w:sz w:val="24"/>
                <w:szCs w:val="24"/>
                <w:lang w:val="uk-UA"/>
              </w:rPr>
              <w:t xml:space="preserve"> млрд</w:t>
            </w:r>
            <w:r w:rsidRPr="00A32D84">
              <w:rPr>
                <w:rFonts w:ascii="Times New Roman" w:hAnsi="Times New Roman" w:cs="Times New Roman"/>
                <w:sz w:val="24"/>
                <w:szCs w:val="24"/>
                <w:lang w:val="uk-UA"/>
              </w:rPr>
              <w:t>.</w:t>
            </w:r>
            <w:r w:rsidRPr="00C3614C">
              <w:rPr>
                <w:rFonts w:ascii="Times New Roman" w:hAnsi="Times New Roman" w:cs="Times New Roman"/>
                <w:sz w:val="24"/>
                <w:szCs w:val="24"/>
                <w:lang w:val="uk-UA"/>
              </w:rPr>
              <w:t xml:space="preserve"> грн</w:t>
            </w:r>
            <w:r w:rsidRPr="00A32D84">
              <w:rPr>
                <w:rFonts w:ascii="Times New Roman" w:hAnsi="Times New Roman" w:cs="Times New Roman"/>
                <w:sz w:val="24"/>
                <w:szCs w:val="24"/>
                <w:lang w:val="uk-UA"/>
              </w:rPr>
              <w:t>.</w:t>
            </w:r>
          </w:p>
          <w:p w14:paraId="5C243857" w14:textId="77777777" w:rsidR="004010C7" w:rsidRPr="00C3614C" w:rsidRDefault="004010C7" w:rsidP="004010C7">
            <w:pPr>
              <w:numPr>
                <w:ilvl w:val="0"/>
                <w:numId w:val="12"/>
              </w:numPr>
              <w:ind w:left="1069"/>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приріст коефіцієнта покриття на 0,</w:t>
            </w:r>
            <w:r w:rsidRPr="00A32D84">
              <w:rPr>
                <w:rFonts w:ascii="Times New Roman" w:hAnsi="Times New Roman" w:cs="Times New Roman"/>
                <w:sz w:val="24"/>
                <w:szCs w:val="24"/>
                <w:lang w:val="uk-UA"/>
              </w:rPr>
              <w:t>2</w:t>
            </w:r>
          </w:p>
          <w:p w14:paraId="749258AA" w14:textId="77777777" w:rsidR="004010C7" w:rsidRPr="00A32D84" w:rsidRDefault="004010C7" w:rsidP="004010C7">
            <w:pPr>
              <w:numPr>
                <w:ilvl w:val="0"/>
                <w:numId w:val="12"/>
              </w:numPr>
              <w:ind w:left="1069"/>
              <w:jc w:val="both"/>
              <w:rPr>
                <w:rFonts w:ascii="Times New Roman" w:hAnsi="Times New Roman" w:cs="Times New Roman"/>
                <w:sz w:val="24"/>
                <w:szCs w:val="24"/>
                <w:lang w:val="uk-UA"/>
              </w:rPr>
            </w:pPr>
            <w:r w:rsidRPr="00C3614C">
              <w:rPr>
                <w:rFonts w:ascii="Times New Roman" w:hAnsi="Times New Roman" w:cs="Times New Roman"/>
                <w:sz w:val="24"/>
                <w:szCs w:val="24"/>
                <w:lang w:val="uk-UA"/>
              </w:rPr>
              <w:t>підвищення ліквідності та платоспроможності</w:t>
            </w:r>
          </w:p>
        </w:tc>
        <w:tc>
          <w:tcPr>
            <w:tcW w:w="1427" w:type="pct"/>
            <w:vAlign w:val="center"/>
          </w:tcPr>
          <w:p w14:paraId="2D6063A6"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eastAsia="Times New Roman" w:hAnsi="Times New Roman" w:cs="Times New Roman"/>
                <w:sz w:val="24"/>
                <w:szCs w:val="24"/>
                <w:lang w:val="uk-UA"/>
              </w:rPr>
              <w:t>Збільшення коефіцієнту ліквідності підприємства на 12,4% (до 1,81) за рахунок збільшення обігового капіталу на 12,5% (до 33 млрд. грн.).</w:t>
            </w:r>
          </w:p>
        </w:tc>
      </w:tr>
      <w:tr w:rsidR="002E4508" w:rsidRPr="00A32D84" w14:paraId="277DC275" w14:textId="77777777" w:rsidTr="00CC70CF">
        <w:trPr>
          <w:cantSplit/>
          <w:trHeight w:val="5738"/>
          <w:jc w:val="center"/>
        </w:trPr>
        <w:tc>
          <w:tcPr>
            <w:tcW w:w="498" w:type="pct"/>
            <w:textDirection w:val="btLr"/>
            <w:vAlign w:val="center"/>
          </w:tcPr>
          <w:p w14:paraId="38B1A3E8" w14:textId="77777777" w:rsidR="004010C7" w:rsidRPr="00A32D84" w:rsidRDefault="004010C7" w:rsidP="004A1DE7">
            <w:pPr>
              <w:ind w:left="113" w:right="113"/>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2.Енергоефективність</w:t>
            </w:r>
          </w:p>
        </w:tc>
        <w:tc>
          <w:tcPr>
            <w:tcW w:w="3075" w:type="pct"/>
            <w:vAlign w:val="center"/>
          </w:tcPr>
          <w:p w14:paraId="11E9CEAE" w14:textId="77777777" w:rsidR="004010C7" w:rsidRPr="00AD2ACB" w:rsidRDefault="004010C7" w:rsidP="002E4508">
            <w:pPr>
              <w:numPr>
                <w:ilvl w:val="0"/>
                <w:numId w:val="13"/>
              </w:numPr>
              <w:ind w:left="530"/>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Визначаємо вихідні дані з наданого звіту про фінансові результати:</w:t>
            </w:r>
          </w:p>
          <w:p w14:paraId="51AAA30E" w14:textId="77777777" w:rsidR="004010C7" w:rsidRPr="00AD2ACB" w:rsidRDefault="004010C7" w:rsidP="004010C7">
            <w:pPr>
              <w:numPr>
                <w:ilvl w:val="0"/>
                <w:numId w:val="14"/>
              </w:numPr>
              <w:ind w:left="1069"/>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Матеріальні витрати за звітний рік склали 39 816 604 тис. грн</w:t>
            </w:r>
          </w:p>
          <w:p w14:paraId="1A3E329F" w14:textId="77777777" w:rsidR="004010C7" w:rsidRPr="00AD2ACB" w:rsidRDefault="004010C7" w:rsidP="004010C7">
            <w:pPr>
              <w:numPr>
                <w:ilvl w:val="0"/>
                <w:numId w:val="14"/>
              </w:numPr>
              <w:ind w:left="1069"/>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Серед матеріальних витрат частка витрат на енергоресурси складає приблизно 65-70% або 25 780 813 тис. грн</w:t>
            </w:r>
          </w:p>
          <w:p w14:paraId="5F28ABC4" w14:textId="77777777" w:rsidR="004010C7" w:rsidRPr="00AD2ACB" w:rsidRDefault="004010C7" w:rsidP="002E4508">
            <w:pPr>
              <w:numPr>
                <w:ilvl w:val="0"/>
                <w:numId w:val="15"/>
              </w:numPr>
              <w:ind w:left="530"/>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 xml:space="preserve">За оцінками експертів, впровадження заходів з енергоефективності дозволить зекономити 30-50% витрат на енергоносії. </w:t>
            </w:r>
            <w:r w:rsidR="00BE6C60">
              <w:rPr>
                <w:rFonts w:ascii="Times New Roman" w:hAnsi="Times New Roman" w:cs="Times New Roman"/>
                <w:sz w:val="24"/>
                <w:szCs w:val="24"/>
                <w:lang w:val="uk-UA"/>
              </w:rPr>
              <w:t xml:space="preserve">Усередньо враховуємо </w:t>
            </w:r>
            <w:r w:rsidRPr="00AD2ACB">
              <w:rPr>
                <w:rFonts w:ascii="Times New Roman" w:hAnsi="Times New Roman" w:cs="Times New Roman"/>
                <w:sz w:val="24"/>
                <w:szCs w:val="24"/>
                <w:lang w:val="uk-UA"/>
              </w:rPr>
              <w:t xml:space="preserve"> 40%.</w:t>
            </w:r>
          </w:p>
          <w:p w14:paraId="36526C46" w14:textId="77777777" w:rsidR="004010C7" w:rsidRPr="00AD2ACB" w:rsidRDefault="004010C7" w:rsidP="002E4508">
            <w:pPr>
              <w:numPr>
                <w:ilvl w:val="0"/>
                <w:numId w:val="15"/>
              </w:numPr>
              <w:ind w:left="530"/>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Розрахунок економії від впровадження заходів: 25 780 813 тис. грн * 0,4 = 10 312 325 тис. грн</w:t>
            </w:r>
          </w:p>
          <w:p w14:paraId="13108CC1" w14:textId="77777777" w:rsidR="004010C7" w:rsidRPr="00AD2ACB" w:rsidRDefault="004010C7" w:rsidP="00BE6C60">
            <w:pPr>
              <w:ind w:firstLine="709"/>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Отже, економія від впровадження заходів з енергоефективності може скласти приблизно 10,3 млрд грн на рік, що є суттєвим економічним ефектом.</w:t>
            </w:r>
          </w:p>
          <w:p w14:paraId="7CF47AFC" w14:textId="77777777" w:rsidR="004010C7" w:rsidRPr="00A32D84" w:rsidRDefault="004010C7" w:rsidP="002E4508">
            <w:pPr>
              <w:numPr>
                <w:ilvl w:val="0"/>
                <w:numId w:val="16"/>
              </w:numPr>
              <w:ind w:left="530"/>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Термін окупності інвестицій в 1 млрд грн складе близько 3-4 місяці.</w:t>
            </w:r>
          </w:p>
        </w:tc>
        <w:tc>
          <w:tcPr>
            <w:tcW w:w="1427" w:type="pct"/>
            <w:vAlign w:val="center"/>
          </w:tcPr>
          <w:p w14:paraId="4A1F2290"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Е</w:t>
            </w:r>
            <w:r w:rsidRPr="00AD2ACB">
              <w:rPr>
                <w:rFonts w:ascii="Times New Roman" w:hAnsi="Times New Roman" w:cs="Times New Roman"/>
                <w:sz w:val="24"/>
                <w:szCs w:val="24"/>
                <w:lang w:val="uk-UA"/>
              </w:rPr>
              <w:t>кономія від впровадження заходів з енергоефективності</w:t>
            </w:r>
            <w:r w:rsidRPr="00A32D84">
              <w:rPr>
                <w:rFonts w:ascii="Times New Roman" w:hAnsi="Times New Roman" w:cs="Times New Roman"/>
                <w:sz w:val="24"/>
                <w:szCs w:val="24"/>
                <w:lang w:val="uk-UA"/>
              </w:rPr>
              <w:t xml:space="preserve"> у розмірі 40% - 10,3 млрд. грн.</w:t>
            </w:r>
          </w:p>
        </w:tc>
      </w:tr>
      <w:tr w:rsidR="00CC70CF" w:rsidRPr="00A32D84" w14:paraId="0F8D0ECF" w14:textId="77777777" w:rsidTr="00CC70CF">
        <w:trPr>
          <w:cantSplit/>
          <w:trHeight w:val="283"/>
          <w:jc w:val="center"/>
        </w:trPr>
        <w:tc>
          <w:tcPr>
            <w:tcW w:w="5000" w:type="pct"/>
            <w:gridSpan w:val="3"/>
            <w:tcBorders>
              <w:top w:val="nil"/>
              <w:left w:val="nil"/>
              <w:right w:val="nil"/>
            </w:tcBorders>
          </w:tcPr>
          <w:p w14:paraId="1E99DBAC" w14:textId="77777777" w:rsidR="00CC70CF" w:rsidRPr="00CC70CF" w:rsidRDefault="00CC70CF" w:rsidP="00CC70CF">
            <w:pPr>
              <w:jc w:val="right"/>
              <w:rPr>
                <w:rFonts w:ascii="Times New Roman" w:hAnsi="Times New Roman" w:cs="Times New Roman"/>
                <w:sz w:val="28"/>
                <w:szCs w:val="28"/>
                <w:lang w:val="uk-UA"/>
              </w:rPr>
            </w:pPr>
            <w:r w:rsidRPr="00CC70CF">
              <w:rPr>
                <w:rFonts w:ascii="Times New Roman" w:hAnsi="Times New Roman" w:cs="Times New Roman"/>
                <w:sz w:val="28"/>
                <w:szCs w:val="28"/>
                <w:lang w:val="uk-UA"/>
              </w:rPr>
              <w:lastRenderedPageBreak/>
              <w:t>Продовження таблиці Д.1</w:t>
            </w:r>
          </w:p>
        </w:tc>
      </w:tr>
      <w:tr w:rsidR="00A32D84" w:rsidRPr="00A32D84" w14:paraId="3FD53851" w14:textId="77777777" w:rsidTr="00CC70CF">
        <w:trPr>
          <w:cantSplit/>
          <w:trHeight w:val="283"/>
          <w:jc w:val="center"/>
        </w:trPr>
        <w:tc>
          <w:tcPr>
            <w:tcW w:w="498" w:type="pct"/>
            <w:vAlign w:val="center"/>
          </w:tcPr>
          <w:p w14:paraId="317DCCF4" w14:textId="77777777" w:rsidR="00A32D84" w:rsidRPr="00A32D84" w:rsidRDefault="00A32D84" w:rsidP="00A32D84">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3075" w:type="pct"/>
            <w:vAlign w:val="center"/>
          </w:tcPr>
          <w:p w14:paraId="422C777F" w14:textId="77777777" w:rsidR="00A32D84" w:rsidRPr="00AD2ACB" w:rsidRDefault="00A32D84" w:rsidP="00A32D8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27" w:type="pct"/>
            <w:vAlign w:val="center"/>
          </w:tcPr>
          <w:p w14:paraId="3EF10839" w14:textId="77777777" w:rsidR="00A32D84" w:rsidRPr="00A32D84" w:rsidRDefault="00A32D84" w:rsidP="00A32D84">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r>
      <w:tr w:rsidR="002E4508" w:rsidRPr="00A32D84" w14:paraId="4F652FCF" w14:textId="77777777" w:rsidTr="00CC70CF">
        <w:trPr>
          <w:jc w:val="center"/>
        </w:trPr>
        <w:tc>
          <w:tcPr>
            <w:tcW w:w="498" w:type="pct"/>
            <w:vMerge w:val="restart"/>
            <w:textDirection w:val="btLr"/>
            <w:vAlign w:val="center"/>
          </w:tcPr>
          <w:p w14:paraId="71DE4B72" w14:textId="77777777" w:rsidR="004010C7" w:rsidRPr="00A32D84" w:rsidRDefault="004010C7" w:rsidP="004A1DE7">
            <w:pPr>
              <w:ind w:left="113" w:right="113"/>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3.Логістика</w:t>
            </w:r>
          </w:p>
        </w:tc>
        <w:tc>
          <w:tcPr>
            <w:tcW w:w="3075" w:type="pct"/>
            <w:vAlign w:val="center"/>
          </w:tcPr>
          <w:p w14:paraId="78015450" w14:textId="77777777" w:rsidR="004010C7" w:rsidRPr="00AD2ACB" w:rsidRDefault="004010C7" w:rsidP="002E4508">
            <w:pPr>
              <w:numPr>
                <w:ilvl w:val="0"/>
                <w:numId w:val="17"/>
              </w:numPr>
              <w:ind w:left="530"/>
              <w:jc w:val="both"/>
              <w:rPr>
                <w:rFonts w:ascii="Times New Roman" w:hAnsi="Times New Roman" w:cs="Times New Roman"/>
                <w:sz w:val="24"/>
                <w:szCs w:val="24"/>
                <w:lang w:val="uk-UA"/>
              </w:rPr>
            </w:pPr>
            <w:r w:rsidRPr="00AD2ACB">
              <w:rPr>
                <w:rFonts w:ascii="Times New Roman" w:hAnsi="Times New Roman" w:cs="Times New Roman"/>
                <w:sz w:val="24"/>
                <w:szCs w:val="24"/>
                <w:lang w:val="uk-UA"/>
              </w:rPr>
              <w:t>Визначаємо вихідні дані з наданого звіту про фінансові результати:</w:t>
            </w:r>
          </w:p>
          <w:p w14:paraId="660C83A9" w14:textId="77777777" w:rsidR="004010C7" w:rsidRPr="00A32D84" w:rsidRDefault="004010C7" w:rsidP="00BE6C60">
            <w:pPr>
              <w:pStyle w:val="a3"/>
              <w:ind w:left="709"/>
              <w:jc w:val="both"/>
              <w:rPr>
                <w:rFonts w:ascii="Times New Roman" w:hAnsi="Times New Roman" w:cs="Times New Roman"/>
                <w:sz w:val="24"/>
                <w:szCs w:val="24"/>
                <w:lang w:val="uk-UA"/>
              </w:rPr>
            </w:pPr>
            <w:r w:rsidRPr="00A32D84">
              <w:rPr>
                <w:rFonts w:ascii="Times New Roman" w:hAnsi="Times New Roman" w:cs="Times New Roman"/>
                <w:sz w:val="24"/>
                <w:szCs w:val="24"/>
                <w:lang w:val="uk-UA"/>
              </w:rPr>
              <w:t xml:space="preserve">• За 2022 рік було виготовлено – 1 100 тис. т. метало продукції з них на експорт було відправлено 80% - 880 тис. т. </w:t>
            </w:r>
          </w:p>
          <w:p w14:paraId="0923DB51" w14:textId="77777777" w:rsidR="004010C7" w:rsidRPr="00A32D84" w:rsidRDefault="004010C7" w:rsidP="00BE6C60">
            <w:pPr>
              <w:pStyle w:val="a3"/>
              <w:ind w:left="709"/>
              <w:jc w:val="both"/>
              <w:rPr>
                <w:rFonts w:ascii="Times New Roman" w:hAnsi="Times New Roman" w:cs="Times New Roman"/>
                <w:sz w:val="24"/>
                <w:szCs w:val="24"/>
                <w:lang w:val="uk-UA"/>
              </w:rPr>
            </w:pPr>
            <w:r w:rsidRPr="00A32D84">
              <w:rPr>
                <w:rFonts w:ascii="Times New Roman" w:hAnsi="Times New Roman" w:cs="Times New Roman"/>
                <w:sz w:val="24"/>
                <w:szCs w:val="24"/>
                <w:lang w:val="uk-UA"/>
              </w:rPr>
              <w:t>• За підрахунками минулих років на Арику експортується приблизно 20% від загального експорту - 176 тис. т. металопродукції це 17,6% експорту порівнюючи з 2021 р.</w:t>
            </w:r>
          </w:p>
          <w:p w14:paraId="3FA15BA3" w14:textId="77777777" w:rsidR="004010C7" w:rsidRPr="00A32D84" w:rsidRDefault="004010C7" w:rsidP="002E4508">
            <w:pPr>
              <w:pStyle w:val="a3"/>
              <w:numPr>
                <w:ilvl w:val="1"/>
                <w:numId w:val="20"/>
              </w:numPr>
              <w:ind w:left="530"/>
              <w:jc w:val="both"/>
              <w:rPr>
                <w:rFonts w:ascii="Times New Roman" w:hAnsi="Times New Roman" w:cs="Times New Roman"/>
                <w:sz w:val="24"/>
                <w:szCs w:val="24"/>
                <w:lang w:val="uk-UA"/>
              </w:rPr>
            </w:pPr>
            <w:r w:rsidRPr="00A32D84">
              <w:rPr>
                <w:rFonts w:ascii="Times New Roman" w:hAnsi="Times New Roman" w:cs="Times New Roman"/>
                <w:sz w:val="24"/>
                <w:szCs w:val="24"/>
                <w:lang w:val="uk-UA"/>
              </w:rPr>
              <w:t xml:space="preserve">Розрахуємо виручку від реалізації продукції за 2022 р. що експортується у Африку за середньою ціною: 176 000 т. * 700 дол./т = 4 558 млн. грн. </w:t>
            </w:r>
          </w:p>
          <w:p w14:paraId="2C45524F" w14:textId="77777777" w:rsidR="004010C7" w:rsidRPr="00A32D84" w:rsidRDefault="004010C7" w:rsidP="002E4508">
            <w:pPr>
              <w:pStyle w:val="a3"/>
              <w:numPr>
                <w:ilvl w:val="1"/>
                <w:numId w:val="20"/>
              </w:numPr>
              <w:ind w:left="530"/>
              <w:jc w:val="both"/>
              <w:rPr>
                <w:rFonts w:ascii="Times New Roman" w:hAnsi="Times New Roman" w:cs="Times New Roman"/>
                <w:sz w:val="24"/>
                <w:szCs w:val="24"/>
                <w:lang w:val="uk-UA"/>
              </w:rPr>
            </w:pPr>
            <w:r w:rsidRPr="00A32D84">
              <w:rPr>
                <w:rFonts w:ascii="Times New Roman" w:hAnsi="Times New Roman" w:cs="Times New Roman"/>
                <w:sz w:val="24"/>
                <w:szCs w:val="24"/>
                <w:lang w:val="uk-UA"/>
              </w:rPr>
              <w:t>Розрахуємо планову виручку від реалізації продукції за умовою повного відновлення об’єму експорту  продукції у Африку: 1 млн.т. * 700 дол./т = 25 900 млн. грн.</w:t>
            </w:r>
          </w:p>
          <w:p w14:paraId="7A736F39" w14:textId="77777777" w:rsidR="004010C7" w:rsidRPr="00A32D84" w:rsidRDefault="004010C7" w:rsidP="002E4508">
            <w:pPr>
              <w:pStyle w:val="a3"/>
              <w:numPr>
                <w:ilvl w:val="1"/>
                <w:numId w:val="20"/>
              </w:numPr>
              <w:ind w:left="530"/>
              <w:jc w:val="both"/>
              <w:rPr>
                <w:rFonts w:ascii="Times New Roman" w:hAnsi="Times New Roman" w:cs="Times New Roman"/>
                <w:sz w:val="24"/>
                <w:szCs w:val="24"/>
                <w:lang w:val="uk-UA"/>
              </w:rPr>
            </w:pPr>
            <w:r w:rsidRPr="00A32D84">
              <w:rPr>
                <w:rFonts w:ascii="Times New Roman" w:hAnsi="Times New Roman" w:cs="Times New Roman"/>
                <w:sz w:val="24"/>
                <w:szCs w:val="24"/>
                <w:lang w:val="uk-UA"/>
              </w:rPr>
              <w:t>Розрахуємо економічний ефект від реалізації: 25 900 – 650 * 0,15 = 3 787,5 млн. грн.</w:t>
            </w:r>
          </w:p>
        </w:tc>
        <w:tc>
          <w:tcPr>
            <w:tcW w:w="1427" w:type="pct"/>
            <w:vAlign w:val="center"/>
          </w:tcPr>
          <w:p w14:paraId="397EC555"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hAnsi="Times New Roman" w:cs="Times New Roman"/>
                <w:sz w:val="24"/>
                <w:szCs w:val="24"/>
                <w:shd w:val="clear" w:color="auto" w:fill="FFFFFF"/>
                <w:lang w:val="uk-UA"/>
              </w:rPr>
              <w:t xml:space="preserve">Збільшення обсягів експорту металопродукції у Африку на 82,4% (до 1 млн.т.) та зростання чистого доходу компанії на </w:t>
            </w:r>
            <w:bookmarkStart w:id="36" w:name="_Hlk153344159"/>
            <w:r w:rsidRPr="00A32D84">
              <w:rPr>
                <w:rFonts w:ascii="Times New Roman" w:hAnsi="Times New Roman" w:cs="Times New Roman"/>
                <w:sz w:val="24"/>
                <w:szCs w:val="24"/>
                <w:shd w:val="clear" w:color="auto" w:fill="FFFFFF"/>
                <w:lang w:val="uk-UA"/>
              </w:rPr>
              <w:t>3 787,5 млн. грн.</w:t>
            </w:r>
            <w:bookmarkEnd w:id="36"/>
          </w:p>
        </w:tc>
      </w:tr>
      <w:tr w:rsidR="002E4508" w:rsidRPr="00A32D84" w14:paraId="5CBB3437" w14:textId="77777777" w:rsidTr="00CC70CF">
        <w:trPr>
          <w:jc w:val="center"/>
        </w:trPr>
        <w:tc>
          <w:tcPr>
            <w:tcW w:w="498" w:type="pct"/>
            <w:vMerge/>
            <w:textDirection w:val="btLr"/>
            <w:vAlign w:val="center"/>
          </w:tcPr>
          <w:p w14:paraId="77E8018C" w14:textId="77777777" w:rsidR="004010C7" w:rsidRPr="00A32D84" w:rsidRDefault="004010C7" w:rsidP="004A1DE7">
            <w:pPr>
              <w:ind w:left="113" w:right="113"/>
              <w:jc w:val="center"/>
              <w:rPr>
                <w:rFonts w:ascii="Times New Roman" w:hAnsi="Times New Roman" w:cs="Times New Roman"/>
                <w:sz w:val="24"/>
                <w:szCs w:val="24"/>
                <w:lang w:val="uk-UA"/>
              </w:rPr>
            </w:pPr>
          </w:p>
        </w:tc>
        <w:tc>
          <w:tcPr>
            <w:tcW w:w="3075" w:type="pct"/>
            <w:vAlign w:val="center"/>
          </w:tcPr>
          <w:p w14:paraId="1A904089" w14:textId="77777777" w:rsidR="004010C7" w:rsidRPr="005E27FC" w:rsidRDefault="004010C7" w:rsidP="002E4508">
            <w:pPr>
              <w:numPr>
                <w:ilvl w:val="0"/>
                <w:numId w:val="19"/>
              </w:numPr>
              <w:ind w:left="530"/>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Визначаємо вихідні дані з наданого звіту про фінансові результати:</w:t>
            </w:r>
          </w:p>
          <w:p w14:paraId="2B08982B" w14:textId="77777777" w:rsidR="004010C7" w:rsidRPr="005E27FC" w:rsidRDefault="004010C7" w:rsidP="00BE6C60">
            <w:pPr>
              <w:ind w:left="720"/>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 xml:space="preserve">• За 2022 рік було виготовлено – 1 100 тис. т. метало продукції з них на </w:t>
            </w:r>
            <w:r w:rsidRPr="00A32D84">
              <w:rPr>
                <w:rFonts w:ascii="Times New Roman" w:hAnsi="Times New Roman" w:cs="Times New Roman"/>
                <w:sz w:val="24"/>
                <w:szCs w:val="24"/>
                <w:lang w:val="uk-UA"/>
              </w:rPr>
              <w:t>внутрішній ринок</w:t>
            </w:r>
            <w:r w:rsidRPr="005E27FC">
              <w:rPr>
                <w:rFonts w:ascii="Times New Roman" w:hAnsi="Times New Roman" w:cs="Times New Roman"/>
                <w:sz w:val="24"/>
                <w:szCs w:val="24"/>
                <w:lang w:val="uk-UA"/>
              </w:rPr>
              <w:t xml:space="preserve"> було відправлено </w:t>
            </w:r>
            <w:r w:rsidRPr="00A32D84">
              <w:rPr>
                <w:rFonts w:ascii="Times New Roman" w:hAnsi="Times New Roman" w:cs="Times New Roman"/>
                <w:sz w:val="24"/>
                <w:szCs w:val="24"/>
                <w:lang w:val="uk-UA"/>
              </w:rPr>
              <w:t>20</w:t>
            </w:r>
            <w:r w:rsidRPr="005E27FC">
              <w:rPr>
                <w:rFonts w:ascii="Times New Roman" w:hAnsi="Times New Roman" w:cs="Times New Roman"/>
                <w:sz w:val="24"/>
                <w:szCs w:val="24"/>
                <w:lang w:val="uk-UA"/>
              </w:rPr>
              <w:t xml:space="preserve">% - </w:t>
            </w:r>
            <w:r w:rsidRPr="00A32D84">
              <w:rPr>
                <w:rFonts w:ascii="Times New Roman" w:hAnsi="Times New Roman" w:cs="Times New Roman"/>
                <w:sz w:val="24"/>
                <w:szCs w:val="24"/>
                <w:lang w:val="uk-UA"/>
              </w:rPr>
              <w:t>22</w:t>
            </w:r>
            <w:r w:rsidRPr="005E27FC">
              <w:rPr>
                <w:rFonts w:ascii="Times New Roman" w:hAnsi="Times New Roman" w:cs="Times New Roman"/>
                <w:sz w:val="24"/>
                <w:szCs w:val="24"/>
                <w:lang w:val="uk-UA"/>
              </w:rPr>
              <w:t xml:space="preserve">0 тис. т. </w:t>
            </w:r>
          </w:p>
          <w:p w14:paraId="03C27FA5" w14:textId="77777777" w:rsidR="004010C7" w:rsidRPr="005E27FC" w:rsidRDefault="004010C7" w:rsidP="002E4508">
            <w:pPr>
              <w:numPr>
                <w:ilvl w:val="0"/>
                <w:numId w:val="19"/>
              </w:numPr>
              <w:ind w:left="530"/>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Розрахуємо виручку від реалізації продукції за 2022 р</w:t>
            </w:r>
            <w:r w:rsidRPr="00A32D84">
              <w:rPr>
                <w:rFonts w:ascii="Times New Roman" w:hAnsi="Times New Roman" w:cs="Times New Roman"/>
                <w:sz w:val="24"/>
                <w:szCs w:val="24"/>
                <w:lang w:val="uk-UA"/>
              </w:rPr>
              <w:t>. на внутрішньому ринку за середньою ціною</w:t>
            </w:r>
            <w:r w:rsidRPr="005E27F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220</w:t>
            </w:r>
            <w:r w:rsidRPr="005E27FC">
              <w:rPr>
                <w:rFonts w:ascii="Times New Roman" w:hAnsi="Times New Roman" w:cs="Times New Roman"/>
                <w:sz w:val="24"/>
                <w:szCs w:val="24"/>
                <w:lang w:val="uk-UA"/>
              </w:rPr>
              <w:t xml:space="preserve"> 000 т. * </w:t>
            </w:r>
            <w:r w:rsidRPr="00A32D84">
              <w:rPr>
                <w:rFonts w:ascii="Times New Roman" w:hAnsi="Times New Roman" w:cs="Times New Roman"/>
                <w:sz w:val="24"/>
                <w:szCs w:val="24"/>
                <w:lang w:val="uk-UA"/>
              </w:rPr>
              <w:t>5</w:t>
            </w:r>
            <w:r w:rsidRPr="005E27FC">
              <w:rPr>
                <w:rFonts w:ascii="Times New Roman" w:hAnsi="Times New Roman" w:cs="Times New Roman"/>
                <w:sz w:val="24"/>
                <w:szCs w:val="24"/>
                <w:lang w:val="uk-UA"/>
              </w:rPr>
              <w:t xml:space="preserve">00 дол./т = </w:t>
            </w:r>
            <w:r w:rsidRPr="00A32D84">
              <w:rPr>
                <w:rFonts w:ascii="Times New Roman" w:hAnsi="Times New Roman" w:cs="Times New Roman"/>
                <w:sz w:val="24"/>
                <w:szCs w:val="24"/>
                <w:lang w:val="uk-UA"/>
              </w:rPr>
              <w:t>4 070</w:t>
            </w:r>
            <w:r w:rsidRPr="005E27F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млн</w:t>
            </w:r>
            <w:r w:rsidRPr="005E27FC">
              <w:rPr>
                <w:rFonts w:ascii="Times New Roman" w:hAnsi="Times New Roman" w:cs="Times New Roman"/>
                <w:sz w:val="24"/>
                <w:szCs w:val="24"/>
                <w:lang w:val="uk-UA"/>
              </w:rPr>
              <w:t xml:space="preserve">. грн. </w:t>
            </w:r>
          </w:p>
          <w:p w14:paraId="57A77E22" w14:textId="77777777" w:rsidR="004010C7" w:rsidRPr="00A32D84" w:rsidRDefault="004010C7" w:rsidP="002E4508">
            <w:pPr>
              <w:numPr>
                <w:ilvl w:val="0"/>
                <w:numId w:val="19"/>
              </w:numPr>
              <w:ind w:left="530"/>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Розрахуємо планову виручку від реалізації продукції</w:t>
            </w:r>
            <w:r w:rsidRPr="00A32D84">
              <w:rPr>
                <w:rFonts w:ascii="Times New Roman" w:hAnsi="Times New Roman" w:cs="Times New Roman"/>
                <w:sz w:val="24"/>
                <w:szCs w:val="24"/>
                <w:lang w:val="uk-UA"/>
              </w:rPr>
              <w:t xml:space="preserve"> на внутрішньому ринку</w:t>
            </w:r>
            <w:r w:rsidRPr="005E27FC">
              <w:rPr>
                <w:rFonts w:ascii="Times New Roman" w:hAnsi="Times New Roman" w:cs="Times New Roman"/>
                <w:sz w:val="24"/>
                <w:szCs w:val="24"/>
                <w:lang w:val="uk-UA"/>
              </w:rPr>
              <w:t xml:space="preserve"> за умовою </w:t>
            </w:r>
            <w:r w:rsidRPr="00A32D84">
              <w:rPr>
                <w:rFonts w:ascii="Times New Roman" w:hAnsi="Times New Roman" w:cs="Times New Roman"/>
                <w:sz w:val="24"/>
                <w:szCs w:val="24"/>
                <w:lang w:val="uk-UA"/>
              </w:rPr>
              <w:t>збільшення об’єму збуту на 30%</w:t>
            </w:r>
            <w:r w:rsidRPr="005E27F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 xml:space="preserve">286 000 </w:t>
            </w:r>
            <w:r w:rsidRPr="005E27FC">
              <w:rPr>
                <w:rFonts w:ascii="Times New Roman" w:hAnsi="Times New Roman" w:cs="Times New Roman"/>
                <w:sz w:val="24"/>
                <w:szCs w:val="24"/>
                <w:lang w:val="uk-UA"/>
              </w:rPr>
              <w:t xml:space="preserve">т. * </w:t>
            </w:r>
            <w:r w:rsidRPr="00A32D84">
              <w:rPr>
                <w:rFonts w:ascii="Times New Roman" w:hAnsi="Times New Roman" w:cs="Times New Roman"/>
                <w:sz w:val="24"/>
                <w:szCs w:val="24"/>
                <w:lang w:val="uk-UA"/>
              </w:rPr>
              <w:t>5</w:t>
            </w:r>
            <w:r w:rsidRPr="005E27FC">
              <w:rPr>
                <w:rFonts w:ascii="Times New Roman" w:hAnsi="Times New Roman" w:cs="Times New Roman"/>
                <w:sz w:val="24"/>
                <w:szCs w:val="24"/>
                <w:lang w:val="uk-UA"/>
              </w:rPr>
              <w:t>00 дол./т = 5 </w:t>
            </w:r>
            <w:r w:rsidRPr="00A32D84">
              <w:rPr>
                <w:rFonts w:ascii="Times New Roman" w:hAnsi="Times New Roman" w:cs="Times New Roman"/>
                <w:sz w:val="24"/>
                <w:szCs w:val="24"/>
                <w:lang w:val="uk-UA"/>
              </w:rPr>
              <w:t>2</w:t>
            </w:r>
            <w:r w:rsidRPr="005E27FC">
              <w:rPr>
                <w:rFonts w:ascii="Times New Roman" w:hAnsi="Times New Roman" w:cs="Times New Roman"/>
                <w:sz w:val="24"/>
                <w:szCs w:val="24"/>
                <w:lang w:val="uk-UA"/>
              </w:rPr>
              <w:t>9</w:t>
            </w:r>
            <w:r w:rsidRPr="00A32D84">
              <w:rPr>
                <w:rFonts w:ascii="Times New Roman" w:hAnsi="Times New Roman" w:cs="Times New Roman"/>
                <w:sz w:val="24"/>
                <w:szCs w:val="24"/>
                <w:lang w:val="uk-UA"/>
              </w:rPr>
              <w:t>1</w:t>
            </w:r>
            <w:r w:rsidRPr="005E27FC">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млн</w:t>
            </w:r>
            <w:r w:rsidRPr="005E27FC">
              <w:rPr>
                <w:rFonts w:ascii="Times New Roman" w:hAnsi="Times New Roman" w:cs="Times New Roman"/>
                <w:sz w:val="24"/>
                <w:szCs w:val="24"/>
                <w:lang w:val="uk-UA"/>
              </w:rPr>
              <w:t>. грн.</w:t>
            </w:r>
          </w:p>
          <w:p w14:paraId="4F9ECA19" w14:textId="77777777" w:rsidR="004010C7" w:rsidRPr="00A32D84" w:rsidRDefault="004010C7" w:rsidP="002E4508">
            <w:pPr>
              <w:numPr>
                <w:ilvl w:val="0"/>
                <w:numId w:val="19"/>
              </w:numPr>
              <w:ind w:left="530"/>
              <w:jc w:val="both"/>
              <w:rPr>
                <w:rFonts w:ascii="Times New Roman" w:hAnsi="Times New Roman" w:cs="Times New Roman"/>
                <w:sz w:val="24"/>
                <w:szCs w:val="24"/>
                <w:lang w:val="uk-UA"/>
              </w:rPr>
            </w:pPr>
            <w:r w:rsidRPr="00A32D84">
              <w:rPr>
                <w:rFonts w:ascii="Times New Roman" w:hAnsi="Times New Roman" w:cs="Times New Roman"/>
                <w:sz w:val="24"/>
                <w:szCs w:val="24"/>
                <w:lang w:val="uk-UA"/>
              </w:rPr>
              <w:t>Розрахуємо економічний ефект від реалізації: 5 291 – 3 * 0,15 = 793,2 млн. грн.</w:t>
            </w:r>
          </w:p>
        </w:tc>
        <w:tc>
          <w:tcPr>
            <w:tcW w:w="1427" w:type="pct"/>
            <w:vAlign w:val="center"/>
          </w:tcPr>
          <w:p w14:paraId="19BC0291"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eastAsia="Times New Roman" w:hAnsi="Times New Roman" w:cs="Times New Roman"/>
                <w:sz w:val="24"/>
                <w:szCs w:val="24"/>
                <w:lang w:val="uk-UA"/>
              </w:rPr>
              <w:t>Підвищення обсягів реалізації на внутрішньому ринку на 30% з 220 тис. т. до 286 тис. т.. та з</w:t>
            </w:r>
            <w:r w:rsidRPr="00A32D84">
              <w:rPr>
                <w:rFonts w:ascii="Times New Roman" w:hAnsi="Times New Roman" w:cs="Times New Roman"/>
                <w:sz w:val="24"/>
                <w:szCs w:val="24"/>
                <w:shd w:val="clear" w:color="auto" w:fill="FFFFFF"/>
                <w:lang w:val="uk-UA"/>
              </w:rPr>
              <w:t>ростання чистого доходу компанії з внутрішнього ринку на 793,2 млн. грн.</w:t>
            </w:r>
          </w:p>
        </w:tc>
      </w:tr>
      <w:tr w:rsidR="002E4508" w:rsidRPr="00A32D84" w14:paraId="6BF6C1D2" w14:textId="77777777" w:rsidTr="00CC70CF">
        <w:trPr>
          <w:cantSplit/>
          <w:trHeight w:val="1134"/>
          <w:jc w:val="center"/>
        </w:trPr>
        <w:tc>
          <w:tcPr>
            <w:tcW w:w="498" w:type="pct"/>
            <w:textDirection w:val="btLr"/>
            <w:vAlign w:val="center"/>
          </w:tcPr>
          <w:p w14:paraId="14CEFD05" w14:textId="77777777" w:rsidR="004010C7" w:rsidRPr="00A32D84" w:rsidRDefault="004010C7" w:rsidP="004A1DE7">
            <w:pPr>
              <w:ind w:left="113" w:right="113"/>
              <w:jc w:val="center"/>
              <w:rPr>
                <w:rFonts w:ascii="Times New Roman" w:hAnsi="Times New Roman" w:cs="Times New Roman"/>
                <w:sz w:val="24"/>
                <w:szCs w:val="24"/>
                <w:lang w:val="uk-UA"/>
              </w:rPr>
            </w:pPr>
            <w:r w:rsidRPr="00A32D84">
              <w:rPr>
                <w:rFonts w:ascii="Times New Roman" w:hAnsi="Times New Roman" w:cs="Times New Roman"/>
                <w:sz w:val="24"/>
                <w:szCs w:val="24"/>
                <w:lang w:val="uk-UA"/>
              </w:rPr>
              <w:t>4.Факторинг</w:t>
            </w:r>
          </w:p>
        </w:tc>
        <w:tc>
          <w:tcPr>
            <w:tcW w:w="3075" w:type="pct"/>
            <w:vAlign w:val="center"/>
          </w:tcPr>
          <w:p w14:paraId="63CD76E4" w14:textId="77777777" w:rsidR="004010C7" w:rsidRPr="00C2602D" w:rsidRDefault="004010C7" w:rsidP="002E4508">
            <w:pPr>
              <w:numPr>
                <w:ilvl w:val="0"/>
                <w:numId w:val="18"/>
              </w:numPr>
              <w:ind w:left="530"/>
              <w:jc w:val="both"/>
              <w:rPr>
                <w:rFonts w:ascii="Times New Roman" w:hAnsi="Times New Roman" w:cs="Times New Roman"/>
                <w:sz w:val="24"/>
                <w:szCs w:val="24"/>
                <w:lang w:val="uk-UA"/>
              </w:rPr>
            </w:pPr>
            <w:r w:rsidRPr="00C2602D">
              <w:rPr>
                <w:rFonts w:ascii="Times New Roman" w:hAnsi="Times New Roman" w:cs="Times New Roman"/>
                <w:sz w:val="24"/>
                <w:szCs w:val="24"/>
                <w:lang w:val="uk-UA"/>
              </w:rPr>
              <w:t>За даними балансу, дебіторська заборгованість компанії складає:</w:t>
            </w:r>
          </w:p>
          <w:p w14:paraId="5C56ED01" w14:textId="77777777" w:rsidR="004010C7" w:rsidRPr="00C2602D" w:rsidRDefault="004010C7" w:rsidP="00BE6C60">
            <w:pPr>
              <w:ind w:left="709"/>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 xml:space="preserve">• </w:t>
            </w:r>
            <w:r w:rsidRPr="00C2602D">
              <w:rPr>
                <w:rFonts w:ascii="Times New Roman" w:hAnsi="Times New Roman" w:cs="Times New Roman"/>
                <w:sz w:val="24"/>
                <w:szCs w:val="24"/>
                <w:lang w:val="uk-UA"/>
              </w:rPr>
              <w:t>за товари, роботи, послуги - 7 486 969 тис. грн</w:t>
            </w:r>
          </w:p>
          <w:p w14:paraId="0DCF39F3" w14:textId="77777777" w:rsidR="004010C7" w:rsidRPr="00C2602D" w:rsidRDefault="004010C7" w:rsidP="00BE6C60">
            <w:pPr>
              <w:ind w:left="709"/>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 xml:space="preserve">• </w:t>
            </w:r>
            <w:r w:rsidRPr="00C2602D">
              <w:rPr>
                <w:rFonts w:ascii="Times New Roman" w:hAnsi="Times New Roman" w:cs="Times New Roman"/>
                <w:sz w:val="24"/>
                <w:szCs w:val="24"/>
                <w:lang w:val="uk-UA"/>
              </w:rPr>
              <w:t>за виданими авансами - 157 981 тис. грн</w:t>
            </w:r>
          </w:p>
          <w:p w14:paraId="61EED90C" w14:textId="77777777" w:rsidR="004010C7" w:rsidRPr="00C2602D" w:rsidRDefault="004010C7" w:rsidP="00BE6C60">
            <w:pPr>
              <w:ind w:left="709"/>
              <w:jc w:val="both"/>
              <w:rPr>
                <w:rFonts w:ascii="Times New Roman" w:hAnsi="Times New Roman" w:cs="Times New Roman"/>
                <w:sz w:val="24"/>
                <w:szCs w:val="24"/>
                <w:lang w:val="uk-UA"/>
              </w:rPr>
            </w:pPr>
            <w:r w:rsidRPr="005E27FC">
              <w:rPr>
                <w:rFonts w:ascii="Times New Roman" w:hAnsi="Times New Roman" w:cs="Times New Roman"/>
                <w:sz w:val="24"/>
                <w:szCs w:val="24"/>
                <w:lang w:val="uk-UA"/>
              </w:rPr>
              <w:t xml:space="preserve">• </w:t>
            </w:r>
            <w:r w:rsidRPr="00C2602D">
              <w:rPr>
                <w:rFonts w:ascii="Times New Roman" w:hAnsi="Times New Roman" w:cs="Times New Roman"/>
                <w:sz w:val="24"/>
                <w:szCs w:val="24"/>
                <w:lang w:val="uk-UA"/>
              </w:rPr>
              <w:t xml:space="preserve">інша дебіторська заборгованість - 241 050 тис. грн Разом - 7 886 </w:t>
            </w:r>
            <w:r w:rsidRPr="00A32D84">
              <w:rPr>
                <w:rFonts w:ascii="Times New Roman" w:hAnsi="Times New Roman" w:cs="Times New Roman"/>
                <w:sz w:val="24"/>
                <w:szCs w:val="24"/>
                <w:lang w:val="uk-UA"/>
              </w:rPr>
              <w:t>млн</w:t>
            </w:r>
            <w:r w:rsidRPr="00C2602D">
              <w:rPr>
                <w:rFonts w:ascii="Times New Roman" w:hAnsi="Times New Roman" w:cs="Times New Roman"/>
                <w:sz w:val="24"/>
                <w:szCs w:val="24"/>
                <w:lang w:val="uk-UA"/>
              </w:rPr>
              <w:t>. грн</w:t>
            </w:r>
            <w:r w:rsidRPr="00A32D84">
              <w:rPr>
                <w:rFonts w:ascii="Times New Roman" w:hAnsi="Times New Roman" w:cs="Times New Roman"/>
                <w:sz w:val="24"/>
                <w:szCs w:val="24"/>
                <w:lang w:val="uk-UA"/>
              </w:rPr>
              <w:t>.</w:t>
            </w:r>
          </w:p>
          <w:p w14:paraId="23097CED" w14:textId="77777777" w:rsidR="004010C7" w:rsidRPr="00DA77E7" w:rsidRDefault="004010C7" w:rsidP="002E4508">
            <w:pPr>
              <w:numPr>
                <w:ilvl w:val="0"/>
                <w:numId w:val="21"/>
              </w:numPr>
              <w:ind w:left="530"/>
              <w:jc w:val="both"/>
              <w:rPr>
                <w:rFonts w:ascii="Times New Roman" w:hAnsi="Times New Roman" w:cs="Times New Roman"/>
                <w:sz w:val="24"/>
                <w:szCs w:val="24"/>
                <w:lang w:val="uk-UA"/>
              </w:rPr>
            </w:pPr>
            <w:r w:rsidRPr="00DA77E7">
              <w:rPr>
                <w:rFonts w:ascii="Times New Roman" w:hAnsi="Times New Roman" w:cs="Times New Roman"/>
                <w:sz w:val="24"/>
                <w:szCs w:val="24"/>
                <w:lang w:val="uk-UA"/>
              </w:rPr>
              <w:t xml:space="preserve">За умовами факторингу можливо отримати до 95% боргу, тобто </w:t>
            </w:r>
            <w:r w:rsidRPr="00A32D84">
              <w:rPr>
                <w:rFonts w:ascii="Times New Roman" w:hAnsi="Times New Roman" w:cs="Times New Roman"/>
                <w:sz w:val="24"/>
                <w:szCs w:val="24"/>
                <w:lang w:val="uk-UA"/>
              </w:rPr>
              <w:t>7 493 млн</w:t>
            </w:r>
            <w:r w:rsidRPr="00DA77E7">
              <w:rPr>
                <w:rFonts w:ascii="Times New Roman" w:hAnsi="Times New Roman" w:cs="Times New Roman"/>
                <w:sz w:val="24"/>
                <w:szCs w:val="24"/>
                <w:lang w:val="uk-UA"/>
              </w:rPr>
              <w:t>. грн</w:t>
            </w:r>
            <w:r w:rsidRPr="00A32D84">
              <w:rPr>
                <w:rFonts w:ascii="Times New Roman" w:hAnsi="Times New Roman" w:cs="Times New Roman"/>
                <w:sz w:val="24"/>
                <w:szCs w:val="24"/>
                <w:lang w:val="uk-UA"/>
              </w:rPr>
              <w:t>.</w:t>
            </w:r>
            <w:r w:rsidRPr="00DA77E7">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що</w:t>
            </w:r>
            <w:r w:rsidRPr="00DA77E7">
              <w:rPr>
                <w:rFonts w:ascii="Times New Roman" w:hAnsi="Times New Roman" w:cs="Times New Roman"/>
                <w:sz w:val="24"/>
                <w:szCs w:val="24"/>
                <w:lang w:val="uk-UA"/>
              </w:rPr>
              <w:t xml:space="preserve"> дозволить поповнити оборотні активи та платіжні засоби.</w:t>
            </w:r>
          </w:p>
          <w:p w14:paraId="3E0A423A" w14:textId="77777777" w:rsidR="004010C7" w:rsidRPr="00DA77E7" w:rsidRDefault="004010C7" w:rsidP="002E4508">
            <w:pPr>
              <w:numPr>
                <w:ilvl w:val="0"/>
                <w:numId w:val="21"/>
              </w:numPr>
              <w:ind w:left="530"/>
              <w:jc w:val="both"/>
              <w:rPr>
                <w:rFonts w:ascii="Times New Roman" w:hAnsi="Times New Roman" w:cs="Times New Roman"/>
                <w:sz w:val="24"/>
                <w:szCs w:val="24"/>
                <w:lang w:val="uk-UA"/>
              </w:rPr>
            </w:pPr>
            <w:r w:rsidRPr="00DA77E7">
              <w:rPr>
                <w:rFonts w:ascii="Times New Roman" w:hAnsi="Times New Roman" w:cs="Times New Roman"/>
                <w:sz w:val="24"/>
                <w:szCs w:val="24"/>
                <w:lang w:val="uk-UA"/>
              </w:rPr>
              <w:t xml:space="preserve">Вартість факторингу при ставці 24% річних складе: </w:t>
            </w:r>
            <w:r w:rsidRPr="00A32D84">
              <w:rPr>
                <w:rFonts w:ascii="Times New Roman" w:hAnsi="Times New Roman" w:cs="Times New Roman"/>
                <w:sz w:val="24"/>
                <w:szCs w:val="24"/>
                <w:lang w:val="uk-UA"/>
              </w:rPr>
              <w:t>7 493</w:t>
            </w:r>
            <w:r w:rsidRPr="00DA77E7">
              <w:rPr>
                <w:rFonts w:ascii="Times New Roman" w:hAnsi="Times New Roman" w:cs="Times New Roman"/>
                <w:sz w:val="24"/>
                <w:szCs w:val="24"/>
                <w:lang w:val="uk-UA"/>
              </w:rPr>
              <w:t xml:space="preserve"> * 0,24 = </w:t>
            </w:r>
            <w:r w:rsidRPr="00A32D84">
              <w:rPr>
                <w:rFonts w:ascii="Times New Roman" w:hAnsi="Times New Roman" w:cs="Times New Roman"/>
                <w:sz w:val="24"/>
                <w:szCs w:val="24"/>
                <w:lang w:val="uk-UA"/>
              </w:rPr>
              <w:t>1 798</w:t>
            </w:r>
            <w:r w:rsidRPr="00DA77E7">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млн</w:t>
            </w:r>
            <w:r w:rsidRPr="00DA77E7">
              <w:rPr>
                <w:rFonts w:ascii="Times New Roman" w:hAnsi="Times New Roman" w:cs="Times New Roman"/>
                <w:sz w:val="24"/>
                <w:szCs w:val="24"/>
                <w:lang w:val="uk-UA"/>
              </w:rPr>
              <w:t>. грн на рік</w:t>
            </w:r>
          </w:p>
          <w:p w14:paraId="2A9B7267" w14:textId="77777777" w:rsidR="004010C7" w:rsidRPr="007F73BA" w:rsidRDefault="004010C7" w:rsidP="00BE6C60">
            <w:pPr>
              <w:numPr>
                <w:ilvl w:val="0"/>
                <w:numId w:val="21"/>
              </w:numPr>
              <w:ind w:left="530"/>
              <w:jc w:val="both"/>
              <w:rPr>
                <w:rFonts w:ascii="Times New Roman" w:hAnsi="Times New Roman" w:cs="Times New Roman"/>
                <w:sz w:val="24"/>
                <w:szCs w:val="24"/>
                <w:lang w:val="uk-UA"/>
              </w:rPr>
            </w:pPr>
            <w:r w:rsidRPr="00DA77E7">
              <w:rPr>
                <w:rFonts w:ascii="Times New Roman" w:hAnsi="Times New Roman" w:cs="Times New Roman"/>
                <w:sz w:val="24"/>
                <w:szCs w:val="24"/>
                <w:lang w:val="uk-UA"/>
              </w:rPr>
              <w:t xml:space="preserve">Чистий економічний ефект за рік становитиме: </w:t>
            </w:r>
            <w:r w:rsidRPr="00A32D84">
              <w:rPr>
                <w:rFonts w:ascii="Times New Roman" w:hAnsi="Times New Roman" w:cs="Times New Roman"/>
                <w:sz w:val="24"/>
                <w:szCs w:val="24"/>
                <w:lang w:val="uk-UA"/>
              </w:rPr>
              <w:t>7 493</w:t>
            </w:r>
            <w:r w:rsidRPr="00DA77E7">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млн</w:t>
            </w:r>
            <w:r w:rsidRPr="00DA77E7">
              <w:rPr>
                <w:rFonts w:ascii="Times New Roman" w:hAnsi="Times New Roman" w:cs="Times New Roman"/>
                <w:sz w:val="24"/>
                <w:szCs w:val="24"/>
                <w:lang w:val="uk-UA"/>
              </w:rPr>
              <w:t xml:space="preserve">. грн </w:t>
            </w:r>
            <w:r w:rsidRPr="00A32D84">
              <w:rPr>
                <w:rFonts w:ascii="Times New Roman" w:hAnsi="Times New Roman" w:cs="Times New Roman"/>
                <w:sz w:val="24"/>
                <w:szCs w:val="24"/>
                <w:lang w:val="uk-UA"/>
              </w:rPr>
              <w:t>–</w:t>
            </w:r>
            <w:r w:rsidRPr="00DA77E7">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1 798</w:t>
            </w:r>
            <w:r w:rsidRPr="00DA77E7">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млн</w:t>
            </w:r>
            <w:r w:rsidRPr="00DA77E7">
              <w:rPr>
                <w:rFonts w:ascii="Times New Roman" w:hAnsi="Times New Roman" w:cs="Times New Roman"/>
                <w:sz w:val="24"/>
                <w:szCs w:val="24"/>
                <w:lang w:val="uk-UA"/>
              </w:rPr>
              <w:t xml:space="preserve">. грн = </w:t>
            </w:r>
            <w:r w:rsidRPr="00A32D84">
              <w:rPr>
                <w:rFonts w:ascii="Times New Roman" w:hAnsi="Times New Roman" w:cs="Times New Roman"/>
                <w:sz w:val="24"/>
                <w:szCs w:val="24"/>
                <w:lang w:val="uk-UA"/>
              </w:rPr>
              <w:t>5 695</w:t>
            </w:r>
            <w:r w:rsidRPr="00DA77E7">
              <w:rPr>
                <w:rFonts w:ascii="Times New Roman" w:hAnsi="Times New Roman" w:cs="Times New Roman"/>
                <w:sz w:val="24"/>
                <w:szCs w:val="24"/>
                <w:lang w:val="uk-UA"/>
              </w:rPr>
              <w:t xml:space="preserve"> </w:t>
            </w:r>
            <w:r w:rsidRPr="00A32D84">
              <w:rPr>
                <w:rFonts w:ascii="Times New Roman" w:hAnsi="Times New Roman" w:cs="Times New Roman"/>
                <w:sz w:val="24"/>
                <w:szCs w:val="24"/>
                <w:lang w:val="uk-UA"/>
              </w:rPr>
              <w:t>млн</w:t>
            </w:r>
            <w:r w:rsidRPr="00DA77E7">
              <w:rPr>
                <w:rFonts w:ascii="Times New Roman" w:hAnsi="Times New Roman" w:cs="Times New Roman"/>
                <w:sz w:val="24"/>
                <w:szCs w:val="24"/>
                <w:lang w:val="uk-UA"/>
              </w:rPr>
              <w:t>. грн</w:t>
            </w:r>
            <w:r w:rsidRPr="00A32D84">
              <w:rPr>
                <w:rFonts w:ascii="Times New Roman" w:hAnsi="Times New Roman" w:cs="Times New Roman"/>
                <w:sz w:val="24"/>
                <w:szCs w:val="24"/>
                <w:lang w:val="uk-UA"/>
              </w:rPr>
              <w:t>.</w:t>
            </w:r>
          </w:p>
        </w:tc>
        <w:tc>
          <w:tcPr>
            <w:tcW w:w="1427" w:type="pct"/>
            <w:vAlign w:val="center"/>
          </w:tcPr>
          <w:p w14:paraId="2880B043" w14:textId="77777777" w:rsidR="004010C7" w:rsidRPr="00A32D84" w:rsidRDefault="004010C7" w:rsidP="00BE6C60">
            <w:pPr>
              <w:jc w:val="center"/>
              <w:rPr>
                <w:rFonts w:ascii="Times New Roman" w:hAnsi="Times New Roman" w:cs="Times New Roman"/>
                <w:sz w:val="24"/>
                <w:szCs w:val="24"/>
                <w:lang w:val="uk-UA"/>
              </w:rPr>
            </w:pPr>
            <w:r w:rsidRPr="00A32D84">
              <w:rPr>
                <w:rFonts w:ascii="Times New Roman" w:eastAsia="Times New Roman" w:hAnsi="Times New Roman" w:cs="Times New Roman"/>
                <w:sz w:val="24"/>
                <w:szCs w:val="24"/>
                <w:lang w:val="uk-UA"/>
              </w:rPr>
              <w:t>Залучення обігових коштів у розмірі – 5 695 млн. грн. та зниження ризиків неплатоспроможності та простроченої заборгованості.</w:t>
            </w:r>
          </w:p>
        </w:tc>
      </w:tr>
    </w:tbl>
    <w:p w14:paraId="74767A11" w14:textId="77777777" w:rsidR="004010C7" w:rsidRDefault="007F73BA" w:rsidP="00424359">
      <w:pPr>
        <w:widowControl w:val="0"/>
        <w:autoSpaceDE w:val="0"/>
        <w:autoSpaceDN w:val="0"/>
        <w:spacing w:after="0"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14:ligatures w14:val="none"/>
        </w:rPr>
        <w:t xml:space="preserve">Джерело: </w:t>
      </w:r>
      <w:r w:rsidRPr="00042924">
        <w:rPr>
          <w:rFonts w:ascii="Times New Roman" w:eastAsia="Times New Roman" w:hAnsi="Times New Roman" w:cs="Times New Roman"/>
          <w:kern w:val="0"/>
          <w:sz w:val="28"/>
          <w:szCs w:val="28"/>
          <w:lang w:val="uk-UA"/>
          <w14:ligatures w14:val="none"/>
        </w:rPr>
        <w:t>сформовано</w:t>
      </w:r>
      <w:r w:rsidRPr="00042924">
        <w:rPr>
          <w:rFonts w:ascii="Times New Roman" w:eastAsia="Times New Roman" w:hAnsi="Times New Roman" w:cs="Times New Roman"/>
          <w:spacing w:val="-4"/>
          <w:kern w:val="0"/>
          <w:sz w:val="28"/>
          <w:szCs w:val="28"/>
          <w:lang w:val="uk-UA"/>
          <w14:ligatures w14:val="none"/>
        </w:rPr>
        <w:t xml:space="preserve"> </w:t>
      </w:r>
      <w:r w:rsidRPr="00042924">
        <w:rPr>
          <w:rFonts w:ascii="Times New Roman" w:eastAsia="Times New Roman" w:hAnsi="Times New Roman" w:cs="Times New Roman"/>
          <w:kern w:val="0"/>
          <w:sz w:val="28"/>
          <w:szCs w:val="28"/>
          <w:lang w:val="uk-UA"/>
          <w14:ligatures w14:val="none"/>
        </w:rPr>
        <w:t xml:space="preserve">автором за даними </w:t>
      </w:r>
      <w:r w:rsidRPr="00042924">
        <w:rPr>
          <w:rFonts w:ascii="Times New Roman" w:eastAsia="Times New Roman" w:hAnsi="Times New Roman" w:cs="Times New Roman"/>
          <w:sz w:val="28"/>
          <w:szCs w:val="28"/>
          <w:lang w:val="uk-UA"/>
        </w:rPr>
        <w:t>[</w:t>
      </w:r>
      <w:r w:rsidR="007A5C82">
        <w:rPr>
          <w:rFonts w:ascii="Times New Roman" w:eastAsia="Times New Roman" w:hAnsi="Times New Roman" w:cs="Times New Roman"/>
          <w:sz w:val="28"/>
          <w:szCs w:val="28"/>
          <w:lang w:val="uk-UA"/>
        </w:rPr>
        <w:t>4</w:t>
      </w:r>
      <w:r w:rsidR="000101A9" w:rsidRPr="000101A9">
        <w:rPr>
          <w:rFonts w:ascii="Times New Roman" w:eastAsia="Times New Roman" w:hAnsi="Times New Roman" w:cs="Times New Roman"/>
          <w:sz w:val="28"/>
          <w:szCs w:val="28"/>
        </w:rPr>
        <w:t>0</w:t>
      </w:r>
      <w:r w:rsidRPr="00042924">
        <w:rPr>
          <w:rFonts w:ascii="Times New Roman" w:eastAsia="Times New Roman" w:hAnsi="Times New Roman" w:cs="Times New Roman"/>
          <w:sz w:val="28"/>
          <w:szCs w:val="28"/>
          <w:lang w:val="uk-UA"/>
        </w:rPr>
        <w:t>]</w:t>
      </w:r>
    </w:p>
    <w:p w14:paraId="0035C3DC" w14:textId="77777777" w:rsidR="007A5C82" w:rsidRDefault="007A5C82" w:rsidP="00AA3D3E">
      <w:pPr>
        <w:widowControl w:val="0"/>
        <w:autoSpaceDE w:val="0"/>
        <w:autoSpaceDN w:val="0"/>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Таблиця Д.2 – </w:t>
      </w:r>
      <w:r w:rsidR="009F5B38">
        <w:rPr>
          <w:rFonts w:ascii="Times New Roman" w:eastAsia="Times New Roman" w:hAnsi="Times New Roman" w:cs="Times New Roman"/>
          <w:sz w:val="28"/>
          <w:szCs w:val="28"/>
          <w:lang w:val="uk-UA"/>
        </w:rPr>
        <w:t xml:space="preserve">Систематизований результат </w:t>
      </w:r>
      <w:r w:rsidR="00772A50">
        <w:rPr>
          <w:rFonts w:ascii="Times New Roman" w:eastAsia="Times New Roman" w:hAnsi="Times New Roman" w:cs="Times New Roman"/>
          <w:sz w:val="28"/>
          <w:szCs w:val="28"/>
          <w:lang w:val="uk-UA"/>
        </w:rPr>
        <w:t>економічного ефекту від впровадження запропонованих заходів</w:t>
      </w:r>
    </w:p>
    <w:tbl>
      <w:tblPr>
        <w:tblStyle w:val="a6"/>
        <w:tblW w:w="0" w:type="auto"/>
        <w:jc w:val="center"/>
        <w:tblLook w:val="04A0" w:firstRow="1" w:lastRow="0" w:firstColumn="1" w:lastColumn="0" w:noHBand="0" w:noVBand="1"/>
      </w:tblPr>
      <w:tblGrid>
        <w:gridCol w:w="2263"/>
        <w:gridCol w:w="2921"/>
        <w:gridCol w:w="1399"/>
        <w:gridCol w:w="3328"/>
      </w:tblGrid>
      <w:tr w:rsidR="007A5C82" w:rsidRPr="009F5B38" w14:paraId="037FCE4E" w14:textId="77777777" w:rsidTr="009F5B38">
        <w:trPr>
          <w:jc w:val="center"/>
        </w:trPr>
        <w:tc>
          <w:tcPr>
            <w:tcW w:w="2263" w:type="dxa"/>
            <w:vAlign w:val="center"/>
          </w:tcPr>
          <w:p w14:paraId="29A76EC5" w14:textId="77777777" w:rsidR="007A5C82" w:rsidRPr="009F5B38" w:rsidRDefault="007A5C82" w:rsidP="00BE6C60">
            <w:pPr>
              <w:jc w:val="center"/>
              <w:rPr>
                <w:rFonts w:ascii="Times New Roman" w:hAnsi="Times New Roman" w:cs="Times New Roman"/>
                <w:sz w:val="24"/>
                <w:szCs w:val="24"/>
                <w:lang w:val="uk-UA"/>
              </w:rPr>
            </w:pPr>
            <w:bookmarkStart w:id="37" w:name="_Hlk153351149"/>
            <w:r w:rsidRPr="009F5B38">
              <w:rPr>
                <w:rFonts w:ascii="Times New Roman" w:hAnsi="Times New Roman" w:cs="Times New Roman"/>
                <w:sz w:val="24"/>
                <w:szCs w:val="24"/>
                <w:lang w:val="uk-UA"/>
              </w:rPr>
              <w:t>Захід</w:t>
            </w:r>
          </w:p>
        </w:tc>
        <w:tc>
          <w:tcPr>
            <w:tcW w:w="2921" w:type="dxa"/>
            <w:vAlign w:val="center"/>
          </w:tcPr>
          <w:p w14:paraId="1751369D"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Спрямованість</w:t>
            </w:r>
          </w:p>
        </w:tc>
        <w:tc>
          <w:tcPr>
            <w:tcW w:w="1399" w:type="dxa"/>
            <w:vAlign w:val="center"/>
          </w:tcPr>
          <w:p w14:paraId="21A8EBFF"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Витрати</w:t>
            </w:r>
          </w:p>
        </w:tc>
        <w:tc>
          <w:tcPr>
            <w:tcW w:w="3328" w:type="dxa"/>
            <w:vAlign w:val="center"/>
          </w:tcPr>
          <w:p w14:paraId="687249A3"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Економічний ефект</w:t>
            </w:r>
          </w:p>
        </w:tc>
      </w:tr>
      <w:tr w:rsidR="007A5C82" w:rsidRPr="009F5B38" w14:paraId="3005FD3C" w14:textId="77777777" w:rsidTr="009F5B38">
        <w:trPr>
          <w:jc w:val="center"/>
        </w:trPr>
        <w:tc>
          <w:tcPr>
            <w:tcW w:w="2263" w:type="dxa"/>
            <w:vAlign w:val="center"/>
          </w:tcPr>
          <w:p w14:paraId="591A42E0" w14:textId="77777777" w:rsidR="007A5C82" w:rsidRPr="009F5B38" w:rsidRDefault="007A5C82" w:rsidP="009F5B38">
            <w:pPr>
              <w:jc w:val="center"/>
              <w:rPr>
                <w:rFonts w:ascii="Times New Roman" w:hAnsi="Times New Roman" w:cs="Times New Roman"/>
                <w:sz w:val="24"/>
                <w:szCs w:val="24"/>
                <w:lang w:val="uk-UA"/>
              </w:rPr>
            </w:pPr>
            <w:r w:rsidRPr="009F5B38">
              <w:rPr>
                <w:rFonts w:ascii="Times New Roman" w:eastAsia="Times New Roman" w:hAnsi="Times New Roman" w:cs="Times New Roman"/>
                <w:color w:val="1C1917"/>
                <w:sz w:val="24"/>
                <w:szCs w:val="24"/>
                <w:lang w:val="uk-UA" w:eastAsia="uk-UA"/>
              </w:rPr>
              <w:t>1.</w:t>
            </w:r>
            <w:r w:rsidRPr="009F5B38">
              <w:rPr>
                <w:sz w:val="24"/>
                <w:szCs w:val="24"/>
              </w:rPr>
              <w:t xml:space="preserve"> </w:t>
            </w:r>
            <w:r w:rsidRPr="009F5B38">
              <w:rPr>
                <w:rFonts w:ascii="Times New Roman" w:eastAsia="Times New Roman" w:hAnsi="Times New Roman" w:cs="Times New Roman"/>
                <w:color w:val="1C1917"/>
                <w:sz w:val="24"/>
                <w:szCs w:val="24"/>
                <w:lang w:val="uk-UA" w:eastAsia="uk-UA"/>
              </w:rPr>
              <w:t>Залучення інвестиційного кредиту ЄБРР</w:t>
            </w:r>
          </w:p>
        </w:tc>
        <w:tc>
          <w:tcPr>
            <w:tcW w:w="2921" w:type="dxa"/>
            <w:vAlign w:val="center"/>
          </w:tcPr>
          <w:p w14:paraId="5F848296"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eastAsia="Times New Roman" w:hAnsi="Times New Roman" w:cs="Times New Roman"/>
                <w:sz w:val="24"/>
                <w:szCs w:val="24"/>
                <w:lang w:val="uk-UA"/>
              </w:rPr>
              <w:t>Підтримання ліквідності підприємства, реалізації інвестиційного проекту та покращення фінансового стану в цілому.</w:t>
            </w:r>
          </w:p>
        </w:tc>
        <w:tc>
          <w:tcPr>
            <w:tcW w:w="1399" w:type="dxa"/>
            <w:vAlign w:val="center"/>
          </w:tcPr>
          <w:p w14:paraId="79928DF4"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color w:val="000000" w:themeColor="text1"/>
                <w:sz w:val="24"/>
                <w:szCs w:val="24"/>
                <w:lang w:val="uk-UA"/>
              </w:rPr>
              <w:t>3,7 млрд. грн.</w:t>
            </w:r>
          </w:p>
        </w:tc>
        <w:tc>
          <w:tcPr>
            <w:tcW w:w="3328" w:type="dxa"/>
            <w:vAlign w:val="center"/>
          </w:tcPr>
          <w:p w14:paraId="065CC534"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Збільшення оборотних активів на 12,5% та покращення коефіцієнту поточної ліквідності на 18,6%</w:t>
            </w:r>
          </w:p>
        </w:tc>
      </w:tr>
      <w:tr w:rsidR="007A5C82" w:rsidRPr="009F5B38" w14:paraId="13C061B7" w14:textId="77777777" w:rsidTr="009F5B38">
        <w:trPr>
          <w:jc w:val="center"/>
        </w:trPr>
        <w:tc>
          <w:tcPr>
            <w:tcW w:w="2263" w:type="dxa"/>
            <w:vAlign w:val="center"/>
          </w:tcPr>
          <w:p w14:paraId="70D0BA1D" w14:textId="77777777" w:rsidR="007A5C82" w:rsidRPr="009F5B38" w:rsidRDefault="007A5C82" w:rsidP="009F5B38">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2.</w:t>
            </w:r>
            <w:r w:rsidRPr="009F5B38">
              <w:rPr>
                <w:sz w:val="24"/>
                <w:szCs w:val="24"/>
              </w:rPr>
              <w:t xml:space="preserve"> </w:t>
            </w:r>
            <w:r w:rsidRPr="009F5B38">
              <w:rPr>
                <w:rFonts w:ascii="Times New Roman" w:hAnsi="Times New Roman" w:cs="Times New Roman"/>
                <w:sz w:val="24"/>
                <w:szCs w:val="24"/>
                <w:lang w:val="uk-UA"/>
              </w:rPr>
              <w:t>Реалізація комплексу заходів з енергоефективності</w:t>
            </w:r>
          </w:p>
        </w:tc>
        <w:tc>
          <w:tcPr>
            <w:tcW w:w="2921" w:type="dxa"/>
            <w:vAlign w:val="center"/>
          </w:tcPr>
          <w:p w14:paraId="1280EA24"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Зменшення витрат ПАТ на енергоресурси.</w:t>
            </w:r>
          </w:p>
        </w:tc>
        <w:tc>
          <w:tcPr>
            <w:tcW w:w="1399" w:type="dxa"/>
            <w:vAlign w:val="center"/>
          </w:tcPr>
          <w:p w14:paraId="76A32770"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1 млрд. грн.</w:t>
            </w:r>
          </w:p>
        </w:tc>
        <w:tc>
          <w:tcPr>
            <w:tcW w:w="3328" w:type="dxa"/>
            <w:vAlign w:val="center"/>
          </w:tcPr>
          <w:p w14:paraId="6C2CF503"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Е</w:t>
            </w:r>
            <w:r w:rsidRPr="00AD2ACB">
              <w:rPr>
                <w:rFonts w:ascii="Times New Roman" w:hAnsi="Times New Roman" w:cs="Times New Roman"/>
                <w:sz w:val="24"/>
                <w:szCs w:val="24"/>
                <w:lang w:val="uk-UA"/>
              </w:rPr>
              <w:t>кономія від впровадження заходів з енергоефективності</w:t>
            </w:r>
            <w:r w:rsidRPr="009F5B38">
              <w:rPr>
                <w:rFonts w:ascii="Times New Roman" w:hAnsi="Times New Roman" w:cs="Times New Roman"/>
                <w:sz w:val="24"/>
                <w:szCs w:val="24"/>
                <w:lang w:val="uk-UA"/>
              </w:rPr>
              <w:t xml:space="preserve"> у розмірі 40% - 10,3 млрд. грн.</w:t>
            </w:r>
          </w:p>
        </w:tc>
      </w:tr>
      <w:tr w:rsidR="007A5C82" w:rsidRPr="009F5B38" w14:paraId="7578B902" w14:textId="77777777" w:rsidTr="009F5B38">
        <w:trPr>
          <w:jc w:val="center"/>
        </w:trPr>
        <w:tc>
          <w:tcPr>
            <w:tcW w:w="2263" w:type="dxa"/>
            <w:vAlign w:val="center"/>
          </w:tcPr>
          <w:p w14:paraId="56715311" w14:textId="77777777" w:rsidR="007A5C82" w:rsidRPr="009F5B38" w:rsidRDefault="007A5C82" w:rsidP="009F5B38">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3.Створення прикордонних портів</w:t>
            </w:r>
          </w:p>
        </w:tc>
        <w:tc>
          <w:tcPr>
            <w:tcW w:w="2921" w:type="dxa"/>
            <w:vAlign w:val="center"/>
          </w:tcPr>
          <w:p w14:paraId="548C85BF"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shd w:val="clear" w:color="auto" w:fill="FFFFFF"/>
                <w:lang w:val="uk-UA"/>
              </w:rPr>
              <w:t>Збільшення обсягів експорту металопродукції та підвищення рентабельності експортних операцій.</w:t>
            </w:r>
          </w:p>
        </w:tc>
        <w:tc>
          <w:tcPr>
            <w:tcW w:w="1399" w:type="dxa"/>
            <w:vAlign w:val="center"/>
          </w:tcPr>
          <w:p w14:paraId="2DF3D0AC"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650 млн. грн.</w:t>
            </w:r>
          </w:p>
        </w:tc>
        <w:tc>
          <w:tcPr>
            <w:tcW w:w="3328" w:type="dxa"/>
            <w:vAlign w:val="center"/>
          </w:tcPr>
          <w:p w14:paraId="7D99199E"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shd w:val="clear" w:color="auto" w:fill="FFFFFF"/>
                <w:lang w:val="uk-UA"/>
              </w:rPr>
              <w:t>Збільшення обсягів експорту металопродукції у Африку на 82,4% (до 1 млн.т.) та зростання чистого доходу компанії на 3 787,5 млн. грн.</w:t>
            </w:r>
          </w:p>
        </w:tc>
      </w:tr>
      <w:tr w:rsidR="007A5C82" w:rsidRPr="009F5B38" w14:paraId="0288E920" w14:textId="77777777" w:rsidTr="009F5B38">
        <w:trPr>
          <w:jc w:val="center"/>
        </w:trPr>
        <w:tc>
          <w:tcPr>
            <w:tcW w:w="2263" w:type="dxa"/>
            <w:vAlign w:val="center"/>
          </w:tcPr>
          <w:p w14:paraId="335E703F" w14:textId="77777777" w:rsidR="007A5C82" w:rsidRPr="009F5B38" w:rsidRDefault="007A5C82" w:rsidP="009F5B38">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4.Впровадження віртуального торговельного майданчика</w:t>
            </w:r>
          </w:p>
        </w:tc>
        <w:tc>
          <w:tcPr>
            <w:tcW w:w="2921" w:type="dxa"/>
            <w:vAlign w:val="center"/>
          </w:tcPr>
          <w:p w14:paraId="4904F7BA"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eastAsia="Times New Roman" w:hAnsi="Times New Roman" w:cs="Times New Roman"/>
                <w:sz w:val="24"/>
                <w:szCs w:val="24"/>
                <w:lang w:val="uk-UA"/>
              </w:rPr>
              <w:t>Зниження витрат на збут продукції та підвищення обсягів реалізації на внутрішньому ринку.</w:t>
            </w:r>
          </w:p>
        </w:tc>
        <w:tc>
          <w:tcPr>
            <w:tcW w:w="1399" w:type="dxa"/>
            <w:vAlign w:val="center"/>
          </w:tcPr>
          <w:p w14:paraId="5EA0886A"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3 млн. грн.</w:t>
            </w:r>
          </w:p>
        </w:tc>
        <w:tc>
          <w:tcPr>
            <w:tcW w:w="3328" w:type="dxa"/>
            <w:vAlign w:val="center"/>
          </w:tcPr>
          <w:p w14:paraId="4F9E2F49"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eastAsia="Times New Roman" w:hAnsi="Times New Roman" w:cs="Times New Roman"/>
                <w:sz w:val="24"/>
                <w:szCs w:val="24"/>
                <w:lang w:val="uk-UA"/>
              </w:rPr>
              <w:t>Підвищення обсягів реалізації на внутрішньому ринку на 30% з 220 тис. т. до 286 тис. т.. та з</w:t>
            </w:r>
            <w:r w:rsidRPr="009F5B38">
              <w:rPr>
                <w:rFonts w:ascii="Times New Roman" w:hAnsi="Times New Roman" w:cs="Times New Roman"/>
                <w:sz w:val="24"/>
                <w:szCs w:val="24"/>
                <w:shd w:val="clear" w:color="auto" w:fill="FFFFFF"/>
                <w:lang w:val="uk-UA"/>
              </w:rPr>
              <w:t>ростання чистого доходу компанії з внутрішнього ринку на 793,2 млн. грн.</w:t>
            </w:r>
          </w:p>
        </w:tc>
      </w:tr>
      <w:tr w:rsidR="007A5C82" w:rsidRPr="009F5B38" w14:paraId="2E5077EC" w14:textId="77777777" w:rsidTr="009F5B38">
        <w:trPr>
          <w:jc w:val="center"/>
        </w:trPr>
        <w:tc>
          <w:tcPr>
            <w:tcW w:w="2263" w:type="dxa"/>
            <w:vAlign w:val="center"/>
          </w:tcPr>
          <w:p w14:paraId="59642FCA" w14:textId="77777777" w:rsidR="007A5C82" w:rsidRPr="009F5B38" w:rsidRDefault="007A5C82" w:rsidP="009F5B38">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5.</w:t>
            </w:r>
            <w:r w:rsidRPr="009F5B38">
              <w:rPr>
                <w:sz w:val="24"/>
                <w:szCs w:val="24"/>
              </w:rPr>
              <w:t xml:space="preserve"> </w:t>
            </w:r>
            <w:r w:rsidRPr="009F5B38">
              <w:rPr>
                <w:rFonts w:ascii="Times New Roman" w:hAnsi="Times New Roman" w:cs="Times New Roman"/>
                <w:sz w:val="24"/>
                <w:szCs w:val="24"/>
                <w:lang w:val="uk-UA"/>
              </w:rPr>
              <w:t>Використання послуг факторингу</w:t>
            </w:r>
          </w:p>
        </w:tc>
        <w:tc>
          <w:tcPr>
            <w:tcW w:w="2921" w:type="dxa"/>
            <w:vAlign w:val="center"/>
          </w:tcPr>
          <w:p w14:paraId="738A36F1"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 xml:space="preserve">Зменшення дебіторської заборгованості та </w:t>
            </w:r>
            <w:r w:rsidRPr="009F5B38">
              <w:rPr>
                <w:rFonts w:ascii="Times New Roman" w:eastAsia="Times New Roman" w:hAnsi="Times New Roman" w:cs="Times New Roman"/>
                <w:sz w:val="24"/>
                <w:szCs w:val="24"/>
                <w:lang w:val="uk-UA"/>
              </w:rPr>
              <w:t>підвищення ліквідності та фінансової стійкості компанії.</w:t>
            </w:r>
          </w:p>
        </w:tc>
        <w:tc>
          <w:tcPr>
            <w:tcW w:w="1399" w:type="dxa"/>
            <w:vAlign w:val="center"/>
          </w:tcPr>
          <w:p w14:paraId="186AB53D"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hAnsi="Times New Roman" w:cs="Times New Roman"/>
                <w:sz w:val="24"/>
                <w:szCs w:val="24"/>
                <w:lang w:val="uk-UA"/>
              </w:rPr>
              <w:t>3,7 млрд. грн.</w:t>
            </w:r>
          </w:p>
        </w:tc>
        <w:tc>
          <w:tcPr>
            <w:tcW w:w="3328" w:type="dxa"/>
            <w:vAlign w:val="center"/>
          </w:tcPr>
          <w:p w14:paraId="50B79809" w14:textId="77777777" w:rsidR="007A5C82" w:rsidRPr="009F5B38" w:rsidRDefault="007A5C82" w:rsidP="00BE6C60">
            <w:pPr>
              <w:jc w:val="center"/>
              <w:rPr>
                <w:rFonts w:ascii="Times New Roman" w:hAnsi="Times New Roman" w:cs="Times New Roman"/>
                <w:sz w:val="24"/>
                <w:szCs w:val="24"/>
                <w:lang w:val="uk-UA"/>
              </w:rPr>
            </w:pPr>
            <w:r w:rsidRPr="009F5B38">
              <w:rPr>
                <w:rFonts w:ascii="Times New Roman" w:eastAsia="Times New Roman" w:hAnsi="Times New Roman" w:cs="Times New Roman"/>
                <w:sz w:val="24"/>
                <w:szCs w:val="24"/>
                <w:lang w:val="uk-UA"/>
              </w:rPr>
              <w:t>Залучення обігових коштів у розмірі – 5 695 млн. грн. та зниження ризиків неплатоспроможності та простроченої заборгованості.</w:t>
            </w:r>
          </w:p>
        </w:tc>
      </w:tr>
    </w:tbl>
    <w:bookmarkEnd w:id="37"/>
    <w:p w14:paraId="60156CBA" w14:textId="77777777" w:rsidR="007A5C82" w:rsidRPr="00AA3D3E" w:rsidRDefault="00772A50" w:rsidP="00424359">
      <w:pPr>
        <w:widowControl w:val="0"/>
        <w:autoSpaceDE w:val="0"/>
        <w:autoSpaceDN w:val="0"/>
        <w:spacing w:after="0" w:line="240" w:lineRule="auto"/>
        <w:ind w:firstLine="284"/>
        <w:jc w:val="both"/>
        <w:rPr>
          <w:rFonts w:ascii="Times New Roman" w:eastAsia="Times New Roman" w:hAnsi="Times New Roman" w:cs="Times New Roman"/>
          <w:sz w:val="28"/>
          <w:szCs w:val="28"/>
          <w:lang w:val="uk-UA"/>
          <w14:ligatures w14:val="none"/>
        </w:rPr>
      </w:pPr>
      <w:r>
        <w:rPr>
          <w:rFonts w:ascii="Times New Roman" w:eastAsia="Times New Roman" w:hAnsi="Times New Roman" w:cs="Times New Roman"/>
          <w:sz w:val="28"/>
          <w:szCs w:val="28"/>
          <w:lang w:val="uk-UA"/>
          <w14:ligatures w14:val="none"/>
        </w:rPr>
        <w:t xml:space="preserve">Джерело: </w:t>
      </w:r>
      <w:r w:rsidR="00424359">
        <w:rPr>
          <w:rFonts w:ascii="Times New Roman" w:eastAsia="Times New Roman" w:hAnsi="Times New Roman" w:cs="Times New Roman"/>
          <w:kern w:val="0"/>
          <w:sz w:val="28"/>
          <w:szCs w:val="28"/>
          <w:lang w:val="uk-UA"/>
          <w14:ligatures w14:val="none"/>
        </w:rPr>
        <w:t>систематизовано автором самостійно</w:t>
      </w:r>
      <w:bookmarkEnd w:id="35"/>
    </w:p>
    <w:sectPr w:rsidR="007A5C82" w:rsidRPr="00AA3D3E" w:rsidSect="006D2FB9">
      <w:headerReference w:type="default" r:id="rId37"/>
      <w:pgSz w:w="11906" w:h="16838"/>
      <w:pgMar w:top="1134" w:right="567" w:bottom="1134" w:left="1418"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B0A5" w14:textId="77777777" w:rsidR="009167FE" w:rsidRDefault="009167FE" w:rsidP="00510925">
      <w:pPr>
        <w:spacing w:after="0" w:line="240" w:lineRule="auto"/>
      </w:pPr>
      <w:r>
        <w:separator/>
      </w:r>
    </w:p>
  </w:endnote>
  <w:endnote w:type="continuationSeparator" w:id="0">
    <w:p w14:paraId="4F6CACF9" w14:textId="77777777" w:rsidR="009167FE" w:rsidRDefault="009167FE" w:rsidP="0051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CD81" w14:textId="77777777" w:rsidR="009167FE" w:rsidRDefault="009167FE" w:rsidP="00510925">
      <w:pPr>
        <w:spacing w:after="0" w:line="240" w:lineRule="auto"/>
      </w:pPr>
      <w:r>
        <w:separator/>
      </w:r>
    </w:p>
  </w:footnote>
  <w:footnote w:type="continuationSeparator" w:id="0">
    <w:p w14:paraId="5A4E159E" w14:textId="77777777" w:rsidR="009167FE" w:rsidRDefault="009167FE" w:rsidP="0051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46948"/>
      <w:docPartObj>
        <w:docPartGallery w:val="Page Numbers (Top of Page)"/>
        <w:docPartUnique/>
      </w:docPartObj>
    </w:sdtPr>
    <w:sdtEndPr/>
    <w:sdtContent>
      <w:p w14:paraId="5A2AF116" w14:textId="77777777" w:rsidR="00BE6C60" w:rsidRDefault="00BE6C60">
        <w:pPr>
          <w:pStyle w:val="aa"/>
          <w:jc w:val="right"/>
        </w:pPr>
        <w:r>
          <w:fldChar w:fldCharType="begin"/>
        </w:r>
        <w:r>
          <w:instrText>PAGE   \* MERGEFORMAT</w:instrText>
        </w:r>
        <w:r>
          <w:fldChar w:fldCharType="separate"/>
        </w:r>
        <w:r w:rsidR="00D976FA">
          <w:rPr>
            <w:noProof/>
          </w:rPr>
          <w:t>22</w:t>
        </w:r>
        <w:r>
          <w:fldChar w:fldCharType="end"/>
        </w:r>
      </w:p>
    </w:sdtContent>
  </w:sdt>
  <w:p w14:paraId="3C6FCDCE" w14:textId="77777777" w:rsidR="00BE6C60" w:rsidRDefault="00BE6C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4B1"/>
    <w:multiLevelType w:val="multilevel"/>
    <w:tmpl w:val="51CA4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A1F87"/>
    <w:multiLevelType w:val="hybridMultilevel"/>
    <w:tmpl w:val="6796704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904617"/>
    <w:multiLevelType w:val="multilevel"/>
    <w:tmpl w:val="5658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97397B"/>
    <w:multiLevelType w:val="multilevel"/>
    <w:tmpl w:val="DC6A5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9065F"/>
    <w:multiLevelType w:val="multilevel"/>
    <w:tmpl w:val="5260C8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2D7E40"/>
    <w:multiLevelType w:val="multilevel"/>
    <w:tmpl w:val="FA68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B0003"/>
    <w:multiLevelType w:val="hybridMultilevel"/>
    <w:tmpl w:val="A1607D8C"/>
    <w:lvl w:ilvl="0" w:tplc="913895F4">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BE544BF"/>
    <w:multiLevelType w:val="hybridMultilevel"/>
    <w:tmpl w:val="1D9E7AAC"/>
    <w:lvl w:ilvl="0" w:tplc="0419000F">
      <w:start w:val="1"/>
      <w:numFmt w:val="decimal"/>
      <w:lvlText w:val="%1."/>
      <w:lvlJc w:val="left"/>
      <w:pPr>
        <w:ind w:left="833" w:hanging="360"/>
      </w:pPr>
    </w:lvl>
    <w:lvl w:ilvl="1" w:tplc="04220019" w:tentative="1">
      <w:start w:val="1"/>
      <w:numFmt w:val="lowerLetter"/>
      <w:lvlText w:val="%2."/>
      <w:lvlJc w:val="left"/>
      <w:pPr>
        <w:ind w:left="1553" w:hanging="360"/>
      </w:pPr>
    </w:lvl>
    <w:lvl w:ilvl="2" w:tplc="0422001B" w:tentative="1">
      <w:start w:val="1"/>
      <w:numFmt w:val="lowerRoman"/>
      <w:lvlText w:val="%3."/>
      <w:lvlJc w:val="right"/>
      <w:pPr>
        <w:ind w:left="2273" w:hanging="180"/>
      </w:pPr>
    </w:lvl>
    <w:lvl w:ilvl="3" w:tplc="0422000F" w:tentative="1">
      <w:start w:val="1"/>
      <w:numFmt w:val="decimal"/>
      <w:lvlText w:val="%4."/>
      <w:lvlJc w:val="left"/>
      <w:pPr>
        <w:ind w:left="2993" w:hanging="360"/>
      </w:pPr>
    </w:lvl>
    <w:lvl w:ilvl="4" w:tplc="04220019" w:tentative="1">
      <w:start w:val="1"/>
      <w:numFmt w:val="lowerLetter"/>
      <w:lvlText w:val="%5."/>
      <w:lvlJc w:val="left"/>
      <w:pPr>
        <w:ind w:left="3713" w:hanging="360"/>
      </w:pPr>
    </w:lvl>
    <w:lvl w:ilvl="5" w:tplc="0422001B" w:tentative="1">
      <w:start w:val="1"/>
      <w:numFmt w:val="lowerRoman"/>
      <w:lvlText w:val="%6."/>
      <w:lvlJc w:val="right"/>
      <w:pPr>
        <w:ind w:left="4433" w:hanging="180"/>
      </w:pPr>
    </w:lvl>
    <w:lvl w:ilvl="6" w:tplc="0422000F" w:tentative="1">
      <w:start w:val="1"/>
      <w:numFmt w:val="decimal"/>
      <w:lvlText w:val="%7."/>
      <w:lvlJc w:val="left"/>
      <w:pPr>
        <w:ind w:left="5153" w:hanging="360"/>
      </w:pPr>
    </w:lvl>
    <w:lvl w:ilvl="7" w:tplc="04220019" w:tentative="1">
      <w:start w:val="1"/>
      <w:numFmt w:val="lowerLetter"/>
      <w:lvlText w:val="%8."/>
      <w:lvlJc w:val="left"/>
      <w:pPr>
        <w:ind w:left="5873" w:hanging="360"/>
      </w:pPr>
    </w:lvl>
    <w:lvl w:ilvl="8" w:tplc="0422001B" w:tentative="1">
      <w:start w:val="1"/>
      <w:numFmt w:val="lowerRoman"/>
      <w:lvlText w:val="%9."/>
      <w:lvlJc w:val="right"/>
      <w:pPr>
        <w:ind w:left="6593" w:hanging="180"/>
      </w:pPr>
    </w:lvl>
  </w:abstractNum>
  <w:abstractNum w:abstractNumId="8" w15:restartNumberingAfterBreak="0">
    <w:nsid w:val="21D345AC"/>
    <w:multiLevelType w:val="hybridMultilevel"/>
    <w:tmpl w:val="381E1EB0"/>
    <w:lvl w:ilvl="0" w:tplc="0419000F">
      <w:start w:val="1"/>
      <w:numFmt w:val="decimal"/>
      <w:lvlText w:val="%1."/>
      <w:lvlJc w:val="left"/>
      <w:pPr>
        <w:ind w:left="833" w:hanging="360"/>
      </w:pPr>
    </w:lvl>
    <w:lvl w:ilvl="1" w:tplc="04220019" w:tentative="1">
      <w:start w:val="1"/>
      <w:numFmt w:val="lowerLetter"/>
      <w:lvlText w:val="%2."/>
      <w:lvlJc w:val="left"/>
      <w:pPr>
        <w:ind w:left="1553" w:hanging="360"/>
      </w:pPr>
    </w:lvl>
    <w:lvl w:ilvl="2" w:tplc="0422001B" w:tentative="1">
      <w:start w:val="1"/>
      <w:numFmt w:val="lowerRoman"/>
      <w:lvlText w:val="%3."/>
      <w:lvlJc w:val="right"/>
      <w:pPr>
        <w:ind w:left="2273" w:hanging="180"/>
      </w:pPr>
    </w:lvl>
    <w:lvl w:ilvl="3" w:tplc="0422000F" w:tentative="1">
      <w:start w:val="1"/>
      <w:numFmt w:val="decimal"/>
      <w:lvlText w:val="%4."/>
      <w:lvlJc w:val="left"/>
      <w:pPr>
        <w:ind w:left="2993" w:hanging="360"/>
      </w:pPr>
    </w:lvl>
    <w:lvl w:ilvl="4" w:tplc="04220019" w:tentative="1">
      <w:start w:val="1"/>
      <w:numFmt w:val="lowerLetter"/>
      <w:lvlText w:val="%5."/>
      <w:lvlJc w:val="left"/>
      <w:pPr>
        <w:ind w:left="3713" w:hanging="360"/>
      </w:pPr>
    </w:lvl>
    <w:lvl w:ilvl="5" w:tplc="0422001B" w:tentative="1">
      <w:start w:val="1"/>
      <w:numFmt w:val="lowerRoman"/>
      <w:lvlText w:val="%6."/>
      <w:lvlJc w:val="right"/>
      <w:pPr>
        <w:ind w:left="4433" w:hanging="180"/>
      </w:pPr>
    </w:lvl>
    <w:lvl w:ilvl="6" w:tplc="0422000F" w:tentative="1">
      <w:start w:val="1"/>
      <w:numFmt w:val="decimal"/>
      <w:lvlText w:val="%7."/>
      <w:lvlJc w:val="left"/>
      <w:pPr>
        <w:ind w:left="5153" w:hanging="360"/>
      </w:pPr>
    </w:lvl>
    <w:lvl w:ilvl="7" w:tplc="04220019" w:tentative="1">
      <w:start w:val="1"/>
      <w:numFmt w:val="lowerLetter"/>
      <w:lvlText w:val="%8."/>
      <w:lvlJc w:val="left"/>
      <w:pPr>
        <w:ind w:left="5873" w:hanging="360"/>
      </w:pPr>
    </w:lvl>
    <w:lvl w:ilvl="8" w:tplc="0422001B" w:tentative="1">
      <w:start w:val="1"/>
      <w:numFmt w:val="lowerRoman"/>
      <w:lvlText w:val="%9."/>
      <w:lvlJc w:val="right"/>
      <w:pPr>
        <w:ind w:left="6593" w:hanging="180"/>
      </w:pPr>
    </w:lvl>
  </w:abstractNum>
  <w:abstractNum w:abstractNumId="9" w15:restartNumberingAfterBreak="0">
    <w:nsid w:val="2CF86128"/>
    <w:multiLevelType w:val="multilevel"/>
    <w:tmpl w:val="331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800E0C"/>
    <w:multiLevelType w:val="multilevel"/>
    <w:tmpl w:val="277A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175EA"/>
    <w:multiLevelType w:val="multilevel"/>
    <w:tmpl w:val="331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5322A8"/>
    <w:multiLevelType w:val="multilevel"/>
    <w:tmpl w:val="FA68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6677C6"/>
    <w:multiLevelType w:val="multilevel"/>
    <w:tmpl w:val="7602B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D205E"/>
    <w:multiLevelType w:val="hybridMultilevel"/>
    <w:tmpl w:val="E466B3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1485CAB"/>
    <w:multiLevelType w:val="multilevel"/>
    <w:tmpl w:val="360231C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EDA7701"/>
    <w:multiLevelType w:val="hybridMultilevel"/>
    <w:tmpl w:val="50E2511E"/>
    <w:lvl w:ilvl="0" w:tplc="0419000F">
      <w:start w:val="1"/>
      <w:numFmt w:val="decimal"/>
      <w:lvlText w:val="%1."/>
      <w:lvlJc w:val="left"/>
      <w:pPr>
        <w:ind w:left="833" w:hanging="360"/>
      </w:pPr>
    </w:lvl>
    <w:lvl w:ilvl="1" w:tplc="04220019" w:tentative="1">
      <w:start w:val="1"/>
      <w:numFmt w:val="lowerLetter"/>
      <w:lvlText w:val="%2."/>
      <w:lvlJc w:val="left"/>
      <w:pPr>
        <w:ind w:left="1553" w:hanging="360"/>
      </w:pPr>
    </w:lvl>
    <w:lvl w:ilvl="2" w:tplc="0422001B" w:tentative="1">
      <w:start w:val="1"/>
      <w:numFmt w:val="lowerRoman"/>
      <w:lvlText w:val="%3."/>
      <w:lvlJc w:val="right"/>
      <w:pPr>
        <w:ind w:left="2273" w:hanging="180"/>
      </w:pPr>
    </w:lvl>
    <w:lvl w:ilvl="3" w:tplc="0422000F" w:tentative="1">
      <w:start w:val="1"/>
      <w:numFmt w:val="decimal"/>
      <w:lvlText w:val="%4."/>
      <w:lvlJc w:val="left"/>
      <w:pPr>
        <w:ind w:left="2993" w:hanging="360"/>
      </w:pPr>
    </w:lvl>
    <w:lvl w:ilvl="4" w:tplc="04220019" w:tentative="1">
      <w:start w:val="1"/>
      <w:numFmt w:val="lowerLetter"/>
      <w:lvlText w:val="%5."/>
      <w:lvlJc w:val="left"/>
      <w:pPr>
        <w:ind w:left="3713" w:hanging="360"/>
      </w:pPr>
    </w:lvl>
    <w:lvl w:ilvl="5" w:tplc="0422001B" w:tentative="1">
      <w:start w:val="1"/>
      <w:numFmt w:val="lowerRoman"/>
      <w:lvlText w:val="%6."/>
      <w:lvlJc w:val="right"/>
      <w:pPr>
        <w:ind w:left="4433" w:hanging="180"/>
      </w:pPr>
    </w:lvl>
    <w:lvl w:ilvl="6" w:tplc="0422000F" w:tentative="1">
      <w:start w:val="1"/>
      <w:numFmt w:val="decimal"/>
      <w:lvlText w:val="%7."/>
      <w:lvlJc w:val="left"/>
      <w:pPr>
        <w:ind w:left="5153" w:hanging="360"/>
      </w:pPr>
    </w:lvl>
    <w:lvl w:ilvl="7" w:tplc="04220019" w:tentative="1">
      <w:start w:val="1"/>
      <w:numFmt w:val="lowerLetter"/>
      <w:lvlText w:val="%8."/>
      <w:lvlJc w:val="left"/>
      <w:pPr>
        <w:ind w:left="5873" w:hanging="360"/>
      </w:pPr>
    </w:lvl>
    <w:lvl w:ilvl="8" w:tplc="0422001B" w:tentative="1">
      <w:start w:val="1"/>
      <w:numFmt w:val="lowerRoman"/>
      <w:lvlText w:val="%9."/>
      <w:lvlJc w:val="right"/>
      <w:pPr>
        <w:ind w:left="6593" w:hanging="180"/>
      </w:pPr>
    </w:lvl>
  </w:abstractNum>
  <w:abstractNum w:abstractNumId="17" w15:restartNumberingAfterBreak="0">
    <w:nsid w:val="73677DB3"/>
    <w:multiLevelType w:val="multilevel"/>
    <w:tmpl w:val="331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4B437F"/>
    <w:multiLevelType w:val="multilevel"/>
    <w:tmpl w:val="FA68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87CA1"/>
    <w:multiLevelType w:val="multilevel"/>
    <w:tmpl w:val="BF28F18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E8164E1"/>
    <w:multiLevelType w:val="multilevel"/>
    <w:tmpl w:val="FA68F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6"/>
  </w:num>
  <w:num w:numId="4">
    <w:abstractNumId w:val="7"/>
  </w:num>
  <w:num w:numId="5">
    <w:abstractNumId w:val="1"/>
  </w:num>
  <w:num w:numId="6">
    <w:abstractNumId w:val="12"/>
  </w:num>
  <w:num w:numId="7">
    <w:abstractNumId w:val="20"/>
  </w:num>
  <w:num w:numId="8">
    <w:abstractNumId w:val="18"/>
  </w:num>
  <w:num w:numId="9">
    <w:abstractNumId w:val="5"/>
  </w:num>
  <w:num w:numId="10">
    <w:abstractNumId w:val="6"/>
  </w:num>
  <w:num w:numId="11">
    <w:abstractNumId w:val="13"/>
  </w:num>
  <w:num w:numId="12">
    <w:abstractNumId w:val="2"/>
  </w:num>
  <w:num w:numId="13">
    <w:abstractNumId w:val="17"/>
  </w:num>
  <w:num w:numId="14">
    <w:abstractNumId w:val="10"/>
  </w:num>
  <w:num w:numId="15">
    <w:abstractNumId w:val="3"/>
  </w:num>
  <w:num w:numId="16">
    <w:abstractNumId w:val="0"/>
  </w:num>
  <w:num w:numId="17">
    <w:abstractNumId w:val="9"/>
  </w:num>
  <w:num w:numId="18">
    <w:abstractNumId w:val="11"/>
  </w:num>
  <w:num w:numId="19">
    <w:abstractNumId w:val="4"/>
  </w:num>
  <w:num w:numId="20">
    <w:abstractNumId w:val="19"/>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59"/>
    <w:rsid w:val="0000053B"/>
    <w:rsid w:val="000006AC"/>
    <w:rsid w:val="00001282"/>
    <w:rsid w:val="00001ADF"/>
    <w:rsid w:val="00003697"/>
    <w:rsid w:val="00003815"/>
    <w:rsid w:val="000039E4"/>
    <w:rsid w:val="000041AE"/>
    <w:rsid w:val="0000425A"/>
    <w:rsid w:val="00004971"/>
    <w:rsid w:val="00004F31"/>
    <w:rsid w:val="00006C73"/>
    <w:rsid w:val="00006CCA"/>
    <w:rsid w:val="000070D2"/>
    <w:rsid w:val="000101A9"/>
    <w:rsid w:val="00010316"/>
    <w:rsid w:val="00011F88"/>
    <w:rsid w:val="000121FF"/>
    <w:rsid w:val="000125BA"/>
    <w:rsid w:val="00012606"/>
    <w:rsid w:val="000142ED"/>
    <w:rsid w:val="00014863"/>
    <w:rsid w:val="00014EEC"/>
    <w:rsid w:val="00016ACF"/>
    <w:rsid w:val="00016BE0"/>
    <w:rsid w:val="000177C2"/>
    <w:rsid w:val="00017AF8"/>
    <w:rsid w:val="00020052"/>
    <w:rsid w:val="00020B21"/>
    <w:rsid w:val="0002142F"/>
    <w:rsid w:val="00023110"/>
    <w:rsid w:val="0002409E"/>
    <w:rsid w:val="00024806"/>
    <w:rsid w:val="00024A9C"/>
    <w:rsid w:val="000271F7"/>
    <w:rsid w:val="00027270"/>
    <w:rsid w:val="000279F4"/>
    <w:rsid w:val="00030601"/>
    <w:rsid w:val="00031519"/>
    <w:rsid w:val="0003155D"/>
    <w:rsid w:val="000318AA"/>
    <w:rsid w:val="00031C4A"/>
    <w:rsid w:val="000320CB"/>
    <w:rsid w:val="0003433E"/>
    <w:rsid w:val="000345AE"/>
    <w:rsid w:val="00035CAD"/>
    <w:rsid w:val="00041336"/>
    <w:rsid w:val="000419C7"/>
    <w:rsid w:val="00041F8A"/>
    <w:rsid w:val="00042368"/>
    <w:rsid w:val="0004269E"/>
    <w:rsid w:val="00042924"/>
    <w:rsid w:val="000436F2"/>
    <w:rsid w:val="0004375B"/>
    <w:rsid w:val="00045AB7"/>
    <w:rsid w:val="000462E8"/>
    <w:rsid w:val="000464AE"/>
    <w:rsid w:val="00046A4E"/>
    <w:rsid w:val="000478BC"/>
    <w:rsid w:val="0005048F"/>
    <w:rsid w:val="00050CFB"/>
    <w:rsid w:val="00051B8D"/>
    <w:rsid w:val="000542B1"/>
    <w:rsid w:val="0005470D"/>
    <w:rsid w:val="00054AEE"/>
    <w:rsid w:val="00056173"/>
    <w:rsid w:val="00056A2F"/>
    <w:rsid w:val="00056EE5"/>
    <w:rsid w:val="00057ED6"/>
    <w:rsid w:val="00060761"/>
    <w:rsid w:val="000617AB"/>
    <w:rsid w:val="00061DF2"/>
    <w:rsid w:val="00062C16"/>
    <w:rsid w:val="000643CB"/>
    <w:rsid w:val="00064404"/>
    <w:rsid w:val="00064C19"/>
    <w:rsid w:val="00064E87"/>
    <w:rsid w:val="00065206"/>
    <w:rsid w:val="00065BB8"/>
    <w:rsid w:val="000673D9"/>
    <w:rsid w:val="000673F5"/>
    <w:rsid w:val="000701E7"/>
    <w:rsid w:val="000705D2"/>
    <w:rsid w:val="00070626"/>
    <w:rsid w:val="000711EC"/>
    <w:rsid w:val="00071D86"/>
    <w:rsid w:val="00072382"/>
    <w:rsid w:val="00073A2C"/>
    <w:rsid w:val="00073B4B"/>
    <w:rsid w:val="000741A1"/>
    <w:rsid w:val="000755C3"/>
    <w:rsid w:val="000764DF"/>
    <w:rsid w:val="00076A81"/>
    <w:rsid w:val="000775BB"/>
    <w:rsid w:val="00077B31"/>
    <w:rsid w:val="00081BE4"/>
    <w:rsid w:val="00082B9B"/>
    <w:rsid w:val="00082CB7"/>
    <w:rsid w:val="00082DDC"/>
    <w:rsid w:val="0008306D"/>
    <w:rsid w:val="00083FDC"/>
    <w:rsid w:val="0008453D"/>
    <w:rsid w:val="0008560D"/>
    <w:rsid w:val="00087004"/>
    <w:rsid w:val="00090CA5"/>
    <w:rsid w:val="00090D05"/>
    <w:rsid w:val="00093D2C"/>
    <w:rsid w:val="00093DDA"/>
    <w:rsid w:val="00094077"/>
    <w:rsid w:val="000940EE"/>
    <w:rsid w:val="0009456C"/>
    <w:rsid w:val="0009476C"/>
    <w:rsid w:val="0009540E"/>
    <w:rsid w:val="000955B7"/>
    <w:rsid w:val="00095B60"/>
    <w:rsid w:val="00095EE0"/>
    <w:rsid w:val="00096124"/>
    <w:rsid w:val="00096142"/>
    <w:rsid w:val="000971A7"/>
    <w:rsid w:val="000A16D4"/>
    <w:rsid w:val="000A2470"/>
    <w:rsid w:val="000A2FEF"/>
    <w:rsid w:val="000A3621"/>
    <w:rsid w:val="000A491F"/>
    <w:rsid w:val="000A5295"/>
    <w:rsid w:val="000A53C7"/>
    <w:rsid w:val="000A6743"/>
    <w:rsid w:val="000B0075"/>
    <w:rsid w:val="000B4687"/>
    <w:rsid w:val="000B4988"/>
    <w:rsid w:val="000B79B3"/>
    <w:rsid w:val="000B7E32"/>
    <w:rsid w:val="000C0584"/>
    <w:rsid w:val="000C0AB5"/>
    <w:rsid w:val="000C0B29"/>
    <w:rsid w:val="000C1E49"/>
    <w:rsid w:val="000C2AF6"/>
    <w:rsid w:val="000C2E4B"/>
    <w:rsid w:val="000C2EF2"/>
    <w:rsid w:val="000C73E1"/>
    <w:rsid w:val="000C7A98"/>
    <w:rsid w:val="000D189F"/>
    <w:rsid w:val="000D1ABC"/>
    <w:rsid w:val="000D230C"/>
    <w:rsid w:val="000D40FE"/>
    <w:rsid w:val="000D4C74"/>
    <w:rsid w:val="000D4F2B"/>
    <w:rsid w:val="000D5E05"/>
    <w:rsid w:val="000D670A"/>
    <w:rsid w:val="000D6B51"/>
    <w:rsid w:val="000D7D00"/>
    <w:rsid w:val="000D7F8F"/>
    <w:rsid w:val="000E0944"/>
    <w:rsid w:val="000E10EA"/>
    <w:rsid w:val="000E1718"/>
    <w:rsid w:val="000E1BC1"/>
    <w:rsid w:val="000E2B80"/>
    <w:rsid w:val="000E32BB"/>
    <w:rsid w:val="000E4AC7"/>
    <w:rsid w:val="000E60D1"/>
    <w:rsid w:val="000E6764"/>
    <w:rsid w:val="000E710C"/>
    <w:rsid w:val="000E779D"/>
    <w:rsid w:val="000F008A"/>
    <w:rsid w:val="000F065E"/>
    <w:rsid w:val="000F0B24"/>
    <w:rsid w:val="000F178E"/>
    <w:rsid w:val="000F2197"/>
    <w:rsid w:val="000F2B9A"/>
    <w:rsid w:val="000F3BB5"/>
    <w:rsid w:val="000F493E"/>
    <w:rsid w:val="000F4B18"/>
    <w:rsid w:val="000F5554"/>
    <w:rsid w:val="000F6889"/>
    <w:rsid w:val="000F7F56"/>
    <w:rsid w:val="001011BD"/>
    <w:rsid w:val="0010168F"/>
    <w:rsid w:val="001057DE"/>
    <w:rsid w:val="0010659B"/>
    <w:rsid w:val="001076E7"/>
    <w:rsid w:val="00111B3C"/>
    <w:rsid w:val="001129F7"/>
    <w:rsid w:val="0011336E"/>
    <w:rsid w:val="0011407D"/>
    <w:rsid w:val="001140E6"/>
    <w:rsid w:val="001142AE"/>
    <w:rsid w:val="001147B9"/>
    <w:rsid w:val="00114FE0"/>
    <w:rsid w:val="001153B9"/>
    <w:rsid w:val="00115D14"/>
    <w:rsid w:val="00116F73"/>
    <w:rsid w:val="001214A8"/>
    <w:rsid w:val="00121F54"/>
    <w:rsid w:val="00122ED3"/>
    <w:rsid w:val="00123C58"/>
    <w:rsid w:val="001262D8"/>
    <w:rsid w:val="00127345"/>
    <w:rsid w:val="00130044"/>
    <w:rsid w:val="00130C66"/>
    <w:rsid w:val="0013163D"/>
    <w:rsid w:val="00133248"/>
    <w:rsid w:val="00133CA3"/>
    <w:rsid w:val="00133F5B"/>
    <w:rsid w:val="00137216"/>
    <w:rsid w:val="00140211"/>
    <w:rsid w:val="0014046C"/>
    <w:rsid w:val="00141A39"/>
    <w:rsid w:val="00142258"/>
    <w:rsid w:val="00144AD9"/>
    <w:rsid w:val="00145A14"/>
    <w:rsid w:val="00146ADA"/>
    <w:rsid w:val="001470B3"/>
    <w:rsid w:val="00147CB5"/>
    <w:rsid w:val="00151367"/>
    <w:rsid w:val="00152589"/>
    <w:rsid w:val="001527D6"/>
    <w:rsid w:val="00152C29"/>
    <w:rsid w:val="00153A68"/>
    <w:rsid w:val="00154FE7"/>
    <w:rsid w:val="0015615F"/>
    <w:rsid w:val="0015634D"/>
    <w:rsid w:val="00156E92"/>
    <w:rsid w:val="00157504"/>
    <w:rsid w:val="00160766"/>
    <w:rsid w:val="001612A4"/>
    <w:rsid w:val="001636D4"/>
    <w:rsid w:val="00163C47"/>
    <w:rsid w:val="001643B5"/>
    <w:rsid w:val="00164760"/>
    <w:rsid w:val="00166197"/>
    <w:rsid w:val="00166800"/>
    <w:rsid w:val="00166847"/>
    <w:rsid w:val="001673A3"/>
    <w:rsid w:val="00167879"/>
    <w:rsid w:val="00167928"/>
    <w:rsid w:val="00170A5D"/>
    <w:rsid w:val="00170A9B"/>
    <w:rsid w:val="00170E01"/>
    <w:rsid w:val="001717F7"/>
    <w:rsid w:val="0017288A"/>
    <w:rsid w:val="00172BCA"/>
    <w:rsid w:val="0017653C"/>
    <w:rsid w:val="00176AFD"/>
    <w:rsid w:val="00176B4A"/>
    <w:rsid w:val="00180743"/>
    <w:rsid w:val="00182610"/>
    <w:rsid w:val="00185818"/>
    <w:rsid w:val="0018728B"/>
    <w:rsid w:val="001875E8"/>
    <w:rsid w:val="001901EC"/>
    <w:rsid w:val="0019456E"/>
    <w:rsid w:val="001960F3"/>
    <w:rsid w:val="00196811"/>
    <w:rsid w:val="00196AFB"/>
    <w:rsid w:val="001A5511"/>
    <w:rsid w:val="001A5BBA"/>
    <w:rsid w:val="001A6E4B"/>
    <w:rsid w:val="001B2476"/>
    <w:rsid w:val="001B257E"/>
    <w:rsid w:val="001C0CF2"/>
    <w:rsid w:val="001C121F"/>
    <w:rsid w:val="001C180E"/>
    <w:rsid w:val="001C195D"/>
    <w:rsid w:val="001C2D91"/>
    <w:rsid w:val="001C3B27"/>
    <w:rsid w:val="001C43D8"/>
    <w:rsid w:val="001C4E5A"/>
    <w:rsid w:val="001C54A9"/>
    <w:rsid w:val="001C57D2"/>
    <w:rsid w:val="001C5BF8"/>
    <w:rsid w:val="001C613D"/>
    <w:rsid w:val="001C6F9C"/>
    <w:rsid w:val="001C6FBA"/>
    <w:rsid w:val="001D009D"/>
    <w:rsid w:val="001D02E8"/>
    <w:rsid w:val="001D0698"/>
    <w:rsid w:val="001D20B9"/>
    <w:rsid w:val="001D2C39"/>
    <w:rsid w:val="001D421D"/>
    <w:rsid w:val="001D5297"/>
    <w:rsid w:val="001D58C6"/>
    <w:rsid w:val="001D5A0B"/>
    <w:rsid w:val="001D5E7E"/>
    <w:rsid w:val="001D64A6"/>
    <w:rsid w:val="001D6CC1"/>
    <w:rsid w:val="001D6FC7"/>
    <w:rsid w:val="001D7129"/>
    <w:rsid w:val="001D7356"/>
    <w:rsid w:val="001D7C3B"/>
    <w:rsid w:val="001D7DEC"/>
    <w:rsid w:val="001D7F6C"/>
    <w:rsid w:val="001E0A16"/>
    <w:rsid w:val="001E1916"/>
    <w:rsid w:val="001E1C1E"/>
    <w:rsid w:val="001E3DF8"/>
    <w:rsid w:val="001E53D8"/>
    <w:rsid w:val="001E5587"/>
    <w:rsid w:val="001E657A"/>
    <w:rsid w:val="001E67F2"/>
    <w:rsid w:val="001E67FA"/>
    <w:rsid w:val="001E6F10"/>
    <w:rsid w:val="001E7855"/>
    <w:rsid w:val="001E7D40"/>
    <w:rsid w:val="001F06D5"/>
    <w:rsid w:val="001F146D"/>
    <w:rsid w:val="001F163A"/>
    <w:rsid w:val="001F1FCA"/>
    <w:rsid w:val="001F4760"/>
    <w:rsid w:val="001F686F"/>
    <w:rsid w:val="001F78FA"/>
    <w:rsid w:val="001F7B7C"/>
    <w:rsid w:val="001F7C95"/>
    <w:rsid w:val="001F7FEE"/>
    <w:rsid w:val="00201D15"/>
    <w:rsid w:val="00202FE3"/>
    <w:rsid w:val="002036C5"/>
    <w:rsid w:val="00203E30"/>
    <w:rsid w:val="00204FA7"/>
    <w:rsid w:val="002056F7"/>
    <w:rsid w:val="00205891"/>
    <w:rsid w:val="00205B9C"/>
    <w:rsid w:val="00205C72"/>
    <w:rsid w:val="002063AD"/>
    <w:rsid w:val="00206A89"/>
    <w:rsid w:val="00207FDE"/>
    <w:rsid w:val="002101E6"/>
    <w:rsid w:val="00210822"/>
    <w:rsid w:val="00210DDE"/>
    <w:rsid w:val="0021550E"/>
    <w:rsid w:val="00216F8A"/>
    <w:rsid w:val="002200FB"/>
    <w:rsid w:val="00220B10"/>
    <w:rsid w:val="00221A00"/>
    <w:rsid w:val="0022220B"/>
    <w:rsid w:val="0022369A"/>
    <w:rsid w:val="002243E0"/>
    <w:rsid w:val="0022583F"/>
    <w:rsid w:val="002300ED"/>
    <w:rsid w:val="002308B6"/>
    <w:rsid w:val="00230F90"/>
    <w:rsid w:val="00231E69"/>
    <w:rsid w:val="00232E51"/>
    <w:rsid w:val="002341C4"/>
    <w:rsid w:val="00234A99"/>
    <w:rsid w:val="00234D9A"/>
    <w:rsid w:val="00235A6A"/>
    <w:rsid w:val="0023631D"/>
    <w:rsid w:val="002373FB"/>
    <w:rsid w:val="0024029B"/>
    <w:rsid w:val="00240937"/>
    <w:rsid w:val="00241080"/>
    <w:rsid w:val="002422C3"/>
    <w:rsid w:val="00245C20"/>
    <w:rsid w:val="00246014"/>
    <w:rsid w:val="00246438"/>
    <w:rsid w:val="00246D9F"/>
    <w:rsid w:val="00247C33"/>
    <w:rsid w:val="00253183"/>
    <w:rsid w:val="00253B65"/>
    <w:rsid w:val="00253E3B"/>
    <w:rsid w:val="00253EAE"/>
    <w:rsid w:val="00254629"/>
    <w:rsid w:val="002564D4"/>
    <w:rsid w:val="00256BD1"/>
    <w:rsid w:val="0025786B"/>
    <w:rsid w:val="00257F45"/>
    <w:rsid w:val="00260217"/>
    <w:rsid w:val="00262521"/>
    <w:rsid w:val="00263011"/>
    <w:rsid w:val="002638A9"/>
    <w:rsid w:val="00265B30"/>
    <w:rsid w:val="00265E33"/>
    <w:rsid w:val="00266F69"/>
    <w:rsid w:val="00270DE6"/>
    <w:rsid w:val="00271C44"/>
    <w:rsid w:val="00271C50"/>
    <w:rsid w:val="002725F0"/>
    <w:rsid w:val="002728ED"/>
    <w:rsid w:val="002736A7"/>
    <w:rsid w:val="00273B88"/>
    <w:rsid w:val="00274129"/>
    <w:rsid w:val="0027447D"/>
    <w:rsid w:val="002746CA"/>
    <w:rsid w:val="00275D1B"/>
    <w:rsid w:val="00276251"/>
    <w:rsid w:val="00276265"/>
    <w:rsid w:val="0027656E"/>
    <w:rsid w:val="00276DC8"/>
    <w:rsid w:val="0027720D"/>
    <w:rsid w:val="002774DE"/>
    <w:rsid w:val="00281F6F"/>
    <w:rsid w:val="00282FD0"/>
    <w:rsid w:val="00283F42"/>
    <w:rsid w:val="00284E19"/>
    <w:rsid w:val="002859A8"/>
    <w:rsid w:val="00285BF3"/>
    <w:rsid w:val="00286988"/>
    <w:rsid w:val="00286B08"/>
    <w:rsid w:val="00286E04"/>
    <w:rsid w:val="00287C83"/>
    <w:rsid w:val="0029074C"/>
    <w:rsid w:val="00290D51"/>
    <w:rsid w:val="0029174C"/>
    <w:rsid w:val="00291A7B"/>
    <w:rsid w:val="00291B8A"/>
    <w:rsid w:val="00291F46"/>
    <w:rsid w:val="0029389C"/>
    <w:rsid w:val="00294118"/>
    <w:rsid w:val="002966E1"/>
    <w:rsid w:val="00296B4A"/>
    <w:rsid w:val="002A2C4D"/>
    <w:rsid w:val="002A33CC"/>
    <w:rsid w:val="002A3437"/>
    <w:rsid w:val="002A3C8C"/>
    <w:rsid w:val="002A4155"/>
    <w:rsid w:val="002A43CD"/>
    <w:rsid w:val="002A450A"/>
    <w:rsid w:val="002A48A1"/>
    <w:rsid w:val="002A4FBB"/>
    <w:rsid w:val="002A5E98"/>
    <w:rsid w:val="002A6122"/>
    <w:rsid w:val="002A74D6"/>
    <w:rsid w:val="002B2237"/>
    <w:rsid w:val="002B24E1"/>
    <w:rsid w:val="002B40BC"/>
    <w:rsid w:val="002B43E6"/>
    <w:rsid w:val="002B4633"/>
    <w:rsid w:val="002B4BFD"/>
    <w:rsid w:val="002B4D96"/>
    <w:rsid w:val="002B557A"/>
    <w:rsid w:val="002B6BA9"/>
    <w:rsid w:val="002B6D43"/>
    <w:rsid w:val="002B7E37"/>
    <w:rsid w:val="002C0BFB"/>
    <w:rsid w:val="002C2FF1"/>
    <w:rsid w:val="002C316B"/>
    <w:rsid w:val="002C37C8"/>
    <w:rsid w:val="002C4DA4"/>
    <w:rsid w:val="002C516D"/>
    <w:rsid w:val="002C568F"/>
    <w:rsid w:val="002C6384"/>
    <w:rsid w:val="002C6EAF"/>
    <w:rsid w:val="002D0BFE"/>
    <w:rsid w:val="002D27D4"/>
    <w:rsid w:val="002D2952"/>
    <w:rsid w:val="002D2CA7"/>
    <w:rsid w:val="002D2D4A"/>
    <w:rsid w:val="002D379D"/>
    <w:rsid w:val="002D47C1"/>
    <w:rsid w:val="002D49FD"/>
    <w:rsid w:val="002E2FD7"/>
    <w:rsid w:val="002E34CA"/>
    <w:rsid w:val="002E3E49"/>
    <w:rsid w:val="002E3F98"/>
    <w:rsid w:val="002E4508"/>
    <w:rsid w:val="002E5167"/>
    <w:rsid w:val="002E5978"/>
    <w:rsid w:val="002E5E57"/>
    <w:rsid w:val="002E681E"/>
    <w:rsid w:val="002E72F8"/>
    <w:rsid w:val="002E72FD"/>
    <w:rsid w:val="002F0416"/>
    <w:rsid w:val="002F0835"/>
    <w:rsid w:val="002F0B8E"/>
    <w:rsid w:val="002F169C"/>
    <w:rsid w:val="002F1D90"/>
    <w:rsid w:val="002F1E40"/>
    <w:rsid w:val="002F2B55"/>
    <w:rsid w:val="002F3487"/>
    <w:rsid w:val="002F3FF4"/>
    <w:rsid w:val="002F476F"/>
    <w:rsid w:val="002F4A6E"/>
    <w:rsid w:val="002F5253"/>
    <w:rsid w:val="002F6205"/>
    <w:rsid w:val="002F7295"/>
    <w:rsid w:val="003014F7"/>
    <w:rsid w:val="00302B56"/>
    <w:rsid w:val="003040BA"/>
    <w:rsid w:val="00304176"/>
    <w:rsid w:val="0030503E"/>
    <w:rsid w:val="00305FD9"/>
    <w:rsid w:val="00306E75"/>
    <w:rsid w:val="00306F7D"/>
    <w:rsid w:val="00307616"/>
    <w:rsid w:val="00310F94"/>
    <w:rsid w:val="00312EAE"/>
    <w:rsid w:val="00315555"/>
    <w:rsid w:val="0031658D"/>
    <w:rsid w:val="003172A6"/>
    <w:rsid w:val="003178AD"/>
    <w:rsid w:val="003200D8"/>
    <w:rsid w:val="003202CB"/>
    <w:rsid w:val="00320384"/>
    <w:rsid w:val="0032074D"/>
    <w:rsid w:val="00320C0C"/>
    <w:rsid w:val="00320DC8"/>
    <w:rsid w:val="00321273"/>
    <w:rsid w:val="00322E5E"/>
    <w:rsid w:val="003237D6"/>
    <w:rsid w:val="003239F4"/>
    <w:rsid w:val="00326CB2"/>
    <w:rsid w:val="00327D0D"/>
    <w:rsid w:val="003315C6"/>
    <w:rsid w:val="00331989"/>
    <w:rsid w:val="00331B6D"/>
    <w:rsid w:val="003332D1"/>
    <w:rsid w:val="00333382"/>
    <w:rsid w:val="00333CFE"/>
    <w:rsid w:val="0033473F"/>
    <w:rsid w:val="003412BE"/>
    <w:rsid w:val="003412C9"/>
    <w:rsid w:val="00341ABB"/>
    <w:rsid w:val="00341E3C"/>
    <w:rsid w:val="003428DA"/>
    <w:rsid w:val="0034341F"/>
    <w:rsid w:val="00344C63"/>
    <w:rsid w:val="00344E03"/>
    <w:rsid w:val="0034588A"/>
    <w:rsid w:val="00345D07"/>
    <w:rsid w:val="00351332"/>
    <w:rsid w:val="003526EC"/>
    <w:rsid w:val="00352CC0"/>
    <w:rsid w:val="0035349F"/>
    <w:rsid w:val="0035381A"/>
    <w:rsid w:val="00353D3C"/>
    <w:rsid w:val="003546DA"/>
    <w:rsid w:val="00356431"/>
    <w:rsid w:val="003567FE"/>
    <w:rsid w:val="003572D6"/>
    <w:rsid w:val="00357509"/>
    <w:rsid w:val="00360320"/>
    <w:rsid w:val="00361E5B"/>
    <w:rsid w:val="0036258F"/>
    <w:rsid w:val="00362C78"/>
    <w:rsid w:val="003646FA"/>
    <w:rsid w:val="003661E9"/>
    <w:rsid w:val="003665A0"/>
    <w:rsid w:val="00366872"/>
    <w:rsid w:val="00366FF1"/>
    <w:rsid w:val="003677BF"/>
    <w:rsid w:val="00367CC6"/>
    <w:rsid w:val="00370C30"/>
    <w:rsid w:val="003737F2"/>
    <w:rsid w:val="00373AF1"/>
    <w:rsid w:val="003745A8"/>
    <w:rsid w:val="003750BC"/>
    <w:rsid w:val="00375327"/>
    <w:rsid w:val="003755C2"/>
    <w:rsid w:val="003765BA"/>
    <w:rsid w:val="00377459"/>
    <w:rsid w:val="003776A1"/>
    <w:rsid w:val="00380071"/>
    <w:rsid w:val="003800F2"/>
    <w:rsid w:val="00380333"/>
    <w:rsid w:val="003808AA"/>
    <w:rsid w:val="00382E9D"/>
    <w:rsid w:val="00383252"/>
    <w:rsid w:val="0038326C"/>
    <w:rsid w:val="003839FC"/>
    <w:rsid w:val="00383D51"/>
    <w:rsid w:val="00385185"/>
    <w:rsid w:val="00385442"/>
    <w:rsid w:val="00385876"/>
    <w:rsid w:val="003863B0"/>
    <w:rsid w:val="00386853"/>
    <w:rsid w:val="00390292"/>
    <w:rsid w:val="00391AD5"/>
    <w:rsid w:val="00392BDC"/>
    <w:rsid w:val="003952C2"/>
    <w:rsid w:val="00395625"/>
    <w:rsid w:val="0039628C"/>
    <w:rsid w:val="003972B5"/>
    <w:rsid w:val="00397D5E"/>
    <w:rsid w:val="003A0DEF"/>
    <w:rsid w:val="003A1A55"/>
    <w:rsid w:val="003A2B1E"/>
    <w:rsid w:val="003A2D7F"/>
    <w:rsid w:val="003A59A2"/>
    <w:rsid w:val="003A604C"/>
    <w:rsid w:val="003A65AB"/>
    <w:rsid w:val="003B0020"/>
    <w:rsid w:val="003B0419"/>
    <w:rsid w:val="003B2C8E"/>
    <w:rsid w:val="003B3BF1"/>
    <w:rsid w:val="003B4FAB"/>
    <w:rsid w:val="003B5F1F"/>
    <w:rsid w:val="003B6E45"/>
    <w:rsid w:val="003B765A"/>
    <w:rsid w:val="003B7773"/>
    <w:rsid w:val="003C00D4"/>
    <w:rsid w:val="003C0417"/>
    <w:rsid w:val="003C1C6C"/>
    <w:rsid w:val="003C230A"/>
    <w:rsid w:val="003C24D5"/>
    <w:rsid w:val="003C265D"/>
    <w:rsid w:val="003C3495"/>
    <w:rsid w:val="003C3A53"/>
    <w:rsid w:val="003C3F39"/>
    <w:rsid w:val="003C4019"/>
    <w:rsid w:val="003C439A"/>
    <w:rsid w:val="003C4705"/>
    <w:rsid w:val="003C493B"/>
    <w:rsid w:val="003C4FF2"/>
    <w:rsid w:val="003C58E7"/>
    <w:rsid w:val="003C5DB8"/>
    <w:rsid w:val="003C7803"/>
    <w:rsid w:val="003D09DC"/>
    <w:rsid w:val="003D0C0F"/>
    <w:rsid w:val="003D12C8"/>
    <w:rsid w:val="003D41FC"/>
    <w:rsid w:val="003D54A7"/>
    <w:rsid w:val="003D56D0"/>
    <w:rsid w:val="003D6A0C"/>
    <w:rsid w:val="003D765D"/>
    <w:rsid w:val="003D7C05"/>
    <w:rsid w:val="003E0025"/>
    <w:rsid w:val="003E0A2D"/>
    <w:rsid w:val="003E1940"/>
    <w:rsid w:val="003E3970"/>
    <w:rsid w:val="003E4650"/>
    <w:rsid w:val="003E5952"/>
    <w:rsid w:val="003E60B2"/>
    <w:rsid w:val="003E7C2F"/>
    <w:rsid w:val="003F09C1"/>
    <w:rsid w:val="003F1557"/>
    <w:rsid w:val="003F5783"/>
    <w:rsid w:val="003F6C5E"/>
    <w:rsid w:val="003F72CD"/>
    <w:rsid w:val="003F7530"/>
    <w:rsid w:val="004002CF"/>
    <w:rsid w:val="004002D9"/>
    <w:rsid w:val="00400FAE"/>
    <w:rsid w:val="004010C7"/>
    <w:rsid w:val="004015B8"/>
    <w:rsid w:val="00401688"/>
    <w:rsid w:val="004027D5"/>
    <w:rsid w:val="00404307"/>
    <w:rsid w:val="00406246"/>
    <w:rsid w:val="00406687"/>
    <w:rsid w:val="00406935"/>
    <w:rsid w:val="00407253"/>
    <w:rsid w:val="004076A8"/>
    <w:rsid w:val="0040793A"/>
    <w:rsid w:val="00411DA8"/>
    <w:rsid w:val="00412371"/>
    <w:rsid w:val="004134E6"/>
    <w:rsid w:val="0041398E"/>
    <w:rsid w:val="004163A2"/>
    <w:rsid w:val="00417252"/>
    <w:rsid w:val="00420402"/>
    <w:rsid w:val="00421583"/>
    <w:rsid w:val="004220C1"/>
    <w:rsid w:val="00423A24"/>
    <w:rsid w:val="00423B0D"/>
    <w:rsid w:val="00423B3C"/>
    <w:rsid w:val="00424359"/>
    <w:rsid w:val="004243A3"/>
    <w:rsid w:val="00424A7A"/>
    <w:rsid w:val="00426D30"/>
    <w:rsid w:val="00426EE8"/>
    <w:rsid w:val="004271DE"/>
    <w:rsid w:val="00427800"/>
    <w:rsid w:val="00430870"/>
    <w:rsid w:val="004308A8"/>
    <w:rsid w:val="00431307"/>
    <w:rsid w:val="0043638B"/>
    <w:rsid w:val="004368BE"/>
    <w:rsid w:val="00436ACE"/>
    <w:rsid w:val="00436B6E"/>
    <w:rsid w:val="004377CD"/>
    <w:rsid w:val="00437FA8"/>
    <w:rsid w:val="004405D6"/>
    <w:rsid w:val="00442BBD"/>
    <w:rsid w:val="0044415C"/>
    <w:rsid w:val="00446A36"/>
    <w:rsid w:val="00450370"/>
    <w:rsid w:val="004518A4"/>
    <w:rsid w:val="00452256"/>
    <w:rsid w:val="00452FD7"/>
    <w:rsid w:val="0045304D"/>
    <w:rsid w:val="00453A51"/>
    <w:rsid w:val="00455555"/>
    <w:rsid w:val="004555DD"/>
    <w:rsid w:val="00457384"/>
    <w:rsid w:val="004573E3"/>
    <w:rsid w:val="00457E68"/>
    <w:rsid w:val="00463C86"/>
    <w:rsid w:val="004678A4"/>
    <w:rsid w:val="00467DC8"/>
    <w:rsid w:val="00470519"/>
    <w:rsid w:val="00470923"/>
    <w:rsid w:val="00472B7E"/>
    <w:rsid w:val="00472DD5"/>
    <w:rsid w:val="00472E0B"/>
    <w:rsid w:val="00474B39"/>
    <w:rsid w:val="0047509D"/>
    <w:rsid w:val="004769E8"/>
    <w:rsid w:val="00476B4E"/>
    <w:rsid w:val="00476F03"/>
    <w:rsid w:val="00477718"/>
    <w:rsid w:val="00477C2B"/>
    <w:rsid w:val="00477C6A"/>
    <w:rsid w:val="00480EA4"/>
    <w:rsid w:val="0048176A"/>
    <w:rsid w:val="00482069"/>
    <w:rsid w:val="004821BB"/>
    <w:rsid w:val="0048263A"/>
    <w:rsid w:val="0048282C"/>
    <w:rsid w:val="00482B82"/>
    <w:rsid w:val="0048352A"/>
    <w:rsid w:val="00483922"/>
    <w:rsid w:val="00483956"/>
    <w:rsid w:val="004856F6"/>
    <w:rsid w:val="00486B12"/>
    <w:rsid w:val="00486B60"/>
    <w:rsid w:val="00487F00"/>
    <w:rsid w:val="00490688"/>
    <w:rsid w:val="00490E52"/>
    <w:rsid w:val="0049134E"/>
    <w:rsid w:val="0049378B"/>
    <w:rsid w:val="00494856"/>
    <w:rsid w:val="004948F5"/>
    <w:rsid w:val="004964F8"/>
    <w:rsid w:val="0049746E"/>
    <w:rsid w:val="004A05F1"/>
    <w:rsid w:val="004A1DE7"/>
    <w:rsid w:val="004A3EBA"/>
    <w:rsid w:val="004A53FF"/>
    <w:rsid w:val="004A5F93"/>
    <w:rsid w:val="004A67A2"/>
    <w:rsid w:val="004B04A9"/>
    <w:rsid w:val="004B077F"/>
    <w:rsid w:val="004B138E"/>
    <w:rsid w:val="004B1510"/>
    <w:rsid w:val="004B305F"/>
    <w:rsid w:val="004B3085"/>
    <w:rsid w:val="004B553F"/>
    <w:rsid w:val="004B6212"/>
    <w:rsid w:val="004B6530"/>
    <w:rsid w:val="004B73F1"/>
    <w:rsid w:val="004B77AA"/>
    <w:rsid w:val="004B7C2B"/>
    <w:rsid w:val="004C039B"/>
    <w:rsid w:val="004C179A"/>
    <w:rsid w:val="004C1BC2"/>
    <w:rsid w:val="004C23E6"/>
    <w:rsid w:val="004C40F8"/>
    <w:rsid w:val="004C4459"/>
    <w:rsid w:val="004C5112"/>
    <w:rsid w:val="004C51DE"/>
    <w:rsid w:val="004C559B"/>
    <w:rsid w:val="004C5765"/>
    <w:rsid w:val="004C6DC0"/>
    <w:rsid w:val="004D1828"/>
    <w:rsid w:val="004D1ED8"/>
    <w:rsid w:val="004D26DD"/>
    <w:rsid w:val="004D2CD6"/>
    <w:rsid w:val="004D3B81"/>
    <w:rsid w:val="004D43CA"/>
    <w:rsid w:val="004D48BE"/>
    <w:rsid w:val="004D5DFB"/>
    <w:rsid w:val="004D62F3"/>
    <w:rsid w:val="004D6509"/>
    <w:rsid w:val="004D6EEE"/>
    <w:rsid w:val="004D6F7F"/>
    <w:rsid w:val="004E1862"/>
    <w:rsid w:val="004E250B"/>
    <w:rsid w:val="004E35FB"/>
    <w:rsid w:val="004E4062"/>
    <w:rsid w:val="004E40D8"/>
    <w:rsid w:val="004E445A"/>
    <w:rsid w:val="004E4CF2"/>
    <w:rsid w:val="004E6011"/>
    <w:rsid w:val="004E6238"/>
    <w:rsid w:val="004E6C18"/>
    <w:rsid w:val="004E7AAF"/>
    <w:rsid w:val="004F042D"/>
    <w:rsid w:val="004F065A"/>
    <w:rsid w:val="004F0DC6"/>
    <w:rsid w:val="004F30CC"/>
    <w:rsid w:val="004F75C1"/>
    <w:rsid w:val="004F7FBC"/>
    <w:rsid w:val="00501155"/>
    <w:rsid w:val="005046B4"/>
    <w:rsid w:val="00510925"/>
    <w:rsid w:val="00511EF6"/>
    <w:rsid w:val="005138F4"/>
    <w:rsid w:val="00514056"/>
    <w:rsid w:val="00515120"/>
    <w:rsid w:val="00515FDF"/>
    <w:rsid w:val="00516B57"/>
    <w:rsid w:val="00516DB6"/>
    <w:rsid w:val="00517187"/>
    <w:rsid w:val="00517BEE"/>
    <w:rsid w:val="00520DD0"/>
    <w:rsid w:val="00521555"/>
    <w:rsid w:val="005224BA"/>
    <w:rsid w:val="005253AD"/>
    <w:rsid w:val="005253E7"/>
    <w:rsid w:val="00525C55"/>
    <w:rsid w:val="00525DAC"/>
    <w:rsid w:val="00525F19"/>
    <w:rsid w:val="00530ED7"/>
    <w:rsid w:val="00531B1D"/>
    <w:rsid w:val="00533EB2"/>
    <w:rsid w:val="005345FE"/>
    <w:rsid w:val="0053536F"/>
    <w:rsid w:val="00537395"/>
    <w:rsid w:val="005406EE"/>
    <w:rsid w:val="00540EC9"/>
    <w:rsid w:val="0054254D"/>
    <w:rsid w:val="00543E83"/>
    <w:rsid w:val="00547106"/>
    <w:rsid w:val="00547142"/>
    <w:rsid w:val="00547F02"/>
    <w:rsid w:val="005510E0"/>
    <w:rsid w:val="005514B9"/>
    <w:rsid w:val="0055183F"/>
    <w:rsid w:val="00551F9D"/>
    <w:rsid w:val="0055291F"/>
    <w:rsid w:val="00552A46"/>
    <w:rsid w:val="00552A93"/>
    <w:rsid w:val="00552B78"/>
    <w:rsid w:val="005534D5"/>
    <w:rsid w:val="00556AFC"/>
    <w:rsid w:val="00557D0C"/>
    <w:rsid w:val="00557FFA"/>
    <w:rsid w:val="00560779"/>
    <w:rsid w:val="00560940"/>
    <w:rsid w:val="00560D24"/>
    <w:rsid w:val="005610F8"/>
    <w:rsid w:val="005624FC"/>
    <w:rsid w:val="005626E1"/>
    <w:rsid w:val="00566DC7"/>
    <w:rsid w:val="00570D42"/>
    <w:rsid w:val="00571C61"/>
    <w:rsid w:val="0057214C"/>
    <w:rsid w:val="00572489"/>
    <w:rsid w:val="00573F04"/>
    <w:rsid w:val="00574A7E"/>
    <w:rsid w:val="00576368"/>
    <w:rsid w:val="00580093"/>
    <w:rsid w:val="005801CD"/>
    <w:rsid w:val="00581D26"/>
    <w:rsid w:val="00582198"/>
    <w:rsid w:val="00582856"/>
    <w:rsid w:val="00584260"/>
    <w:rsid w:val="005844DA"/>
    <w:rsid w:val="00585548"/>
    <w:rsid w:val="00585BED"/>
    <w:rsid w:val="00586E0E"/>
    <w:rsid w:val="00587531"/>
    <w:rsid w:val="00590D9F"/>
    <w:rsid w:val="005912A1"/>
    <w:rsid w:val="00592A7F"/>
    <w:rsid w:val="00594F15"/>
    <w:rsid w:val="005959D6"/>
    <w:rsid w:val="00595B4A"/>
    <w:rsid w:val="00596821"/>
    <w:rsid w:val="005A1002"/>
    <w:rsid w:val="005A21B3"/>
    <w:rsid w:val="005A3808"/>
    <w:rsid w:val="005A4EBA"/>
    <w:rsid w:val="005A699E"/>
    <w:rsid w:val="005A725F"/>
    <w:rsid w:val="005A7EA1"/>
    <w:rsid w:val="005B02F6"/>
    <w:rsid w:val="005B057B"/>
    <w:rsid w:val="005B0EB6"/>
    <w:rsid w:val="005B121C"/>
    <w:rsid w:val="005B1837"/>
    <w:rsid w:val="005B340D"/>
    <w:rsid w:val="005B4424"/>
    <w:rsid w:val="005B5252"/>
    <w:rsid w:val="005B6619"/>
    <w:rsid w:val="005B6688"/>
    <w:rsid w:val="005B6DE6"/>
    <w:rsid w:val="005C4061"/>
    <w:rsid w:val="005C4CC1"/>
    <w:rsid w:val="005C7423"/>
    <w:rsid w:val="005D036A"/>
    <w:rsid w:val="005D0ACB"/>
    <w:rsid w:val="005D0DEF"/>
    <w:rsid w:val="005D0E48"/>
    <w:rsid w:val="005D199F"/>
    <w:rsid w:val="005D231A"/>
    <w:rsid w:val="005D34F1"/>
    <w:rsid w:val="005D3A87"/>
    <w:rsid w:val="005D3E8B"/>
    <w:rsid w:val="005D401C"/>
    <w:rsid w:val="005D4A60"/>
    <w:rsid w:val="005D4B48"/>
    <w:rsid w:val="005D5387"/>
    <w:rsid w:val="005D53CB"/>
    <w:rsid w:val="005D58A0"/>
    <w:rsid w:val="005D64D1"/>
    <w:rsid w:val="005D6A06"/>
    <w:rsid w:val="005D7DB8"/>
    <w:rsid w:val="005E0A0C"/>
    <w:rsid w:val="005E180A"/>
    <w:rsid w:val="005E1AB0"/>
    <w:rsid w:val="005E1B0B"/>
    <w:rsid w:val="005E2AE1"/>
    <w:rsid w:val="005E358D"/>
    <w:rsid w:val="005E3B57"/>
    <w:rsid w:val="005E4310"/>
    <w:rsid w:val="005E4A2F"/>
    <w:rsid w:val="005E6AB7"/>
    <w:rsid w:val="005E7B6E"/>
    <w:rsid w:val="005E7EDE"/>
    <w:rsid w:val="005F0A31"/>
    <w:rsid w:val="005F223D"/>
    <w:rsid w:val="005F279D"/>
    <w:rsid w:val="005F35AB"/>
    <w:rsid w:val="005F373B"/>
    <w:rsid w:val="005F3999"/>
    <w:rsid w:val="005F4916"/>
    <w:rsid w:val="005F5FE0"/>
    <w:rsid w:val="005F718F"/>
    <w:rsid w:val="005F794E"/>
    <w:rsid w:val="0060003E"/>
    <w:rsid w:val="00601754"/>
    <w:rsid w:val="00602268"/>
    <w:rsid w:val="00602378"/>
    <w:rsid w:val="006026B2"/>
    <w:rsid w:val="00603BFE"/>
    <w:rsid w:val="006057F3"/>
    <w:rsid w:val="00605FBF"/>
    <w:rsid w:val="006062D9"/>
    <w:rsid w:val="0060682A"/>
    <w:rsid w:val="006068D0"/>
    <w:rsid w:val="006078F0"/>
    <w:rsid w:val="00607A32"/>
    <w:rsid w:val="00607B29"/>
    <w:rsid w:val="0061011A"/>
    <w:rsid w:val="00610BC0"/>
    <w:rsid w:val="00611298"/>
    <w:rsid w:val="006122B0"/>
    <w:rsid w:val="00613549"/>
    <w:rsid w:val="00613610"/>
    <w:rsid w:val="00615DD2"/>
    <w:rsid w:val="0062093B"/>
    <w:rsid w:val="00620D15"/>
    <w:rsid w:val="0062127D"/>
    <w:rsid w:val="006222AD"/>
    <w:rsid w:val="006225E9"/>
    <w:rsid w:val="00623E32"/>
    <w:rsid w:val="006244E2"/>
    <w:rsid w:val="00624F18"/>
    <w:rsid w:val="00626605"/>
    <w:rsid w:val="00626747"/>
    <w:rsid w:val="00627365"/>
    <w:rsid w:val="006278F3"/>
    <w:rsid w:val="0063224F"/>
    <w:rsid w:val="00632ECC"/>
    <w:rsid w:val="00635DA5"/>
    <w:rsid w:val="0063743D"/>
    <w:rsid w:val="00640CA0"/>
    <w:rsid w:val="00641283"/>
    <w:rsid w:val="00641366"/>
    <w:rsid w:val="00641CC1"/>
    <w:rsid w:val="00641FA9"/>
    <w:rsid w:val="00642600"/>
    <w:rsid w:val="0064295A"/>
    <w:rsid w:val="0064329F"/>
    <w:rsid w:val="00644399"/>
    <w:rsid w:val="00644D58"/>
    <w:rsid w:val="006450CA"/>
    <w:rsid w:val="00645471"/>
    <w:rsid w:val="0064649E"/>
    <w:rsid w:val="00646C59"/>
    <w:rsid w:val="00652C08"/>
    <w:rsid w:val="00653ACD"/>
    <w:rsid w:val="0065755F"/>
    <w:rsid w:val="00657719"/>
    <w:rsid w:val="00657741"/>
    <w:rsid w:val="00657E0A"/>
    <w:rsid w:val="00660E11"/>
    <w:rsid w:val="006610A7"/>
    <w:rsid w:val="00661951"/>
    <w:rsid w:val="0066300B"/>
    <w:rsid w:val="0066380F"/>
    <w:rsid w:val="00663A2B"/>
    <w:rsid w:val="00664AE6"/>
    <w:rsid w:val="006650FB"/>
    <w:rsid w:val="00666088"/>
    <w:rsid w:val="00666C25"/>
    <w:rsid w:val="00666D7D"/>
    <w:rsid w:val="00666FEB"/>
    <w:rsid w:val="00667E6F"/>
    <w:rsid w:val="006701CA"/>
    <w:rsid w:val="00670712"/>
    <w:rsid w:val="00671462"/>
    <w:rsid w:val="006728DC"/>
    <w:rsid w:val="00672DDF"/>
    <w:rsid w:val="006738D7"/>
    <w:rsid w:val="00674436"/>
    <w:rsid w:val="00674A5D"/>
    <w:rsid w:val="00674F7A"/>
    <w:rsid w:val="00675089"/>
    <w:rsid w:val="00675F29"/>
    <w:rsid w:val="00675FD4"/>
    <w:rsid w:val="006769EA"/>
    <w:rsid w:val="006776D7"/>
    <w:rsid w:val="0068071D"/>
    <w:rsid w:val="006809CC"/>
    <w:rsid w:val="00681719"/>
    <w:rsid w:val="00682D5A"/>
    <w:rsid w:val="00684BC7"/>
    <w:rsid w:val="00684FFA"/>
    <w:rsid w:val="00685546"/>
    <w:rsid w:val="006855D2"/>
    <w:rsid w:val="0068698B"/>
    <w:rsid w:val="006871A7"/>
    <w:rsid w:val="0069386C"/>
    <w:rsid w:val="006950FA"/>
    <w:rsid w:val="006A13FE"/>
    <w:rsid w:val="006A287E"/>
    <w:rsid w:val="006A2E00"/>
    <w:rsid w:val="006A3090"/>
    <w:rsid w:val="006A3D60"/>
    <w:rsid w:val="006A4CB5"/>
    <w:rsid w:val="006A5E12"/>
    <w:rsid w:val="006A707A"/>
    <w:rsid w:val="006B0648"/>
    <w:rsid w:val="006B0B79"/>
    <w:rsid w:val="006B0BBA"/>
    <w:rsid w:val="006B27E7"/>
    <w:rsid w:val="006B3A37"/>
    <w:rsid w:val="006B547A"/>
    <w:rsid w:val="006C0030"/>
    <w:rsid w:val="006C021D"/>
    <w:rsid w:val="006C0C00"/>
    <w:rsid w:val="006C13B2"/>
    <w:rsid w:val="006C2601"/>
    <w:rsid w:val="006C319C"/>
    <w:rsid w:val="006C3F83"/>
    <w:rsid w:val="006C410E"/>
    <w:rsid w:val="006C5703"/>
    <w:rsid w:val="006C5762"/>
    <w:rsid w:val="006C5B54"/>
    <w:rsid w:val="006C6709"/>
    <w:rsid w:val="006C76C4"/>
    <w:rsid w:val="006C7F6B"/>
    <w:rsid w:val="006D0141"/>
    <w:rsid w:val="006D088C"/>
    <w:rsid w:val="006D21AC"/>
    <w:rsid w:val="006D2D52"/>
    <w:rsid w:val="006D2FB9"/>
    <w:rsid w:val="006D3CF4"/>
    <w:rsid w:val="006D54AD"/>
    <w:rsid w:val="006D5640"/>
    <w:rsid w:val="006D5739"/>
    <w:rsid w:val="006D5A0D"/>
    <w:rsid w:val="006D7B87"/>
    <w:rsid w:val="006E1559"/>
    <w:rsid w:val="006E2803"/>
    <w:rsid w:val="006E4188"/>
    <w:rsid w:val="006E72EE"/>
    <w:rsid w:val="006E791D"/>
    <w:rsid w:val="006F0621"/>
    <w:rsid w:val="006F0754"/>
    <w:rsid w:val="006F1A2D"/>
    <w:rsid w:val="006F1F5E"/>
    <w:rsid w:val="006F4074"/>
    <w:rsid w:val="006F4591"/>
    <w:rsid w:val="006F45C4"/>
    <w:rsid w:val="006F5610"/>
    <w:rsid w:val="006F7F6E"/>
    <w:rsid w:val="007017CD"/>
    <w:rsid w:val="00701D21"/>
    <w:rsid w:val="00706D7B"/>
    <w:rsid w:val="00707083"/>
    <w:rsid w:val="007106B1"/>
    <w:rsid w:val="00711EA7"/>
    <w:rsid w:val="00712105"/>
    <w:rsid w:val="00712C85"/>
    <w:rsid w:val="00713324"/>
    <w:rsid w:val="007135D8"/>
    <w:rsid w:val="00714449"/>
    <w:rsid w:val="007145ED"/>
    <w:rsid w:val="007150DB"/>
    <w:rsid w:val="00716075"/>
    <w:rsid w:val="00721603"/>
    <w:rsid w:val="007216FC"/>
    <w:rsid w:val="0072558D"/>
    <w:rsid w:val="00726D81"/>
    <w:rsid w:val="00730045"/>
    <w:rsid w:val="007308BD"/>
    <w:rsid w:val="00730E43"/>
    <w:rsid w:val="0073659E"/>
    <w:rsid w:val="00736B59"/>
    <w:rsid w:val="00737139"/>
    <w:rsid w:val="007412AD"/>
    <w:rsid w:val="00741891"/>
    <w:rsid w:val="00741C40"/>
    <w:rsid w:val="00743255"/>
    <w:rsid w:val="00743666"/>
    <w:rsid w:val="007444A9"/>
    <w:rsid w:val="007469B9"/>
    <w:rsid w:val="007503ED"/>
    <w:rsid w:val="007516FD"/>
    <w:rsid w:val="007544C0"/>
    <w:rsid w:val="007545CA"/>
    <w:rsid w:val="0075523D"/>
    <w:rsid w:val="0075618B"/>
    <w:rsid w:val="00756CDE"/>
    <w:rsid w:val="00760562"/>
    <w:rsid w:val="00760865"/>
    <w:rsid w:val="00760929"/>
    <w:rsid w:val="00760BCF"/>
    <w:rsid w:val="00760FD8"/>
    <w:rsid w:val="00761DF8"/>
    <w:rsid w:val="00762D8A"/>
    <w:rsid w:val="0076376D"/>
    <w:rsid w:val="00764CC9"/>
    <w:rsid w:val="00767BE7"/>
    <w:rsid w:val="0077033D"/>
    <w:rsid w:val="007708FD"/>
    <w:rsid w:val="0077132F"/>
    <w:rsid w:val="00772A50"/>
    <w:rsid w:val="0077301B"/>
    <w:rsid w:val="0077336B"/>
    <w:rsid w:val="0077489D"/>
    <w:rsid w:val="00775B22"/>
    <w:rsid w:val="00777446"/>
    <w:rsid w:val="007774E5"/>
    <w:rsid w:val="007775FA"/>
    <w:rsid w:val="007825B8"/>
    <w:rsid w:val="00783D7F"/>
    <w:rsid w:val="00784414"/>
    <w:rsid w:val="00784D37"/>
    <w:rsid w:val="00785DAA"/>
    <w:rsid w:val="00785F0C"/>
    <w:rsid w:val="00786C49"/>
    <w:rsid w:val="00787572"/>
    <w:rsid w:val="00787CF5"/>
    <w:rsid w:val="007901C9"/>
    <w:rsid w:val="00790438"/>
    <w:rsid w:val="00790DCD"/>
    <w:rsid w:val="00791E4D"/>
    <w:rsid w:val="00791E90"/>
    <w:rsid w:val="00792741"/>
    <w:rsid w:val="00793371"/>
    <w:rsid w:val="0079419C"/>
    <w:rsid w:val="007945D0"/>
    <w:rsid w:val="00794B96"/>
    <w:rsid w:val="007974A1"/>
    <w:rsid w:val="00797D6C"/>
    <w:rsid w:val="007A01F4"/>
    <w:rsid w:val="007A0A3B"/>
    <w:rsid w:val="007A316B"/>
    <w:rsid w:val="007A3399"/>
    <w:rsid w:val="007A58D1"/>
    <w:rsid w:val="007A5C82"/>
    <w:rsid w:val="007A66C4"/>
    <w:rsid w:val="007A6973"/>
    <w:rsid w:val="007A7DF6"/>
    <w:rsid w:val="007B027B"/>
    <w:rsid w:val="007B084B"/>
    <w:rsid w:val="007B14BC"/>
    <w:rsid w:val="007B4776"/>
    <w:rsid w:val="007B4FF1"/>
    <w:rsid w:val="007B5A4C"/>
    <w:rsid w:val="007B5E3E"/>
    <w:rsid w:val="007B6ED0"/>
    <w:rsid w:val="007B7255"/>
    <w:rsid w:val="007C0052"/>
    <w:rsid w:val="007C0393"/>
    <w:rsid w:val="007C07B9"/>
    <w:rsid w:val="007C2118"/>
    <w:rsid w:val="007C2D00"/>
    <w:rsid w:val="007C4A77"/>
    <w:rsid w:val="007C4AB4"/>
    <w:rsid w:val="007C6C41"/>
    <w:rsid w:val="007C771B"/>
    <w:rsid w:val="007D0F5D"/>
    <w:rsid w:val="007D1ED4"/>
    <w:rsid w:val="007D37A3"/>
    <w:rsid w:val="007D41F1"/>
    <w:rsid w:val="007D63C8"/>
    <w:rsid w:val="007D653A"/>
    <w:rsid w:val="007D72EC"/>
    <w:rsid w:val="007D7BA8"/>
    <w:rsid w:val="007D7F50"/>
    <w:rsid w:val="007E013A"/>
    <w:rsid w:val="007E035A"/>
    <w:rsid w:val="007E0E83"/>
    <w:rsid w:val="007E24EB"/>
    <w:rsid w:val="007E3039"/>
    <w:rsid w:val="007E3258"/>
    <w:rsid w:val="007E3267"/>
    <w:rsid w:val="007E3564"/>
    <w:rsid w:val="007E35F0"/>
    <w:rsid w:val="007E3C45"/>
    <w:rsid w:val="007E4E00"/>
    <w:rsid w:val="007E589A"/>
    <w:rsid w:val="007E5CD1"/>
    <w:rsid w:val="007E631E"/>
    <w:rsid w:val="007E68F0"/>
    <w:rsid w:val="007F1296"/>
    <w:rsid w:val="007F1677"/>
    <w:rsid w:val="007F26EC"/>
    <w:rsid w:val="007F2BFF"/>
    <w:rsid w:val="007F4825"/>
    <w:rsid w:val="007F4A80"/>
    <w:rsid w:val="007F73BA"/>
    <w:rsid w:val="007F7873"/>
    <w:rsid w:val="00802527"/>
    <w:rsid w:val="00802EE6"/>
    <w:rsid w:val="00803760"/>
    <w:rsid w:val="008044B8"/>
    <w:rsid w:val="0080470E"/>
    <w:rsid w:val="00805931"/>
    <w:rsid w:val="00806B6E"/>
    <w:rsid w:val="008070F3"/>
    <w:rsid w:val="00807642"/>
    <w:rsid w:val="008102E8"/>
    <w:rsid w:val="00810337"/>
    <w:rsid w:val="008123CA"/>
    <w:rsid w:val="0081289C"/>
    <w:rsid w:val="00812A6A"/>
    <w:rsid w:val="00813350"/>
    <w:rsid w:val="00813689"/>
    <w:rsid w:val="00813726"/>
    <w:rsid w:val="00814916"/>
    <w:rsid w:val="00816631"/>
    <w:rsid w:val="00821C14"/>
    <w:rsid w:val="008223D7"/>
    <w:rsid w:val="00822651"/>
    <w:rsid w:val="008244BA"/>
    <w:rsid w:val="00824524"/>
    <w:rsid w:val="00824F2F"/>
    <w:rsid w:val="008253D0"/>
    <w:rsid w:val="008257FD"/>
    <w:rsid w:val="00825B5D"/>
    <w:rsid w:val="0082655F"/>
    <w:rsid w:val="00826FF6"/>
    <w:rsid w:val="00827CFB"/>
    <w:rsid w:val="00830332"/>
    <w:rsid w:val="008310F7"/>
    <w:rsid w:val="00832385"/>
    <w:rsid w:val="00832488"/>
    <w:rsid w:val="008338C6"/>
    <w:rsid w:val="00834BFB"/>
    <w:rsid w:val="00835223"/>
    <w:rsid w:val="00836B1E"/>
    <w:rsid w:val="0083742F"/>
    <w:rsid w:val="00837858"/>
    <w:rsid w:val="00837A7B"/>
    <w:rsid w:val="008404C7"/>
    <w:rsid w:val="008411EB"/>
    <w:rsid w:val="0084184F"/>
    <w:rsid w:val="00841F06"/>
    <w:rsid w:val="0084266A"/>
    <w:rsid w:val="00843687"/>
    <w:rsid w:val="00843FE1"/>
    <w:rsid w:val="00844588"/>
    <w:rsid w:val="008449C1"/>
    <w:rsid w:val="00844F47"/>
    <w:rsid w:val="0084695E"/>
    <w:rsid w:val="0085020E"/>
    <w:rsid w:val="00850ADB"/>
    <w:rsid w:val="00853DDD"/>
    <w:rsid w:val="00855DB1"/>
    <w:rsid w:val="00856F8E"/>
    <w:rsid w:val="00863CC2"/>
    <w:rsid w:val="00864122"/>
    <w:rsid w:val="008649D5"/>
    <w:rsid w:val="00865803"/>
    <w:rsid w:val="0087103C"/>
    <w:rsid w:val="00871318"/>
    <w:rsid w:val="00871933"/>
    <w:rsid w:val="00871BE0"/>
    <w:rsid w:val="00873773"/>
    <w:rsid w:val="00873945"/>
    <w:rsid w:val="0087731A"/>
    <w:rsid w:val="00881AB6"/>
    <w:rsid w:val="00881C46"/>
    <w:rsid w:val="0088240B"/>
    <w:rsid w:val="00882941"/>
    <w:rsid w:val="008832D5"/>
    <w:rsid w:val="008848F5"/>
    <w:rsid w:val="008849D2"/>
    <w:rsid w:val="00885EE9"/>
    <w:rsid w:val="008863A2"/>
    <w:rsid w:val="00887472"/>
    <w:rsid w:val="008875A8"/>
    <w:rsid w:val="00887E2B"/>
    <w:rsid w:val="00887F9D"/>
    <w:rsid w:val="0089078F"/>
    <w:rsid w:val="008909F6"/>
    <w:rsid w:val="00890DA8"/>
    <w:rsid w:val="008910A4"/>
    <w:rsid w:val="00892CBF"/>
    <w:rsid w:val="008935E6"/>
    <w:rsid w:val="008936CE"/>
    <w:rsid w:val="00895192"/>
    <w:rsid w:val="00897963"/>
    <w:rsid w:val="008A0873"/>
    <w:rsid w:val="008A2DDD"/>
    <w:rsid w:val="008A371A"/>
    <w:rsid w:val="008A3781"/>
    <w:rsid w:val="008A5618"/>
    <w:rsid w:val="008A5C07"/>
    <w:rsid w:val="008A6067"/>
    <w:rsid w:val="008A6602"/>
    <w:rsid w:val="008A6A58"/>
    <w:rsid w:val="008B0041"/>
    <w:rsid w:val="008B2AD1"/>
    <w:rsid w:val="008B2DD2"/>
    <w:rsid w:val="008B2F32"/>
    <w:rsid w:val="008B3978"/>
    <w:rsid w:val="008B3DBB"/>
    <w:rsid w:val="008B41B2"/>
    <w:rsid w:val="008B560B"/>
    <w:rsid w:val="008B5E32"/>
    <w:rsid w:val="008B62E0"/>
    <w:rsid w:val="008B6698"/>
    <w:rsid w:val="008B734C"/>
    <w:rsid w:val="008B7DB6"/>
    <w:rsid w:val="008B7E35"/>
    <w:rsid w:val="008B7E8C"/>
    <w:rsid w:val="008C0466"/>
    <w:rsid w:val="008C29D6"/>
    <w:rsid w:val="008C29F3"/>
    <w:rsid w:val="008C346E"/>
    <w:rsid w:val="008C4491"/>
    <w:rsid w:val="008C4FF0"/>
    <w:rsid w:val="008C7561"/>
    <w:rsid w:val="008C7867"/>
    <w:rsid w:val="008D0688"/>
    <w:rsid w:val="008D1EB8"/>
    <w:rsid w:val="008D1F36"/>
    <w:rsid w:val="008D33FB"/>
    <w:rsid w:val="008D55BA"/>
    <w:rsid w:val="008D6881"/>
    <w:rsid w:val="008D6FA3"/>
    <w:rsid w:val="008D77CD"/>
    <w:rsid w:val="008D7F20"/>
    <w:rsid w:val="008E0AE1"/>
    <w:rsid w:val="008E1393"/>
    <w:rsid w:val="008E1AB8"/>
    <w:rsid w:val="008E30BD"/>
    <w:rsid w:val="008E5BD7"/>
    <w:rsid w:val="008E66DB"/>
    <w:rsid w:val="008E6960"/>
    <w:rsid w:val="008E7077"/>
    <w:rsid w:val="008E7572"/>
    <w:rsid w:val="008F0521"/>
    <w:rsid w:val="008F0AB7"/>
    <w:rsid w:val="008F34AC"/>
    <w:rsid w:val="008F38B3"/>
    <w:rsid w:val="008F3EC3"/>
    <w:rsid w:val="008F3FBD"/>
    <w:rsid w:val="008F47B6"/>
    <w:rsid w:val="008F5CC2"/>
    <w:rsid w:val="00903772"/>
    <w:rsid w:val="009068A7"/>
    <w:rsid w:val="00906E03"/>
    <w:rsid w:val="00907D67"/>
    <w:rsid w:val="009108B7"/>
    <w:rsid w:val="00913646"/>
    <w:rsid w:val="00913EB4"/>
    <w:rsid w:val="009148BE"/>
    <w:rsid w:val="009155EB"/>
    <w:rsid w:val="00915E1E"/>
    <w:rsid w:val="00916087"/>
    <w:rsid w:val="009167FE"/>
    <w:rsid w:val="00917E1A"/>
    <w:rsid w:val="00920806"/>
    <w:rsid w:val="0092089C"/>
    <w:rsid w:val="009211CA"/>
    <w:rsid w:val="009218F6"/>
    <w:rsid w:val="00922AA5"/>
    <w:rsid w:val="009230B1"/>
    <w:rsid w:val="0092386E"/>
    <w:rsid w:val="00923A07"/>
    <w:rsid w:val="00925C86"/>
    <w:rsid w:val="00925DD0"/>
    <w:rsid w:val="009307FE"/>
    <w:rsid w:val="00931EAC"/>
    <w:rsid w:val="0093280F"/>
    <w:rsid w:val="009352E4"/>
    <w:rsid w:val="009353A1"/>
    <w:rsid w:val="00936BB2"/>
    <w:rsid w:val="00937EF3"/>
    <w:rsid w:val="0094018F"/>
    <w:rsid w:val="0094111B"/>
    <w:rsid w:val="009452A2"/>
    <w:rsid w:val="00950956"/>
    <w:rsid w:val="00951B16"/>
    <w:rsid w:val="00952530"/>
    <w:rsid w:val="00953E2D"/>
    <w:rsid w:val="0095421D"/>
    <w:rsid w:val="009550A3"/>
    <w:rsid w:val="00956D79"/>
    <w:rsid w:val="0095700E"/>
    <w:rsid w:val="00957966"/>
    <w:rsid w:val="009608B5"/>
    <w:rsid w:val="009632A5"/>
    <w:rsid w:val="009641F5"/>
    <w:rsid w:val="00964DA8"/>
    <w:rsid w:val="009671A9"/>
    <w:rsid w:val="0096760E"/>
    <w:rsid w:val="00971254"/>
    <w:rsid w:val="0097127A"/>
    <w:rsid w:val="009720EF"/>
    <w:rsid w:val="009725CB"/>
    <w:rsid w:val="00973890"/>
    <w:rsid w:val="009767C7"/>
    <w:rsid w:val="009770CC"/>
    <w:rsid w:val="00977325"/>
    <w:rsid w:val="00977A23"/>
    <w:rsid w:val="00977CEC"/>
    <w:rsid w:val="00977D16"/>
    <w:rsid w:val="00983D6C"/>
    <w:rsid w:val="00987926"/>
    <w:rsid w:val="00990761"/>
    <w:rsid w:val="0099078F"/>
    <w:rsid w:val="00991C14"/>
    <w:rsid w:val="009922EE"/>
    <w:rsid w:val="009939BA"/>
    <w:rsid w:val="0099553F"/>
    <w:rsid w:val="00996731"/>
    <w:rsid w:val="009968F7"/>
    <w:rsid w:val="0099772F"/>
    <w:rsid w:val="009A0439"/>
    <w:rsid w:val="009A1BB8"/>
    <w:rsid w:val="009A1F9B"/>
    <w:rsid w:val="009A2206"/>
    <w:rsid w:val="009A380F"/>
    <w:rsid w:val="009A4D59"/>
    <w:rsid w:val="009A6C79"/>
    <w:rsid w:val="009A6E50"/>
    <w:rsid w:val="009A7881"/>
    <w:rsid w:val="009A7E7B"/>
    <w:rsid w:val="009B16B7"/>
    <w:rsid w:val="009B2B50"/>
    <w:rsid w:val="009B2B92"/>
    <w:rsid w:val="009B4F23"/>
    <w:rsid w:val="009B5CF6"/>
    <w:rsid w:val="009B6165"/>
    <w:rsid w:val="009B67FF"/>
    <w:rsid w:val="009B6BBF"/>
    <w:rsid w:val="009B75A4"/>
    <w:rsid w:val="009B7F0C"/>
    <w:rsid w:val="009C0810"/>
    <w:rsid w:val="009C0F10"/>
    <w:rsid w:val="009C1757"/>
    <w:rsid w:val="009C1B9A"/>
    <w:rsid w:val="009C2E1A"/>
    <w:rsid w:val="009C36FE"/>
    <w:rsid w:val="009C54C8"/>
    <w:rsid w:val="009C6BD7"/>
    <w:rsid w:val="009C759C"/>
    <w:rsid w:val="009D04B3"/>
    <w:rsid w:val="009D3730"/>
    <w:rsid w:val="009D519E"/>
    <w:rsid w:val="009D52AF"/>
    <w:rsid w:val="009D5774"/>
    <w:rsid w:val="009D57EE"/>
    <w:rsid w:val="009D5E42"/>
    <w:rsid w:val="009D732D"/>
    <w:rsid w:val="009D75A4"/>
    <w:rsid w:val="009E032F"/>
    <w:rsid w:val="009E12F8"/>
    <w:rsid w:val="009E4ED5"/>
    <w:rsid w:val="009E56FE"/>
    <w:rsid w:val="009E5B58"/>
    <w:rsid w:val="009E7365"/>
    <w:rsid w:val="009E7E45"/>
    <w:rsid w:val="009F000B"/>
    <w:rsid w:val="009F06D6"/>
    <w:rsid w:val="009F19DF"/>
    <w:rsid w:val="009F1F0F"/>
    <w:rsid w:val="009F20E2"/>
    <w:rsid w:val="009F2E12"/>
    <w:rsid w:val="009F2F44"/>
    <w:rsid w:val="009F3714"/>
    <w:rsid w:val="009F5B38"/>
    <w:rsid w:val="009F7E45"/>
    <w:rsid w:val="009F7F90"/>
    <w:rsid w:val="00A01EA3"/>
    <w:rsid w:val="00A031E9"/>
    <w:rsid w:val="00A05484"/>
    <w:rsid w:val="00A06CB8"/>
    <w:rsid w:val="00A14DCA"/>
    <w:rsid w:val="00A160E9"/>
    <w:rsid w:val="00A25CF1"/>
    <w:rsid w:val="00A260C5"/>
    <w:rsid w:val="00A26263"/>
    <w:rsid w:val="00A27672"/>
    <w:rsid w:val="00A27956"/>
    <w:rsid w:val="00A32D84"/>
    <w:rsid w:val="00A33690"/>
    <w:rsid w:val="00A337E5"/>
    <w:rsid w:val="00A368C8"/>
    <w:rsid w:val="00A36938"/>
    <w:rsid w:val="00A3702E"/>
    <w:rsid w:val="00A414B8"/>
    <w:rsid w:val="00A41BF2"/>
    <w:rsid w:val="00A428C2"/>
    <w:rsid w:val="00A43E10"/>
    <w:rsid w:val="00A45E5C"/>
    <w:rsid w:val="00A46196"/>
    <w:rsid w:val="00A505F4"/>
    <w:rsid w:val="00A52904"/>
    <w:rsid w:val="00A5333E"/>
    <w:rsid w:val="00A5379D"/>
    <w:rsid w:val="00A539C8"/>
    <w:rsid w:val="00A53A59"/>
    <w:rsid w:val="00A5449D"/>
    <w:rsid w:val="00A5484C"/>
    <w:rsid w:val="00A568EE"/>
    <w:rsid w:val="00A56DFA"/>
    <w:rsid w:val="00A57719"/>
    <w:rsid w:val="00A601DA"/>
    <w:rsid w:val="00A60F0B"/>
    <w:rsid w:val="00A61C59"/>
    <w:rsid w:val="00A61D83"/>
    <w:rsid w:val="00A61F09"/>
    <w:rsid w:val="00A6303C"/>
    <w:rsid w:val="00A6304A"/>
    <w:rsid w:val="00A65060"/>
    <w:rsid w:val="00A65E2A"/>
    <w:rsid w:val="00A667D2"/>
    <w:rsid w:val="00A67839"/>
    <w:rsid w:val="00A7242A"/>
    <w:rsid w:val="00A735AD"/>
    <w:rsid w:val="00A73C2D"/>
    <w:rsid w:val="00A74B42"/>
    <w:rsid w:val="00A75043"/>
    <w:rsid w:val="00A75B36"/>
    <w:rsid w:val="00A77726"/>
    <w:rsid w:val="00A80AEE"/>
    <w:rsid w:val="00A81003"/>
    <w:rsid w:val="00A814BA"/>
    <w:rsid w:val="00A81847"/>
    <w:rsid w:val="00A821A8"/>
    <w:rsid w:val="00A82F88"/>
    <w:rsid w:val="00A83012"/>
    <w:rsid w:val="00A83BCF"/>
    <w:rsid w:val="00A83E7D"/>
    <w:rsid w:val="00A84A49"/>
    <w:rsid w:val="00A84CB3"/>
    <w:rsid w:val="00A84F77"/>
    <w:rsid w:val="00A85701"/>
    <w:rsid w:val="00A87A31"/>
    <w:rsid w:val="00A90720"/>
    <w:rsid w:val="00A90A64"/>
    <w:rsid w:val="00A92203"/>
    <w:rsid w:val="00A92367"/>
    <w:rsid w:val="00A925F0"/>
    <w:rsid w:val="00A92E23"/>
    <w:rsid w:val="00A9417D"/>
    <w:rsid w:val="00A948FA"/>
    <w:rsid w:val="00A953E1"/>
    <w:rsid w:val="00A966D0"/>
    <w:rsid w:val="00A97315"/>
    <w:rsid w:val="00A97D19"/>
    <w:rsid w:val="00AA2058"/>
    <w:rsid w:val="00AA3D3E"/>
    <w:rsid w:val="00AA3FD2"/>
    <w:rsid w:val="00AA43DE"/>
    <w:rsid w:val="00AA49D3"/>
    <w:rsid w:val="00AA4E6B"/>
    <w:rsid w:val="00AA55A6"/>
    <w:rsid w:val="00AA5BDB"/>
    <w:rsid w:val="00AA637D"/>
    <w:rsid w:val="00AA6935"/>
    <w:rsid w:val="00AA6BEB"/>
    <w:rsid w:val="00AA72D6"/>
    <w:rsid w:val="00AA7D3D"/>
    <w:rsid w:val="00AA7E30"/>
    <w:rsid w:val="00AB0CF1"/>
    <w:rsid w:val="00AB12F9"/>
    <w:rsid w:val="00AB5058"/>
    <w:rsid w:val="00AB51D9"/>
    <w:rsid w:val="00AB53DD"/>
    <w:rsid w:val="00AB53F5"/>
    <w:rsid w:val="00AB7269"/>
    <w:rsid w:val="00AC129E"/>
    <w:rsid w:val="00AC138B"/>
    <w:rsid w:val="00AC13D1"/>
    <w:rsid w:val="00AC1525"/>
    <w:rsid w:val="00AC250A"/>
    <w:rsid w:val="00AC2BAB"/>
    <w:rsid w:val="00AC3069"/>
    <w:rsid w:val="00AC4B24"/>
    <w:rsid w:val="00AC52D9"/>
    <w:rsid w:val="00AC6491"/>
    <w:rsid w:val="00AC6C94"/>
    <w:rsid w:val="00AC6CDE"/>
    <w:rsid w:val="00AC755F"/>
    <w:rsid w:val="00AC7CCB"/>
    <w:rsid w:val="00AD039A"/>
    <w:rsid w:val="00AD09FE"/>
    <w:rsid w:val="00AD163E"/>
    <w:rsid w:val="00AD1DB1"/>
    <w:rsid w:val="00AD3606"/>
    <w:rsid w:val="00AD3AB2"/>
    <w:rsid w:val="00AD48BD"/>
    <w:rsid w:val="00AD6990"/>
    <w:rsid w:val="00AD6A91"/>
    <w:rsid w:val="00AD76D8"/>
    <w:rsid w:val="00AD7C20"/>
    <w:rsid w:val="00AE1C2E"/>
    <w:rsid w:val="00AE2B7D"/>
    <w:rsid w:val="00AE39B4"/>
    <w:rsid w:val="00AE5245"/>
    <w:rsid w:val="00AE5532"/>
    <w:rsid w:val="00AE57A7"/>
    <w:rsid w:val="00AE5D4D"/>
    <w:rsid w:val="00AE6424"/>
    <w:rsid w:val="00AE7933"/>
    <w:rsid w:val="00AE798C"/>
    <w:rsid w:val="00AF0431"/>
    <w:rsid w:val="00AF1289"/>
    <w:rsid w:val="00AF2A3F"/>
    <w:rsid w:val="00AF2ACB"/>
    <w:rsid w:val="00AF7B6D"/>
    <w:rsid w:val="00AF7F5D"/>
    <w:rsid w:val="00B002BC"/>
    <w:rsid w:val="00B009C4"/>
    <w:rsid w:val="00B02112"/>
    <w:rsid w:val="00B039A9"/>
    <w:rsid w:val="00B0467A"/>
    <w:rsid w:val="00B04864"/>
    <w:rsid w:val="00B04AE2"/>
    <w:rsid w:val="00B0502D"/>
    <w:rsid w:val="00B06667"/>
    <w:rsid w:val="00B07096"/>
    <w:rsid w:val="00B105A2"/>
    <w:rsid w:val="00B1070D"/>
    <w:rsid w:val="00B11D40"/>
    <w:rsid w:val="00B128E1"/>
    <w:rsid w:val="00B12A0C"/>
    <w:rsid w:val="00B12A22"/>
    <w:rsid w:val="00B1401B"/>
    <w:rsid w:val="00B1406D"/>
    <w:rsid w:val="00B144E8"/>
    <w:rsid w:val="00B17440"/>
    <w:rsid w:val="00B1787A"/>
    <w:rsid w:val="00B17FA2"/>
    <w:rsid w:val="00B216D2"/>
    <w:rsid w:val="00B229A6"/>
    <w:rsid w:val="00B27984"/>
    <w:rsid w:val="00B300F4"/>
    <w:rsid w:val="00B311F2"/>
    <w:rsid w:val="00B31C8F"/>
    <w:rsid w:val="00B335D3"/>
    <w:rsid w:val="00B346B5"/>
    <w:rsid w:val="00B35233"/>
    <w:rsid w:val="00B354B9"/>
    <w:rsid w:val="00B40BA1"/>
    <w:rsid w:val="00B40CC1"/>
    <w:rsid w:val="00B41644"/>
    <w:rsid w:val="00B42394"/>
    <w:rsid w:val="00B429E3"/>
    <w:rsid w:val="00B4619F"/>
    <w:rsid w:val="00B476A3"/>
    <w:rsid w:val="00B47E23"/>
    <w:rsid w:val="00B47F31"/>
    <w:rsid w:val="00B500A9"/>
    <w:rsid w:val="00B505AC"/>
    <w:rsid w:val="00B527C6"/>
    <w:rsid w:val="00B53B27"/>
    <w:rsid w:val="00B53D8E"/>
    <w:rsid w:val="00B54328"/>
    <w:rsid w:val="00B5434B"/>
    <w:rsid w:val="00B56AA9"/>
    <w:rsid w:val="00B571C9"/>
    <w:rsid w:val="00B57774"/>
    <w:rsid w:val="00B57C3D"/>
    <w:rsid w:val="00B61271"/>
    <w:rsid w:val="00B613D2"/>
    <w:rsid w:val="00B61C55"/>
    <w:rsid w:val="00B61D4D"/>
    <w:rsid w:val="00B62F4D"/>
    <w:rsid w:val="00B62F55"/>
    <w:rsid w:val="00B6396E"/>
    <w:rsid w:val="00B661EC"/>
    <w:rsid w:val="00B66B5A"/>
    <w:rsid w:val="00B679DF"/>
    <w:rsid w:val="00B67EAF"/>
    <w:rsid w:val="00B70C70"/>
    <w:rsid w:val="00B70DE2"/>
    <w:rsid w:val="00B71ACD"/>
    <w:rsid w:val="00B72569"/>
    <w:rsid w:val="00B726CD"/>
    <w:rsid w:val="00B75009"/>
    <w:rsid w:val="00B75A66"/>
    <w:rsid w:val="00B75EF6"/>
    <w:rsid w:val="00B814AA"/>
    <w:rsid w:val="00B818D5"/>
    <w:rsid w:val="00B82D16"/>
    <w:rsid w:val="00B83F85"/>
    <w:rsid w:val="00B84614"/>
    <w:rsid w:val="00B85F23"/>
    <w:rsid w:val="00B8757E"/>
    <w:rsid w:val="00B9010D"/>
    <w:rsid w:val="00B92FD7"/>
    <w:rsid w:val="00B9495E"/>
    <w:rsid w:val="00B963E3"/>
    <w:rsid w:val="00B97211"/>
    <w:rsid w:val="00B97BDA"/>
    <w:rsid w:val="00B97C3E"/>
    <w:rsid w:val="00BA1BCF"/>
    <w:rsid w:val="00BA1F2B"/>
    <w:rsid w:val="00BA2440"/>
    <w:rsid w:val="00BA2835"/>
    <w:rsid w:val="00BA3547"/>
    <w:rsid w:val="00BA4012"/>
    <w:rsid w:val="00BA6850"/>
    <w:rsid w:val="00BA6C54"/>
    <w:rsid w:val="00BA7231"/>
    <w:rsid w:val="00BB02D1"/>
    <w:rsid w:val="00BB0909"/>
    <w:rsid w:val="00BB0C73"/>
    <w:rsid w:val="00BB1BD8"/>
    <w:rsid w:val="00BB23E7"/>
    <w:rsid w:val="00BB2642"/>
    <w:rsid w:val="00BB4B5A"/>
    <w:rsid w:val="00BB4C03"/>
    <w:rsid w:val="00BB5D89"/>
    <w:rsid w:val="00BB67A3"/>
    <w:rsid w:val="00BB67AD"/>
    <w:rsid w:val="00BC1EA6"/>
    <w:rsid w:val="00BC252F"/>
    <w:rsid w:val="00BC3D4A"/>
    <w:rsid w:val="00BC4337"/>
    <w:rsid w:val="00BC5BB8"/>
    <w:rsid w:val="00BC64D2"/>
    <w:rsid w:val="00BC6556"/>
    <w:rsid w:val="00BC6AA0"/>
    <w:rsid w:val="00BC6ED6"/>
    <w:rsid w:val="00BC7E66"/>
    <w:rsid w:val="00BD1605"/>
    <w:rsid w:val="00BD1F05"/>
    <w:rsid w:val="00BD3346"/>
    <w:rsid w:val="00BD3D6D"/>
    <w:rsid w:val="00BD47F9"/>
    <w:rsid w:val="00BD701D"/>
    <w:rsid w:val="00BD7CAB"/>
    <w:rsid w:val="00BE08A7"/>
    <w:rsid w:val="00BE19C9"/>
    <w:rsid w:val="00BE2172"/>
    <w:rsid w:val="00BE2F64"/>
    <w:rsid w:val="00BE42E7"/>
    <w:rsid w:val="00BE588D"/>
    <w:rsid w:val="00BE5CAF"/>
    <w:rsid w:val="00BE5CDC"/>
    <w:rsid w:val="00BE6C60"/>
    <w:rsid w:val="00BE75A2"/>
    <w:rsid w:val="00BF114F"/>
    <w:rsid w:val="00BF14EB"/>
    <w:rsid w:val="00BF23B5"/>
    <w:rsid w:val="00BF30A1"/>
    <w:rsid w:val="00BF3767"/>
    <w:rsid w:val="00BF3A16"/>
    <w:rsid w:val="00BF3E2A"/>
    <w:rsid w:val="00BF4197"/>
    <w:rsid w:val="00BF4E16"/>
    <w:rsid w:val="00BF7C69"/>
    <w:rsid w:val="00C0060C"/>
    <w:rsid w:val="00C00C0D"/>
    <w:rsid w:val="00C028B4"/>
    <w:rsid w:val="00C040D2"/>
    <w:rsid w:val="00C04F3F"/>
    <w:rsid w:val="00C06A47"/>
    <w:rsid w:val="00C0760E"/>
    <w:rsid w:val="00C078C5"/>
    <w:rsid w:val="00C07EDA"/>
    <w:rsid w:val="00C100F0"/>
    <w:rsid w:val="00C1066F"/>
    <w:rsid w:val="00C109AD"/>
    <w:rsid w:val="00C11676"/>
    <w:rsid w:val="00C1329C"/>
    <w:rsid w:val="00C13497"/>
    <w:rsid w:val="00C147B0"/>
    <w:rsid w:val="00C14850"/>
    <w:rsid w:val="00C176D9"/>
    <w:rsid w:val="00C214CB"/>
    <w:rsid w:val="00C2276A"/>
    <w:rsid w:val="00C236CC"/>
    <w:rsid w:val="00C24141"/>
    <w:rsid w:val="00C306E4"/>
    <w:rsid w:val="00C3143D"/>
    <w:rsid w:val="00C32133"/>
    <w:rsid w:val="00C32327"/>
    <w:rsid w:val="00C32C29"/>
    <w:rsid w:val="00C33986"/>
    <w:rsid w:val="00C3670D"/>
    <w:rsid w:val="00C36C52"/>
    <w:rsid w:val="00C37FCF"/>
    <w:rsid w:val="00C40A47"/>
    <w:rsid w:val="00C40F48"/>
    <w:rsid w:val="00C42D24"/>
    <w:rsid w:val="00C45E16"/>
    <w:rsid w:val="00C46660"/>
    <w:rsid w:val="00C46C91"/>
    <w:rsid w:val="00C47950"/>
    <w:rsid w:val="00C50130"/>
    <w:rsid w:val="00C506A3"/>
    <w:rsid w:val="00C51637"/>
    <w:rsid w:val="00C51BE8"/>
    <w:rsid w:val="00C52A3D"/>
    <w:rsid w:val="00C53942"/>
    <w:rsid w:val="00C55B56"/>
    <w:rsid w:val="00C56B3B"/>
    <w:rsid w:val="00C61182"/>
    <w:rsid w:val="00C62773"/>
    <w:rsid w:val="00C62862"/>
    <w:rsid w:val="00C632CD"/>
    <w:rsid w:val="00C633AF"/>
    <w:rsid w:val="00C63453"/>
    <w:rsid w:val="00C64939"/>
    <w:rsid w:val="00C64A07"/>
    <w:rsid w:val="00C64DDC"/>
    <w:rsid w:val="00C65B07"/>
    <w:rsid w:val="00C666A4"/>
    <w:rsid w:val="00C703F3"/>
    <w:rsid w:val="00C70672"/>
    <w:rsid w:val="00C71055"/>
    <w:rsid w:val="00C75757"/>
    <w:rsid w:val="00C77600"/>
    <w:rsid w:val="00C80143"/>
    <w:rsid w:val="00C80693"/>
    <w:rsid w:val="00C8073C"/>
    <w:rsid w:val="00C80AF7"/>
    <w:rsid w:val="00C82BCE"/>
    <w:rsid w:val="00C847C4"/>
    <w:rsid w:val="00C84B1A"/>
    <w:rsid w:val="00C859FF"/>
    <w:rsid w:val="00C8626B"/>
    <w:rsid w:val="00C8658A"/>
    <w:rsid w:val="00C87342"/>
    <w:rsid w:val="00C90F4B"/>
    <w:rsid w:val="00C92B9E"/>
    <w:rsid w:val="00C936A4"/>
    <w:rsid w:val="00C943D7"/>
    <w:rsid w:val="00C94A45"/>
    <w:rsid w:val="00C94EA6"/>
    <w:rsid w:val="00C978B0"/>
    <w:rsid w:val="00CA03B9"/>
    <w:rsid w:val="00CA212C"/>
    <w:rsid w:val="00CA276D"/>
    <w:rsid w:val="00CA321A"/>
    <w:rsid w:val="00CA36C9"/>
    <w:rsid w:val="00CA6669"/>
    <w:rsid w:val="00CA72B7"/>
    <w:rsid w:val="00CB0CF2"/>
    <w:rsid w:val="00CB16AB"/>
    <w:rsid w:val="00CB3272"/>
    <w:rsid w:val="00CB41EA"/>
    <w:rsid w:val="00CB4C7F"/>
    <w:rsid w:val="00CB4CE7"/>
    <w:rsid w:val="00CB4EB8"/>
    <w:rsid w:val="00CB5CE4"/>
    <w:rsid w:val="00CB7F83"/>
    <w:rsid w:val="00CC0218"/>
    <w:rsid w:val="00CC053D"/>
    <w:rsid w:val="00CC149A"/>
    <w:rsid w:val="00CC1B95"/>
    <w:rsid w:val="00CC2505"/>
    <w:rsid w:val="00CC2CEF"/>
    <w:rsid w:val="00CC2E31"/>
    <w:rsid w:val="00CC34CE"/>
    <w:rsid w:val="00CC39FB"/>
    <w:rsid w:val="00CC3EC5"/>
    <w:rsid w:val="00CC4396"/>
    <w:rsid w:val="00CC4680"/>
    <w:rsid w:val="00CC502F"/>
    <w:rsid w:val="00CC60FC"/>
    <w:rsid w:val="00CC6103"/>
    <w:rsid w:val="00CC70CF"/>
    <w:rsid w:val="00CC7340"/>
    <w:rsid w:val="00CC795A"/>
    <w:rsid w:val="00CC7F5C"/>
    <w:rsid w:val="00CD00EF"/>
    <w:rsid w:val="00CD10BA"/>
    <w:rsid w:val="00CD1A3C"/>
    <w:rsid w:val="00CD3338"/>
    <w:rsid w:val="00CD3437"/>
    <w:rsid w:val="00CD355F"/>
    <w:rsid w:val="00CD3C78"/>
    <w:rsid w:val="00CD578F"/>
    <w:rsid w:val="00CD6B07"/>
    <w:rsid w:val="00CD7679"/>
    <w:rsid w:val="00CE1AD0"/>
    <w:rsid w:val="00CE1AED"/>
    <w:rsid w:val="00CE28A3"/>
    <w:rsid w:val="00CE2D0E"/>
    <w:rsid w:val="00CE2D6D"/>
    <w:rsid w:val="00CE4196"/>
    <w:rsid w:val="00CE4292"/>
    <w:rsid w:val="00CE4738"/>
    <w:rsid w:val="00CE4C32"/>
    <w:rsid w:val="00CE5326"/>
    <w:rsid w:val="00CE561F"/>
    <w:rsid w:val="00CE5D9E"/>
    <w:rsid w:val="00CE6DA8"/>
    <w:rsid w:val="00CE7A98"/>
    <w:rsid w:val="00CF29FE"/>
    <w:rsid w:val="00CF5240"/>
    <w:rsid w:val="00CF5991"/>
    <w:rsid w:val="00CF63AA"/>
    <w:rsid w:val="00CF6AC7"/>
    <w:rsid w:val="00CF6EBA"/>
    <w:rsid w:val="00CF7AEA"/>
    <w:rsid w:val="00D00274"/>
    <w:rsid w:val="00D01029"/>
    <w:rsid w:val="00D01968"/>
    <w:rsid w:val="00D01D22"/>
    <w:rsid w:val="00D034AF"/>
    <w:rsid w:val="00D03B87"/>
    <w:rsid w:val="00D044AB"/>
    <w:rsid w:val="00D04F26"/>
    <w:rsid w:val="00D0612E"/>
    <w:rsid w:val="00D06AE4"/>
    <w:rsid w:val="00D07E45"/>
    <w:rsid w:val="00D07ED6"/>
    <w:rsid w:val="00D151BA"/>
    <w:rsid w:val="00D238F0"/>
    <w:rsid w:val="00D23953"/>
    <w:rsid w:val="00D244DF"/>
    <w:rsid w:val="00D249BD"/>
    <w:rsid w:val="00D2529A"/>
    <w:rsid w:val="00D255C0"/>
    <w:rsid w:val="00D25680"/>
    <w:rsid w:val="00D25A23"/>
    <w:rsid w:val="00D25AE7"/>
    <w:rsid w:val="00D25B53"/>
    <w:rsid w:val="00D26FCA"/>
    <w:rsid w:val="00D273DC"/>
    <w:rsid w:val="00D30C59"/>
    <w:rsid w:val="00D314BE"/>
    <w:rsid w:val="00D32822"/>
    <w:rsid w:val="00D32A77"/>
    <w:rsid w:val="00D3523C"/>
    <w:rsid w:val="00D35B3B"/>
    <w:rsid w:val="00D40027"/>
    <w:rsid w:val="00D409AD"/>
    <w:rsid w:val="00D41787"/>
    <w:rsid w:val="00D41C57"/>
    <w:rsid w:val="00D4348D"/>
    <w:rsid w:val="00D43C58"/>
    <w:rsid w:val="00D44D25"/>
    <w:rsid w:val="00D46E7A"/>
    <w:rsid w:val="00D47E10"/>
    <w:rsid w:val="00D5011E"/>
    <w:rsid w:val="00D5093F"/>
    <w:rsid w:val="00D50A19"/>
    <w:rsid w:val="00D50B64"/>
    <w:rsid w:val="00D50CF6"/>
    <w:rsid w:val="00D52163"/>
    <w:rsid w:val="00D53592"/>
    <w:rsid w:val="00D5457E"/>
    <w:rsid w:val="00D54A70"/>
    <w:rsid w:val="00D551F7"/>
    <w:rsid w:val="00D55387"/>
    <w:rsid w:val="00D553FE"/>
    <w:rsid w:val="00D55F04"/>
    <w:rsid w:val="00D569BE"/>
    <w:rsid w:val="00D56C3C"/>
    <w:rsid w:val="00D57109"/>
    <w:rsid w:val="00D5797A"/>
    <w:rsid w:val="00D60B58"/>
    <w:rsid w:val="00D60F8E"/>
    <w:rsid w:val="00D60FC0"/>
    <w:rsid w:val="00D61012"/>
    <w:rsid w:val="00D613C7"/>
    <w:rsid w:val="00D625DB"/>
    <w:rsid w:val="00D62898"/>
    <w:rsid w:val="00D63CB2"/>
    <w:rsid w:val="00D6431C"/>
    <w:rsid w:val="00D64D7E"/>
    <w:rsid w:val="00D67D01"/>
    <w:rsid w:val="00D67D80"/>
    <w:rsid w:val="00D703C1"/>
    <w:rsid w:val="00D70511"/>
    <w:rsid w:val="00D70676"/>
    <w:rsid w:val="00D713A7"/>
    <w:rsid w:val="00D71B17"/>
    <w:rsid w:val="00D72C12"/>
    <w:rsid w:val="00D7433E"/>
    <w:rsid w:val="00D7438C"/>
    <w:rsid w:val="00D74FAB"/>
    <w:rsid w:val="00D751D6"/>
    <w:rsid w:val="00D76194"/>
    <w:rsid w:val="00D762A9"/>
    <w:rsid w:val="00D7669C"/>
    <w:rsid w:val="00D76803"/>
    <w:rsid w:val="00D77EE3"/>
    <w:rsid w:val="00D801AB"/>
    <w:rsid w:val="00D81B7C"/>
    <w:rsid w:val="00D82594"/>
    <w:rsid w:val="00D826C4"/>
    <w:rsid w:val="00D83695"/>
    <w:rsid w:val="00D8370F"/>
    <w:rsid w:val="00D83E06"/>
    <w:rsid w:val="00D83E0B"/>
    <w:rsid w:val="00D84387"/>
    <w:rsid w:val="00D91443"/>
    <w:rsid w:val="00D91763"/>
    <w:rsid w:val="00D91D7A"/>
    <w:rsid w:val="00D938BC"/>
    <w:rsid w:val="00D94463"/>
    <w:rsid w:val="00D94C42"/>
    <w:rsid w:val="00D95D71"/>
    <w:rsid w:val="00D9606C"/>
    <w:rsid w:val="00D96387"/>
    <w:rsid w:val="00D96C30"/>
    <w:rsid w:val="00D9732A"/>
    <w:rsid w:val="00D976FA"/>
    <w:rsid w:val="00DA02C3"/>
    <w:rsid w:val="00DA1234"/>
    <w:rsid w:val="00DA1724"/>
    <w:rsid w:val="00DA5FE2"/>
    <w:rsid w:val="00DA7F66"/>
    <w:rsid w:val="00DA7FDF"/>
    <w:rsid w:val="00DB17DF"/>
    <w:rsid w:val="00DB2664"/>
    <w:rsid w:val="00DB29FA"/>
    <w:rsid w:val="00DB3A09"/>
    <w:rsid w:val="00DB4000"/>
    <w:rsid w:val="00DB45E5"/>
    <w:rsid w:val="00DB4ACE"/>
    <w:rsid w:val="00DB4E8A"/>
    <w:rsid w:val="00DB5D90"/>
    <w:rsid w:val="00DB676E"/>
    <w:rsid w:val="00DB7BFD"/>
    <w:rsid w:val="00DC1042"/>
    <w:rsid w:val="00DC1F21"/>
    <w:rsid w:val="00DC2A0E"/>
    <w:rsid w:val="00DC4455"/>
    <w:rsid w:val="00DC4D68"/>
    <w:rsid w:val="00DC5FDD"/>
    <w:rsid w:val="00DC6F1A"/>
    <w:rsid w:val="00DC7B5E"/>
    <w:rsid w:val="00DD099A"/>
    <w:rsid w:val="00DD0B7D"/>
    <w:rsid w:val="00DD11F4"/>
    <w:rsid w:val="00DD1BD0"/>
    <w:rsid w:val="00DD31A3"/>
    <w:rsid w:val="00DD363B"/>
    <w:rsid w:val="00DD4E8B"/>
    <w:rsid w:val="00DD5752"/>
    <w:rsid w:val="00DD70B1"/>
    <w:rsid w:val="00DE06D0"/>
    <w:rsid w:val="00DE0747"/>
    <w:rsid w:val="00DE12CA"/>
    <w:rsid w:val="00DE16D1"/>
    <w:rsid w:val="00DE2482"/>
    <w:rsid w:val="00DE3585"/>
    <w:rsid w:val="00DE477D"/>
    <w:rsid w:val="00DE4A18"/>
    <w:rsid w:val="00DE4F60"/>
    <w:rsid w:val="00DE5F06"/>
    <w:rsid w:val="00DE6C10"/>
    <w:rsid w:val="00DF0643"/>
    <w:rsid w:val="00DF1137"/>
    <w:rsid w:val="00DF1557"/>
    <w:rsid w:val="00DF1982"/>
    <w:rsid w:val="00DF32F0"/>
    <w:rsid w:val="00DF33AC"/>
    <w:rsid w:val="00DF4C0F"/>
    <w:rsid w:val="00DF5124"/>
    <w:rsid w:val="00DF61BB"/>
    <w:rsid w:val="00DF70FF"/>
    <w:rsid w:val="00DF77B0"/>
    <w:rsid w:val="00DF7A40"/>
    <w:rsid w:val="00E02BD7"/>
    <w:rsid w:val="00E04013"/>
    <w:rsid w:val="00E04FFC"/>
    <w:rsid w:val="00E0737C"/>
    <w:rsid w:val="00E07FA0"/>
    <w:rsid w:val="00E10D53"/>
    <w:rsid w:val="00E11779"/>
    <w:rsid w:val="00E12357"/>
    <w:rsid w:val="00E125D2"/>
    <w:rsid w:val="00E131FD"/>
    <w:rsid w:val="00E14659"/>
    <w:rsid w:val="00E15B23"/>
    <w:rsid w:val="00E168BA"/>
    <w:rsid w:val="00E16E58"/>
    <w:rsid w:val="00E1726B"/>
    <w:rsid w:val="00E17420"/>
    <w:rsid w:val="00E2264F"/>
    <w:rsid w:val="00E22E5D"/>
    <w:rsid w:val="00E235C5"/>
    <w:rsid w:val="00E2388F"/>
    <w:rsid w:val="00E23D82"/>
    <w:rsid w:val="00E30E87"/>
    <w:rsid w:val="00E3103E"/>
    <w:rsid w:val="00E31179"/>
    <w:rsid w:val="00E32FFC"/>
    <w:rsid w:val="00E33AE1"/>
    <w:rsid w:val="00E33FB4"/>
    <w:rsid w:val="00E3575B"/>
    <w:rsid w:val="00E35944"/>
    <w:rsid w:val="00E37280"/>
    <w:rsid w:val="00E40515"/>
    <w:rsid w:val="00E4098E"/>
    <w:rsid w:val="00E40AAA"/>
    <w:rsid w:val="00E4247F"/>
    <w:rsid w:val="00E43176"/>
    <w:rsid w:val="00E4387B"/>
    <w:rsid w:val="00E44939"/>
    <w:rsid w:val="00E44BEB"/>
    <w:rsid w:val="00E4506F"/>
    <w:rsid w:val="00E46953"/>
    <w:rsid w:val="00E47504"/>
    <w:rsid w:val="00E478BD"/>
    <w:rsid w:val="00E53318"/>
    <w:rsid w:val="00E53EC1"/>
    <w:rsid w:val="00E555DB"/>
    <w:rsid w:val="00E57491"/>
    <w:rsid w:val="00E6019F"/>
    <w:rsid w:val="00E60341"/>
    <w:rsid w:val="00E61DE9"/>
    <w:rsid w:val="00E62386"/>
    <w:rsid w:val="00E62B79"/>
    <w:rsid w:val="00E642E8"/>
    <w:rsid w:val="00E64E50"/>
    <w:rsid w:val="00E65C74"/>
    <w:rsid w:val="00E6657F"/>
    <w:rsid w:val="00E6681A"/>
    <w:rsid w:val="00E66B1A"/>
    <w:rsid w:val="00E67705"/>
    <w:rsid w:val="00E67719"/>
    <w:rsid w:val="00E7048F"/>
    <w:rsid w:val="00E727DD"/>
    <w:rsid w:val="00E729C3"/>
    <w:rsid w:val="00E73ACF"/>
    <w:rsid w:val="00E744E3"/>
    <w:rsid w:val="00E74D93"/>
    <w:rsid w:val="00E75B0A"/>
    <w:rsid w:val="00E76778"/>
    <w:rsid w:val="00E770EF"/>
    <w:rsid w:val="00E77235"/>
    <w:rsid w:val="00E77D46"/>
    <w:rsid w:val="00E826AA"/>
    <w:rsid w:val="00E84AAB"/>
    <w:rsid w:val="00E85963"/>
    <w:rsid w:val="00E865E9"/>
    <w:rsid w:val="00E876E8"/>
    <w:rsid w:val="00E87CA9"/>
    <w:rsid w:val="00E90035"/>
    <w:rsid w:val="00E902A2"/>
    <w:rsid w:val="00E90354"/>
    <w:rsid w:val="00E90610"/>
    <w:rsid w:val="00E90EEB"/>
    <w:rsid w:val="00E913D8"/>
    <w:rsid w:val="00E9145B"/>
    <w:rsid w:val="00E923CA"/>
    <w:rsid w:val="00E924B9"/>
    <w:rsid w:val="00E92ADD"/>
    <w:rsid w:val="00E9488B"/>
    <w:rsid w:val="00E97CFC"/>
    <w:rsid w:val="00EA02C3"/>
    <w:rsid w:val="00EA05C8"/>
    <w:rsid w:val="00EA0A6D"/>
    <w:rsid w:val="00EA1122"/>
    <w:rsid w:val="00EA1730"/>
    <w:rsid w:val="00EA1960"/>
    <w:rsid w:val="00EA1F59"/>
    <w:rsid w:val="00EA2405"/>
    <w:rsid w:val="00EA284E"/>
    <w:rsid w:val="00EA3535"/>
    <w:rsid w:val="00EA40A5"/>
    <w:rsid w:val="00EA41C7"/>
    <w:rsid w:val="00EA4441"/>
    <w:rsid w:val="00EA49F2"/>
    <w:rsid w:val="00EA5C4F"/>
    <w:rsid w:val="00EA66E6"/>
    <w:rsid w:val="00EA70B7"/>
    <w:rsid w:val="00EA7BDF"/>
    <w:rsid w:val="00EB1A4B"/>
    <w:rsid w:val="00EB24A2"/>
    <w:rsid w:val="00EB28EA"/>
    <w:rsid w:val="00EB2958"/>
    <w:rsid w:val="00EB29DE"/>
    <w:rsid w:val="00EB3042"/>
    <w:rsid w:val="00EB40FC"/>
    <w:rsid w:val="00EB4F41"/>
    <w:rsid w:val="00EB6C5E"/>
    <w:rsid w:val="00EB73EA"/>
    <w:rsid w:val="00EC1BD5"/>
    <w:rsid w:val="00EC1E15"/>
    <w:rsid w:val="00EC1FD7"/>
    <w:rsid w:val="00EC31F9"/>
    <w:rsid w:val="00EC3794"/>
    <w:rsid w:val="00EC4034"/>
    <w:rsid w:val="00EC436D"/>
    <w:rsid w:val="00EC4422"/>
    <w:rsid w:val="00EC5AB9"/>
    <w:rsid w:val="00EC7ADC"/>
    <w:rsid w:val="00EC7D5D"/>
    <w:rsid w:val="00EC7E0C"/>
    <w:rsid w:val="00ED0446"/>
    <w:rsid w:val="00ED36A0"/>
    <w:rsid w:val="00ED3E04"/>
    <w:rsid w:val="00ED6138"/>
    <w:rsid w:val="00EE055A"/>
    <w:rsid w:val="00EE0CC5"/>
    <w:rsid w:val="00EE13CA"/>
    <w:rsid w:val="00EE161B"/>
    <w:rsid w:val="00EE1D40"/>
    <w:rsid w:val="00EE27CF"/>
    <w:rsid w:val="00EE2E23"/>
    <w:rsid w:val="00EE3C65"/>
    <w:rsid w:val="00EE40BD"/>
    <w:rsid w:val="00EE455A"/>
    <w:rsid w:val="00EE5B82"/>
    <w:rsid w:val="00EE704B"/>
    <w:rsid w:val="00EE7CBC"/>
    <w:rsid w:val="00EF146A"/>
    <w:rsid w:val="00EF1910"/>
    <w:rsid w:val="00EF3296"/>
    <w:rsid w:val="00EF3794"/>
    <w:rsid w:val="00EF37E8"/>
    <w:rsid w:val="00EF430A"/>
    <w:rsid w:val="00EF4A9A"/>
    <w:rsid w:val="00EF4FE0"/>
    <w:rsid w:val="00EF5918"/>
    <w:rsid w:val="00EF675F"/>
    <w:rsid w:val="00EF6BC3"/>
    <w:rsid w:val="00EF6E67"/>
    <w:rsid w:val="00EF6F3C"/>
    <w:rsid w:val="00EF6FF5"/>
    <w:rsid w:val="00F0038B"/>
    <w:rsid w:val="00F00F43"/>
    <w:rsid w:val="00F01276"/>
    <w:rsid w:val="00F01FF6"/>
    <w:rsid w:val="00F024C3"/>
    <w:rsid w:val="00F041E3"/>
    <w:rsid w:val="00F04AD1"/>
    <w:rsid w:val="00F04B19"/>
    <w:rsid w:val="00F05407"/>
    <w:rsid w:val="00F054B2"/>
    <w:rsid w:val="00F05659"/>
    <w:rsid w:val="00F063AB"/>
    <w:rsid w:val="00F06B0F"/>
    <w:rsid w:val="00F07B09"/>
    <w:rsid w:val="00F116F3"/>
    <w:rsid w:val="00F13C31"/>
    <w:rsid w:val="00F14259"/>
    <w:rsid w:val="00F14EB5"/>
    <w:rsid w:val="00F15394"/>
    <w:rsid w:val="00F1638B"/>
    <w:rsid w:val="00F17CDE"/>
    <w:rsid w:val="00F2009B"/>
    <w:rsid w:val="00F2096F"/>
    <w:rsid w:val="00F2191F"/>
    <w:rsid w:val="00F2199E"/>
    <w:rsid w:val="00F21DD0"/>
    <w:rsid w:val="00F2267D"/>
    <w:rsid w:val="00F22769"/>
    <w:rsid w:val="00F2320B"/>
    <w:rsid w:val="00F234C6"/>
    <w:rsid w:val="00F23A81"/>
    <w:rsid w:val="00F25659"/>
    <w:rsid w:val="00F25E54"/>
    <w:rsid w:val="00F26A81"/>
    <w:rsid w:val="00F271C5"/>
    <w:rsid w:val="00F2731E"/>
    <w:rsid w:val="00F27B54"/>
    <w:rsid w:val="00F300D9"/>
    <w:rsid w:val="00F30C66"/>
    <w:rsid w:val="00F31692"/>
    <w:rsid w:val="00F3188D"/>
    <w:rsid w:val="00F32409"/>
    <w:rsid w:val="00F32685"/>
    <w:rsid w:val="00F33419"/>
    <w:rsid w:val="00F33D24"/>
    <w:rsid w:val="00F347E0"/>
    <w:rsid w:val="00F34B8F"/>
    <w:rsid w:val="00F365C2"/>
    <w:rsid w:val="00F37E5C"/>
    <w:rsid w:val="00F41890"/>
    <w:rsid w:val="00F4201F"/>
    <w:rsid w:val="00F42DC2"/>
    <w:rsid w:val="00F431D1"/>
    <w:rsid w:val="00F43928"/>
    <w:rsid w:val="00F44214"/>
    <w:rsid w:val="00F45FA4"/>
    <w:rsid w:val="00F500A6"/>
    <w:rsid w:val="00F5100C"/>
    <w:rsid w:val="00F53675"/>
    <w:rsid w:val="00F542D0"/>
    <w:rsid w:val="00F54B26"/>
    <w:rsid w:val="00F55C0F"/>
    <w:rsid w:val="00F55E2A"/>
    <w:rsid w:val="00F55F93"/>
    <w:rsid w:val="00F562FE"/>
    <w:rsid w:val="00F565B9"/>
    <w:rsid w:val="00F571FC"/>
    <w:rsid w:val="00F57893"/>
    <w:rsid w:val="00F61871"/>
    <w:rsid w:val="00F6242C"/>
    <w:rsid w:val="00F630A2"/>
    <w:rsid w:val="00F64915"/>
    <w:rsid w:val="00F656B5"/>
    <w:rsid w:val="00F66187"/>
    <w:rsid w:val="00F6676F"/>
    <w:rsid w:val="00F676EB"/>
    <w:rsid w:val="00F678EA"/>
    <w:rsid w:val="00F73CE1"/>
    <w:rsid w:val="00F76314"/>
    <w:rsid w:val="00F772D1"/>
    <w:rsid w:val="00F77D1B"/>
    <w:rsid w:val="00F8002C"/>
    <w:rsid w:val="00F80623"/>
    <w:rsid w:val="00F807B1"/>
    <w:rsid w:val="00F80C0E"/>
    <w:rsid w:val="00F82210"/>
    <w:rsid w:val="00F841B6"/>
    <w:rsid w:val="00F8519C"/>
    <w:rsid w:val="00F86DFC"/>
    <w:rsid w:val="00F86FE9"/>
    <w:rsid w:val="00F87523"/>
    <w:rsid w:val="00F876D1"/>
    <w:rsid w:val="00F87EF4"/>
    <w:rsid w:val="00F900D1"/>
    <w:rsid w:val="00F90A12"/>
    <w:rsid w:val="00F91573"/>
    <w:rsid w:val="00F91C89"/>
    <w:rsid w:val="00F922EC"/>
    <w:rsid w:val="00F929A2"/>
    <w:rsid w:val="00F93720"/>
    <w:rsid w:val="00F9513C"/>
    <w:rsid w:val="00F9584D"/>
    <w:rsid w:val="00F95DDC"/>
    <w:rsid w:val="00F9771D"/>
    <w:rsid w:val="00FA0471"/>
    <w:rsid w:val="00FA0E1F"/>
    <w:rsid w:val="00FA2BA9"/>
    <w:rsid w:val="00FA316F"/>
    <w:rsid w:val="00FA38E4"/>
    <w:rsid w:val="00FA39CB"/>
    <w:rsid w:val="00FA3B92"/>
    <w:rsid w:val="00FA455F"/>
    <w:rsid w:val="00FA556D"/>
    <w:rsid w:val="00FA6131"/>
    <w:rsid w:val="00FA6B4E"/>
    <w:rsid w:val="00FA742F"/>
    <w:rsid w:val="00FB0181"/>
    <w:rsid w:val="00FB0A2F"/>
    <w:rsid w:val="00FB12C3"/>
    <w:rsid w:val="00FB1E26"/>
    <w:rsid w:val="00FB1ED7"/>
    <w:rsid w:val="00FB2088"/>
    <w:rsid w:val="00FB2569"/>
    <w:rsid w:val="00FB2818"/>
    <w:rsid w:val="00FB29CB"/>
    <w:rsid w:val="00FB2E9D"/>
    <w:rsid w:val="00FB382F"/>
    <w:rsid w:val="00FB4601"/>
    <w:rsid w:val="00FB4D6B"/>
    <w:rsid w:val="00FB641A"/>
    <w:rsid w:val="00FB6CAD"/>
    <w:rsid w:val="00FB70F6"/>
    <w:rsid w:val="00FB7841"/>
    <w:rsid w:val="00FB7918"/>
    <w:rsid w:val="00FC0638"/>
    <w:rsid w:val="00FC2077"/>
    <w:rsid w:val="00FC3B7A"/>
    <w:rsid w:val="00FC42EA"/>
    <w:rsid w:val="00FC4A1D"/>
    <w:rsid w:val="00FC5A9B"/>
    <w:rsid w:val="00FC6083"/>
    <w:rsid w:val="00FC6292"/>
    <w:rsid w:val="00FC666A"/>
    <w:rsid w:val="00FC70F1"/>
    <w:rsid w:val="00FC7262"/>
    <w:rsid w:val="00FC72FA"/>
    <w:rsid w:val="00FD066E"/>
    <w:rsid w:val="00FD180C"/>
    <w:rsid w:val="00FD1E95"/>
    <w:rsid w:val="00FD4A43"/>
    <w:rsid w:val="00FD583B"/>
    <w:rsid w:val="00FD5A1B"/>
    <w:rsid w:val="00FD7CD2"/>
    <w:rsid w:val="00FE0431"/>
    <w:rsid w:val="00FE2919"/>
    <w:rsid w:val="00FE38CE"/>
    <w:rsid w:val="00FE435E"/>
    <w:rsid w:val="00FE500F"/>
    <w:rsid w:val="00FE7752"/>
    <w:rsid w:val="00FF21F2"/>
    <w:rsid w:val="00FF2589"/>
    <w:rsid w:val="00FF2D1F"/>
    <w:rsid w:val="00FF30FF"/>
    <w:rsid w:val="00FF350E"/>
    <w:rsid w:val="00FF3862"/>
    <w:rsid w:val="00FF39D5"/>
    <w:rsid w:val="00FF573B"/>
    <w:rsid w:val="00FF6B38"/>
    <w:rsid w:val="00FF7A8A"/>
    <w:rsid w:val="00FF7D70"/>
    <w:rsid w:val="00FF7EB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BE29"/>
  <w15:chartTrackingRefBased/>
  <w15:docId w15:val="{1CB3840E-1180-4093-BC3F-AEFB9285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5291F"/>
    <w:pPr>
      <w:widowControl w:val="0"/>
      <w:autoSpaceDE w:val="0"/>
      <w:autoSpaceDN w:val="0"/>
      <w:spacing w:after="0" w:line="240" w:lineRule="auto"/>
      <w:ind w:left="4873"/>
      <w:outlineLvl w:val="0"/>
    </w:pPr>
    <w:rPr>
      <w:rFonts w:ascii="Cambria Math" w:eastAsia="Cambria Math" w:hAnsi="Cambria Math" w:cs="Cambria Math"/>
      <w:kern w:val="0"/>
      <w:sz w:val="29"/>
      <w:szCs w:val="29"/>
      <w:lang w:val="uk-UA"/>
      <w14:ligatures w14:val="none"/>
    </w:rPr>
  </w:style>
  <w:style w:type="paragraph" w:styleId="2">
    <w:name w:val="heading 2"/>
    <w:basedOn w:val="a"/>
    <w:next w:val="a"/>
    <w:link w:val="20"/>
    <w:uiPriority w:val="9"/>
    <w:semiHidden/>
    <w:unhideWhenUsed/>
    <w:qFormat/>
    <w:rsid w:val="005471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230B1"/>
    <w:pPr>
      <w:keepNext/>
      <w:keepLines/>
      <w:spacing w:before="40" w:after="0"/>
      <w:outlineLvl w:val="2"/>
    </w:pPr>
    <w:rPr>
      <w:rFonts w:asciiTheme="majorHAnsi" w:eastAsiaTheme="majorEastAsia" w:hAnsiTheme="majorHAnsi" w:cstheme="majorBidi"/>
      <w:color w:val="1F3763" w:themeColor="accent1" w:themeShade="7F"/>
      <w:sz w:val="24"/>
      <w:szCs w:val="24"/>
      <w:lang w:val="uk-UA"/>
    </w:rPr>
  </w:style>
  <w:style w:type="paragraph" w:styleId="4">
    <w:name w:val="heading 4"/>
    <w:basedOn w:val="a"/>
    <w:next w:val="a"/>
    <w:link w:val="40"/>
    <w:uiPriority w:val="9"/>
    <w:semiHidden/>
    <w:unhideWhenUsed/>
    <w:qFormat/>
    <w:rsid w:val="006D01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4F2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List Paragraph"/>
    <w:basedOn w:val="a"/>
    <w:uiPriority w:val="34"/>
    <w:qFormat/>
    <w:rsid w:val="005B6688"/>
    <w:pPr>
      <w:ind w:left="720"/>
      <w:contextualSpacing/>
    </w:pPr>
  </w:style>
  <w:style w:type="paragraph" w:styleId="a4">
    <w:name w:val="Body Text"/>
    <w:basedOn w:val="a"/>
    <w:link w:val="a5"/>
    <w:uiPriority w:val="1"/>
    <w:qFormat/>
    <w:rsid w:val="00E30E87"/>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a5">
    <w:name w:val="Основний текст Знак"/>
    <w:basedOn w:val="a0"/>
    <w:link w:val="a4"/>
    <w:uiPriority w:val="1"/>
    <w:rsid w:val="00E30E87"/>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D54A70"/>
    <w:pPr>
      <w:widowControl w:val="0"/>
      <w:autoSpaceDE w:val="0"/>
      <w:autoSpaceDN w:val="0"/>
      <w:spacing w:after="0" w:line="240" w:lineRule="auto"/>
    </w:pPr>
    <w:rPr>
      <w:rFonts w:ascii="Times New Roman" w:eastAsia="Times New Roman" w:hAnsi="Times New Roman" w:cs="Times New Roman"/>
      <w:kern w:val="0"/>
      <w14:ligatures w14:val="none"/>
    </w:rPr>
  </w:style>
  <w:style w:type="table" w:styleId="a6">
    <w:name w:val="Table Grid"/>
    <w:basedOn w:val="a1"/>
    <w:rsid w:val="00D0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5291F"/>
    <w:rPr>
      <w:rFonts w:ascii="Cambria Math" w:eastAsia="Cambria Math" w:hAnsi="Cambria Math" w:cs="Cambria Math"/>
      <w:kern w:val="0"/>
      <w:sz w:val="29"/>
      <w:szCs w:val="29"/>
      <w:lang w:val="uk-UA"/>
      <w14:ligatures w14:val="none"/>
    </w:rPr>
  </w:style>
  <w:style w:type="paragraph" w:styleId="a7">
    <w:name w:val="Title"/>
    <w:basedOn w:val="a"/>
    <w:link w:val="a8"/>
    <w:uiPriority w:val="10"/>
    <w:qFormat/>
    <w:rsid w:val="00F43928"/>
    <w:pPr>
      <w:widowControl w:val="0"/>
      <w:autoSpaceDE w:val="0"/>
      <w:autoSpaceDN w:val="0"/>
      <w:spacing w:before="24" w:after="0" w:line="240" w:lineRule="auto"/>
      <w:ind w:left="20"/>
    </w:pPr>
    <w:rPr>
      <w:rFonts w:ascii="Arial" w:eastAsia="Arial" w:hAnsi="Arial" w:cs="Arial"/>
      <w:b/>
      <w:bCs/>
      <w:kern w:val="0"/>
      <w:sz w:val="28"/>
      <w:szCs w:val="28"/>
      <w:lang w:val="uk-UA"/>
      <w14:ligatures w14:val="none"/>
    </w:rPr>
  </w:style>
  <w:style w:type="character" w:customStyle="1" w:styleId="a8">
    <w:name w:val="Назва Знак"/>
    <w:basedOn w:val="a0"/>
    <w:link w:val="a7"/>
    <w:uiPriority w:val="10"/>
    <w:rsid w:val="00F43928"/>
    <w:rPr>
      <w:rFonts w:ascii="Arial" w:eastAsia="Arial" w:hAnsi="Arial" w:cs="Arial"/>
      <w:b/>
      <w:bCs/>
      <w:kern w:val="0"/>
      <w:sz w:val="28"/>
      <w:szCs w:val="28"/>
      <w:lang w:val="uk-UA"/>
      <w14:ligatures w14:val="none"/>
    </w:rPr>
  </w:style>
  <w:style w:type="character" w:styleId="a9">
    <w:name w:val="Hyperlink"/>
    <w:basedOn w:val="a0"/>
    <w:uiPriority w:val="99"/>
    <w:unhideWhenUsed/>
    <w:rsid w:val="00666D7D"/>
    <w:rPr>
      <w:color w:val="0563C1" w:themeColor="hyperlink"/>
      <w:u w:val="single"/>
    </w:rPr>
  </w:style>
  <w:style w:type="character" w:customStyle="1" w:styleId="11">
    <w:name w:val="Незакрита згадка1"/>
    <w:basedOn w:val="a0"/>
    <w:uiPriority w:val="99"/>
    <w:semiHidden/>
    <w:unhideWhenUsed/>
    <w:rsid w:val="00666D7D"/>
    <w:rPr>
      <w:color w:val="605E5C"/>
      <w:shd w:val="clear" w:color="auto" w:fill="E1DFDD"/>
    </w:rPr>
  </w:style>
  <w:style w:type="paragraph" w:styleId="aa">
    <w:name w:val="header"/>
    <w:basedOn w:val="a"/>
    <w:link w:val="ab"/>
    <w:uiPriority w:val="99"/>
    <w:unhideWhenUsed/>
    <w:rsid w:val="00510925"/>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510925"/>
  </w:style>
  <w:style w:type="paragraph" w:styleId="ac">
    <w:name w:val="footer"/>
    <w:basedOn w:val="a"/>
    <w:link w:val="ad"/>
    <w:uiPriority w:val="99"/>
    <w:unhideWhenUsed/>
    <w:rsid w:val="00510925"/>
    <w:pPr>
      <w:tabs>
        <w:tab w:val="center" w:pos="4677"/>
        <w:tab w:val="right" w:pos="9355"/>
      </w:tabs>
      <w:spacing w:after="0" w:line="240" w:lineRule="auto"/>
    </w:pPr>
  </w:style>
  <w:style w:type="character" w:customStyle="1" w:styleId="ad">
    <w:name w:val="Нижній колонтитул Знак"/>
    <w:basedOn w:val="a0"/>
    <w:link w:val="ac"/>
    <w:uiPriority w:val="99"/>
    <w:rsid w:val="00510925"/>
  </w:style>
  <w:style w:type="character" w:customStyle="1" w:styleId="30">
    <w:name w:val="Заголовок 3 Знак"/>
    <w:basedOn w:val="a0"/>
    <w:link w:val="3"/>
    <w:uiPriority w:val="9"/>
    <w:semiHidden/>
    <w:rsid w:val="009230B1"/>
    <w:rPr>
      <w:rFonts w:asciiTheme="majorHAnsi" w:eastAsiaTheme="majorEastAsia" w:hAnsiTheme="majorHAnsi" w:cstheme="majorBidi"/>
      <w:color w:val="1F3763" w:themeColor="accent1" w:themeShade="7F"/>
      <w:sz w:val="24"/>
      <w:szCs w:val="24"/>
      <w:lang w:val="uk-UA"/>
    </w:rPr>
  </w:style>
  <w:style w:type="paragraph" w:styleId="ae">
    <w:name w:val="Body Text Indent"/>
    <w:basedOn w:val="a"/>
    <w:link w:val="af"/>
    <w:uiPriority w:val="99"/>
    <w:semiHidden/>
    <w:unhideWhenUsed/>
    <w:rsid w:val="009230B1"/>
    <w:pPr>
      <w:spacing w:after="120"/>
      <w:ind w:left="283"/>
    </w:pPr>
    <w:rPr>
      <w:lang w:val="uk-UA"/>
    </w:rPr>
  </w:style>
  <w:style w:type="character" w:customStyle="1" w:styleId="af">
    <w:name w:val="Основний текст з відступом Знак"/>
    <w:basedOn w:val="a0"/>
    <w:link w:val="ae"/>
    <w:uiPriority w:val="99"/>
    <w:semiHidden/>
    <w:rsid w:val="009230B1"/>
    <w:rPr>
      <w:lang w:val="uk-UA"/>
    </w:rPr>
  </w:style>
  <w:style w:type="character" w:customStyle="1" w:styleId="12">
    <w:name w:val="Неразрешенное упоминание1"/>
    <w:basedOn w:val="a0"/>
    <w:uiPriority w:val="99"/>
    <w:semiHidden/>
    <w:unhideWhenUsed/>
    <w:rsid w:val="009230B1"/>
    <w:rPr>
      <w:color w:val="605E5C"/>
      <w:shd w:val="clear" w:color="auto" w:fill="E1DFDD"/>
    </w:rPr>
  </w:style>
  <w:style w:type="character" w:styleId="af0">
    <w:name w:val="FollowedHyperlink"/>
    <w:basedOn w:val="a0"/>
    <w:uiPriority w:val="99"/>
    <w:semiHidden/>
    <w:unhideWhenUsed/>
    <w:rsid w:val="009230B1"/>
    <w:rPr>
      <w:color w:val="954F72" w:themeColor="followedHyperlink"/>
      <w:u w:val="single"/>
    </w:rPr>
  </w:style>
  <w:style w:type="character" w:styleId="af1">
    <w:name w:val="annotation reference"/>
    <w:basedOn w:val="a0"/>
    <w:uiPriority w:val="99"/>
    <w:semiHidden/>
    <w:unhideWhenUsed/>
    <w:rsid w:val="009230B1"/>
    <w:rPr>
      <w:sz w:val="16"/>
      <w:szCs w:val="16"/>
    </w:rPr>
  </w:style>
  <w:style w:type="paragraph" w:styleId="af2">
    <w:name w:val="annotation text"/>
    <w:basedOn w:val="a"/>
    <w:link w:val="af3"/>
    <w:uiPriority w:val="99"/>
    <w:semiHidden/>
    <w:unhideWhenUsed/>
    <w:rsid w:val="009230B1"/>
    <w:pPr>
      <w:spacing w:line="240" w:lineRule="auto"/>
    </w:pPr>
    <w:rPr>
      <w:sz w:val="20"/>
      <w:szCs w:val="20"/>
      <w:lang w:val="uk-UA"/>
    </w:rPr>
  </w:style>
  <w:style w:type="character" w:customStyle="1" w:styleId="af3">
    <w:name w:val="Текст примітки Знак"/>
    <w:basedOn w:val="a0"/>
    <w:link w:val="af2"/>
    <w:uiPriority w:val="99"/>
    <w:semiHidden/>
    <w:rsid w:val="009230B1"/>
    <w:rPr>
      <w:sz w:val="20"/>
      <w:szCs w:val="20"/>
      <w:lang w:val="uk-UA"/>
    </w:rPr>
  </w:style>
  <w:style w:type="paragraph" w:styleId="af4">
    <w:name w:val="annotation subject"/>
    <w:basedOn w:val="af2"/>
    <w:next w:val="af2"/>
    <w:link w:val="af5"/>
    <w:uiPriority w:val="99"/>
    <w:semiHidden/>
    <w:unhideWhenUsed/>
    <w:rsid w:val="009230B1"/>
    <w:rPr>
      <w:b/>
      <w:bCs/>
    </w:rPr>
  </w:style>
  <w:style w:type="character" w:customStyle="1" w:styleId="af5">
    <w:name w:val="Тема примітки Знак"/>
    <w:basedOn w:val="af3"/>
    <w:link w:val="af4"/>
    <w:uiPriority w:val="99"/>
    <w:semiHidden/>
    <w:rsid w:val="009230B1"/>
    <w:rPr>
      <w:b/>
      <w:bCs/>
      <w:sz w:val="20"/>
      <w:szCs w:val="20"/>
      <w:lang w:val="uk-UA"/>
    </w:rPr>
  </w:style>
  <w:style w:type="character" w:customStyle="1" w:styleId="20">
    <w:name w:val="Заголовок 2 Знак"/>
    <w:basedOn w:val="a0"/>
    <w:link w:val="2"/>
    <w:uiPriority w:val="9"/>
    <w:semiHidden/>
    <w:rsid w:val="00547142"/>
    <w:rPr>
      <w:rFonts w:asciiTheme="majorHAnsi" w:eastAsiaTheme="majorEastAsia" w:hAnsiTheme="majorHAnsi" w:cstheme="majorBidi"/>
      <w:color w:val="2F5496" w:themeColor="accent1" w:themeShade="BF"/>
      <w:sz w:val="26"/>
      <w:szCs w:val="26"/>
    </w:rPr>
  </w:style>
  <w:style w:type="numbering" w:customStyle="1" w:styleId="13">
    <w:name w:val="Немає списку1"/>
    <w:next w:val="a2"/>
    <w:uiPriority w:val="99"/>
    <w:semiHidden/>
    <w:unhideWhenUsed/>
    <w:rsid w:val="00E97CFC"/>
  </w:style>
  <w:style w:type="numbering" w:customStyle="1" w:styleId="14">
    <w:name w:val="Нет списка1"/>
    <w:next w:val="a2"/>
    <w:uiPriority w:val="99"/>
    <w:semiHidden/>
    <w:unhideWhenUsed/>
    <w:rsid w:val="00E97CFC"/>
  </w:style>
  <w:style w:type="table" w:customStyle="1" w:styleId="15">
    <w:name w:val="Сітка таблиці1"/>
    <w:basedOn w:val="a1"/>
    <w:next w:val="a6"/>
    <w:uiPriority w:val="59"/>
    <w:rsid w:val="00AA205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semiHidden/>
    <w:unhideWhenUsed/>
    <w:rsid w:val="00B47F31"/>
    <w:pPr>
      <w:spacing w:before="100" w:beforeAutospacing="1" w:after="100" w:afterAutospacing="1" w:line="240" w:lineRule="auto"/>
    </w:pPr>
    <w:rPr>
      <w:rFonts w:ascii="Times New Roman" w:eastAsia="Times New Roman" w:hAnsi="Times New Roman" w:cs="Times New Roman"/>
      <w:kern w:val="0"/>
      <w:sz w:val="24"/>
      <w:szCs w:val="24"/>
      <w:lang w:val="uk-UA" w:eastAsia="uk-UA"/>
      <w14:ligatures w14:val="none"/>
    </w:rPr>
  </w:style>
  <w:style w:type="character" w:styleId="af7">
    <w:name w:val="Strong"/>
    <w:basedOn w:val="a0"/>
    <w:uiPriority w:val="22"/>
    <w:qFormat/>
    <w:rsid w:val="00B47F31"/>
    <w:rPr>
      <w:b/>
      <w:bCs/>
    </w:rPr>
  </w:style>
  <w:style w:type="character" w:styleId="af8">
    <w:name w:val="Emphasis"/>
    <w:basedOn w:val="a0"/>
    <w:uiPriority w:val="20"/>
    <w:qFormat/>
    <w:rsid w:val="00B47F31"/>
    <w:rPr>
      <w:i/>
      <w:iCs/>
    </w:rPr>
  </w:style>
  <w:style w:type="character" w:customStyle="1" w:styleId="40">
    <w:name w:val="Заголовок 4 Знак"/>
    <w:basedOn w:val="a0"/>
    <w:link w:val="4"/>
    <w:uiPriority w:val="9"/>
    <w:semiHidden/>
    <w:rsid w:val="006D014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19">
      <w:bodyDiv w:val="1"/>
      <w:marLeft w:val="0"/>
      <w:marRight w:val="0"/>
      <w:marTop w:val="0"/>
      <w:marBottom w:val="0"/>
      <w:divBdr>
        <w:top w:val="none" w:sz="0" w:space="0" w:color="auto"/>
        <w:left w:val="none" w:sz="0" w:space="0" w:color="auto"/>
        <w:bottom w:val="none" w:sz="0" w:space="0" w:color="auto"/>
        <w:right w:val="none" w:sz="0" w:space="0" w:color="auto"/>
      </w:divBdr>
    </w:div>
    <w:div w:id="23754448">
      <w:bodyDiv w:val="1"/>
      <w:marLeft w:val="0"/>
      <w:marRight w:val="0"/>
      <w:marTop w:val="0"/>
      <w:marBottom w:val="0"/>
      <w:divBdr>
        <w:top w:val="none" w:sz="0" w:space="0" w:color="auto"/>
        <w:left w:val="none" w:sz="0" w:space="0" w:color="auto"/>
        <w:bottom w:val="none" w:sz="0" w:space="0" w:color="auto"/>
        <w:right w:val="none" w:sz="0" w:space="0" w:color="auto"/>
      </w:divBdr>
    </w:div>
    <w:div w:id="31539860">
      <w:bodyDiv w:val="1"/>
      <w:marLeft w:val="0"/>
      <w:marRight w:val="0"/>
      <w:marTop w:val="0"/>
      <w:marBottom w:val="0"/>
      <w:divBdr>
        <w:top w:val="none" w:sz="0" w:space="0" w:color="auto"/>
        <w:left w:val="none" w:sz="0" w:space="0" w:color="auto"/>
        <w:bottom w:val="none" w:sz="0" w:space="0" w:color="auto"/>
        <w:right w:val="none" w:sz="0" w:space="0" w:color="auto"/>
      </w:divBdr>
      <w:divsChild>
        <w:div w:id="730035632">
          <w:marLeft w:val="0"/>
          <w:marRight w:val="0"/>
          <w:marTop w:val="0"/>
          <w:marBottom w:val="0"/>
          <w:divBdr>
            <w:top w:val="none" w:sz="0" w:space="0" w:color="auto"/>
            <w:left w:val="none" w:sz="0" w:space="0" w:color="auto"/>
            <w:bottom w:val="none" w:sz="0" w:space="0" w:color="auto"/>
            <w:right w:val="none" w:sz="0" w:space="0" w:color="auto"/>
          </w:divBdr>
        </w:div>
        <w:div w:id="454183118">
          <w:marLeft w:val="0"/>
          <w:marRight w:val="0"/>
          <w:marTop w:val="0"/>
          <w:marBottom w:val="0"/>
          <w:divBdr>
            <w:top w:val="none" w:sz="0" w:space="0" w:color="auto"/>
            <w:left w:val="none" w:sz="0" w:space="0" w:color="auto"/>
            <w:bottom w:val="none" w:sz="0" w:space="0" w:color="auto"/>
            <w:right w:val="none" w:sz="0" w:space="0" w:color="auto"/>
          </w:divBdr>
        </w:div>
        <w:div w:id="490756413">
          <w:marLeft w:val="0"/>
          <w:marRight w:val="0"/>
          <w:marTop w:val="0"/>
          <w:marBottom w:val="0"/>
          <w:divBdr>
            <w:top w:val="none" w:sz="0" w:space="0" w:color="auto"/>
            <w:left w:val="none" w:sz="0" w:space="0" w:color="auto"/>
            <w:bottom w:val="none" w:sz="0" w:space="0" w:color="auto"/>
            <w:right w:val="none" w:sz="0" w:space="0" w:color="auto"/>
          </w:divBdr>
        </w:div>
        <w:div w:id="433939610">
          <w:marLeft w:val="0"/>
          <w:marRight w:val="0"/>
          <w:marTop w:val="0"/>
          <w:marBottom w:val="0"/>
          <w:divBdr>
            <w:top w:val="none" w:sz="0" w:space="0" w:color="auto"/>
            <w:left w:val="none" w:sz="0" w:space="0" w:color="auto"/>
            <w:bottom w:val="none" w:sz="0" w:space="0" w:color="auto"/>
            <w:right w:val="none" w:sz="0" w:space="0" w:color="auto"/>
          </w:divBdr>
        </w:div>
      </w:divsChild>
    </w:div>
    <w:div w:id="44136983">
      <w:bodyDiv w:val="1"/>
      <w:marLeft w:val="0"/>
      <w:marRight w:val="0"/>
      <w:marTop w:val="0"/>
      <w:marBottom w:val="0"/>
      <w:divBdr>
        <w:top w:val="none" w:sz="0" w:space="0" w:color="auto"/>
        <w:left w:val="none" w:sz="0" w:space="0" w:color="auto"/>
        <w:bottom w:val="none" w:sz="0" w:space="0" w:color="auto"/>
        <w:right w:val="none" w:sz="0" w:space="0" w:color="auto"/>
      </w:divBdr>
    </w:div>
    <w:div w:id="60449199">
      <w:bodyDiv w:val="1"/>
      <w:marLeft w:val="0"/>
      <w:marRight w:val="0"/>
      <w:marTop w:val="0"/>
      <w:marBottom w:val="0"/>
      <w:divBdr>
        <w:top w:val="none" w:sz="0" w:space="0" w:color="auto"/>
        <w:left w:val="none" w:sz="0" w:space="0" w:color="auto"/>
        <w:bottom w:val="none" w:sz="0" w:space="0" w:color="auto"/>
        <w:right w:val="none" w:sz="0" w:space="0" w:color="auto"/>
      </w:divBdr>
    </w:div>
    <w:div w:id="73205953">
      <w:bodyDiv w:val="1"/>
      <w:marLeft w:val="0"/>
      <w:marRight w:val="0"/>
      <w:marTop w:val="0"/>
      <w:marBottom w:val="0"/>
      <w:divBdr>
        <w:top w:val="none" w:sz="0" w:space="0" w:color="auto"/>
        <w:left w:val="none" w:sz="0" w:space="0" w:color="auto"/>
        <w:bottom w:val="none" w:sz="0" w:space="0" w:color="auto"/>
        <w:right w:val="none" w:sz="0" w:space="0" w:color="auto"/>
      </w:divBdr>
    </w:div>
    <w:div w:id="82605281">
      <w:bodyDiv w:val="1"/>
      <w:marLeft w:val="0"/>
      <w:marRight w:val="0"/>
      <w:marTop w:val="0"/>
      <w:marBottom w:val="0"/>
      <w:divBdr>
        <w:top w:val="none" w:sz="0" w:space="0" w:color="auto"/>
        <w:left w:val="none" w:sz="0" w:space="0" w:color="auto"/>
        <w:bottom w:val="none" w:sz="0" w:space="0" w:color="auto"/>
        <w:right w:val="none" w:sz="0" w:space="0" w:color="auto"/>
      </w:divBdr>
    </w:div>
    <w:div w:id="83183824">
      <w:bodyDiv w:val="1"/>
      <w:marLeft w:val="0"/>
      <w:marRight w:val="0"/>
      <w:marTop w:val="0"/>
      <w:marBottom w:val="0"/>
      <w:divBdr>
        <w:top w:val="none" w:sz="0" w:space="0" w:color="auto"/>
        <w:left w:val="none" w:sz="0" w:space="0" w:color="auto"/>
        <w:bottom w:val="none" w:sz="0" w:space="0" w:color="auto"/>
        <w:right w:val="none" w:sz="0" w:space="0" w:color="auto"/>
      </w:divBdr>
    </w:div>
    <w:div w:id="84503719">
      <w:bodyDiv w:val="1"/>
      <w:marLeft w:val="0"/>
      <w:marRight w:val="0"/>
      <w:marTop w:val="0"/>
      <w:marBottom w:val="0"/>
      <w:divBdr>
        <w:top w:val="none" w:sz="0" w:space="0" w:color="auto"/>
        <w:left w:val="none" w:sz="0" w:space="0" w:color="auto"/>
        <w:bottom w:val="none" w:sz="0" w:space="0" w:color="auto"/>
        <w:right w:val="none" w:sz="0" w:space="0" w:color="auto"/>
      </w:divBdr>
    </w:div>
    <w:div w:id="104351430">
      <w:bodyDiv w:val="1"/>
      <w:marLeft w:val="0"/>
      <w:marRight w:val="0"/>
      <w:marTop w:val="0"/>
      <w:marBottom w:val="0"/>
      <w:divBdr>
        <w:top w:val="none" w:sz="0" w:space="0" w:color="auto"/>
        <w:left w:val="none" w:sz="0" w:space="0" w:color="auto"/>
        <w:bottom w:val="none" w:sz="0" w:space="0" w:color="auto"/>
        <w:right w:val="none" w:sz="0" w:space="0" w:color="auto"/>
      </w:divBdr>
    </w:div>
    <w:div w:id="105275534">
      <w:bodyDiv w:val="1"/>
      <w:marLeft w:val="0"/>
      <w:marRight w:val="0"/>
      <w:marTop w:val="0"/>
      <w:marBottom w:val="0"/>
      <w:divBdr>
        <w:top w:val="none" w:sz="0" w:space="0" w:color="auto"/>
        <w:left w:val="none" w:sz="0" w:space="0" w:color="auto"/>
        <w:bottom w:val="none" w:sz="0" w:space="0" w:color="auto"/>
        <w:right w:val="none" w:sz="0" w:space="0" w:color="auto"/>
      </w:divBdr>
    </w:div>
    <w:div w:id="107356730">
      <w:bodyDiv w:val="1"/>
      <w:marLeft w:val="0"/>
      <w:marRight w:val="0"/>
      <w:marTop w:val="0"/>
      <w:marBottom w:val="0"/>
      <w:divBdr>
        <w:top w:val="none" w:sz="0" w:space="0" w:color="auto"/>
        <w:left w:val="none" w:sz="0" w:space="0" w:color="auto"/>
        <w:bottom w:val="none" w:sz="0" w:space="0" w:color="auto"/>
        <w:right w:val="none" w:sz="0" w:space="0" w:color="auto"/>
      </w:divBdr>
    </w:div>
    <w:div w:id="118574933">
      <w:bodyDiv w:val="1"/>
      <w:marLeft w:val="0"/>
      <w:marRight w:val="0"/>
      <w:marTop w:val="0"/>
      <w:marBottom w:val="0"/>
      <w:divBdr>
        <w:top w:val="none" w:sz="0" w:space="0" w:color="auto"/>
        <w:left w:val="none" w:sz="0" w:space="0" w:color="auto"/>
        <w:bottom w:val="none" w:sz="0" w:space="0" w:color="auto"/>
        <w:right w:val="none" w:sz="0" w:space="0" w:color="auto"/>
      </w:divBdr>
    </w:div>
    <w:div w:id="124740563">
      <w:bodyDiv w:val="1"/>
      <w:marLeft w:val="0"/>
      <w:marRight w:val="0"/>
      <w:marTop w:val="0"/>
      <w:marBottom w:val="0"/>
      <w:divBdr>
        <w:top w:val="none" w:sz="0" w:space="0" w:color="auto"/>
        <w:left w:val="none" w:sz="0" w:space="0" w:color="auto"/>
        <w:bottom w:val="none" w:sz="0" w:space="0" w:color="auto"/>
        <w:right w:val="none" w:sz="0" w:space="0" w:color="auto"/>
      </w:divBdr>
    </w:div>
    <w:div w:id="125395013">
      <w:bodyDiv w:val="1"/>
      <w:marLeft w:val="0"/>
      <w:marRight w:val="0"/>
      <w:marTop w:val="0"/>
      <w:marBottom w:val="0"/>
      <w:divBdr>
        <w:top w:val="none" w:sz="0" w:space="0" w:color="auto"/>
        <w:left w:val="none" w:sz="0" w:space="0" w:color="auto"/>
        <w:bottom w:val="none" w:sz="0" w:space="0" w:color="auto"/>
        <w:right w:val="none" w:sz="0" w:space="0" w:color="auto"/>
      </w:divBdr>
    </w:div>
    <w:div w:id="126246416">
      <w:bodyDiv w:val="1"/>
      <w:marLeft w:val="0"/>
      <w:marRight w:val="0"/>
      <w:marTop w:val="0"/>
      <w:marBottom w:val="0"/>
      <w:divBdr>
        <w:top w:val="none" w:sz="0" w:space="0" w:color="auto"/>
        <w:left w:val="none" w:sz="0" w:space="0" w:color="auto"/>
        <w:bottom w:val="none" w:sz="0" w:space="0" w:color="auto"/>
        <w:right w:val="none" w:sz="0" w:space="0" w:color="auto"/>
      </w:divBdr>
    </w:div>
    <w:div w:id="144319181">
      <w:bodyDiv w:val="1"/>
      <w:marLeft w:val="0"/>
      <w:marRight w:val="0"/>
      <w:marTop w:val="0"/>
      <w:marBottom w:val="0"/>
      <w:divBdr>
        <w:top w:val="none" w:sz="0" w:space="0" w:color="auto"/>
        <w:left w:val="none" w:sz="0" w:space="0" w:color="auto"/>
        <w:bottom w:val="none" w:sz="0" w:space="0" w:color="auto"/>
        <w:right w:val="none" w:sz="0" w:space="0" w:color="auto"/>
      </w:divBdr>
    </w:div>
    <w:div w:id="157505504">
      <w:bodyDiv w:val="1"/>
      <w:marLeft w:val="0"/>
      <w:marRight w:val="0"/>
      <w:marTop w:val="0"/>
      <w:marBottom w:val="0"/>
      <w:divBdr>
        <w:top w:val="none" w:sz="0" w:space="0" w:color="auto"/>
        <w:left w:val="none" w:sz="0" w:space="0" w:color="auto"/>
        <w:bottom w:val="none" w:sz="0" w:space="0" w:color="auto"/>
        <w:right w:val="none" w:sz="0" w:space="0" w:color="auto"/>
      </w:divBdr>
    </w:div>
    <w:div w:id="217976788">
      <w:bodyDiv w:val="1"/>
      <w:marLeft w:val="0"/>
      <w:marRight w:val="0"/>
      <w:marTop w:val="0"/>
      <w:marBottom w:val="0"/>
      <w:divBdr>
        <w:top w:val="none" w:sz="0" w:space="0" w:color="auto"/>
        <w:left w:val="none" w:sz="0" w:space="0" w:color="auto"/>
        <w:bottom w:val="none" w:sz="0" w:space="0" w:color="auto"/>
        <w:right w:val="none" w:sz="0" w:space="0" w:color="auto"/>
      </w:divBdr>
    </w:div>
    <w:div w:id="235165940">
      <w:bodyDiv w:val="1"/>
      <w:marLeft w:val="0"/>
      <w:marRight w:val="0"/>
      <w:marTop w:val="0"/>
      <w:marBottom w:val="0"/>
      <w:divBdr>
        <w:top w:val="none" w:sz="0" w:space="0" w:color="auto"/>
        <w:left w:val="none" w:sz="0" w:space="0" w:color="auto"/>
        <w:bottom w:val="none" w:sz="0" w:space="0" w:color="auto"/>
        <w:right w:val="none" w:sz="0" w:space="0" w:color="auto"/>
      </w:divBdr>
    </w:div>
    <w:div w:id="244924968">
      <w:bodyDiv w:val="1"/>
      <w:marLeft w:val="0"/>
      <w:marRight w:val="0"/>
      <w:marTop w:val="0"/>
      <w:marBottom w:val="0"/>
      <w:divBdr>
        <w:top w:val="none" w:sz="0" w:space="0" w:color="auto"/>
        <w:left w:val="none" w:sz="0" w:space="0" w:color="auto"/>
        <w:bottom w:val="none" w:sz="0" w:space="0" w:color="auto"/>
        <w:right w:val="none" w:sz="0" w:space="0" w:color="auto"/>
      </w:divBdr>
    </w:div>
    <w:div w:id="245267643">
      <w:bodyDiv w:val="1"/>
      <w:marLeft w:val="0"/>
      <w:marRight w:val="0"/>
      <w:marTop w:val="0"/>
      <w:marBottom w:val="0"/>
      <w:divBdr>
        <w:top w:val="none" w:sz="0" w:space="0" w:color="auto"/>
        <w:left w:val="none" w:sz="0" w:space="0" w:color="auto"/>
        <w:bottom w:val="none" w:sz="0" w:space="0" w:color="auto"/>
        <w:right w:val="none" w:sz="0" w:space="0" w:color="auto"/>
      </w:divBdr>
    </w:div>
    <w:div w:id="245699170">
      <w:bodyDiv w:val="1"/>
      <w:marLeft w:val="0"/>
      <w:marRight w:val="0"/>
      <w:marTop w:val="0"/>
      <w:marBottom w:val="0"/>
      <w:divBdr>
        <w:top w:val="none" w:sz="0" w:space="0" w:color="auto"/>
        <w:left w:val="none" w:sz="0" w:space="0" w:color="auto"/>
        <w:bottom w:val="none" w:sz="0" w:space="0" w:color="auto"/>
        <w:right w:val="none" w:sz="0" w:space="0" w:color="auto"/>
      </w:divBdr>
    </w:div>
    <w:div w:id="252593335">
      <w:bodyDiv w:val="1"/>
      <w:marLeft w:val="0"/>
      <w:marRight w:val="0"/>
      <w:marTop w:val="0"/>
      <w:marBottom w:val="0"/>
      <w:divBdr>
        <w:top w:val="none" w:sz="0" w:space="0" w:color="auto"/>
        <w:left w:val="none" w:sz="0" w:space="0" w:color="auto"/>
        <w:bottom w:val="none" w:sz="0" w:space="0" w:color="auto"/>
        <w:right w:val="none" w:sz="0" w:space="0" w:color="auto"/>
      </w:divBdr>
    </w:div>
    <w:div w:id="263264744">
      <w:bodyDiv w:val="1"/>
      <w:marLeft w:val="0"/>
      <w:marRight w:val="0"/>
      <w:marTop w:val="0"/>
      <w:marBottom w:val="0"/>
      <w:divBdr>
        <w:top w:val="none" w:sz="0" w:space="0" w:color="auto"/>
        <w:left w:val="none" w:sz="0" w:space="0" w:color="auto"/>
        <w:bottom w:val="none" w:sz="0" w:space="0" w:color="auto"/>
        <w:right w:val="none" w:sz="0" w:space="0" w:color="auto"/>
      </w:divBdr>
    </w:div>
    <w:div w:id="265962073">
      <w:bodyDiv w:val="1"/>
      <w:marLeft w:val="0"/>
      <w:marRight w:val="0"/>
      <w:marTop w:val="0"/>
      <w:marBottom w:val="0"/>
      <w:divBdr>
        <w:top w:val="none" w:sz="0" w:space="0" w:color="auto"/>
        <w:left w:val="none" w:sz="0" w:space="0" w:color="auto"/>
        <w:bottom w:val="none" w:sz="0" w:space="0" w:color="auto"/>
        <w:right w:val="none" w:sz="0" w:space="0" w:color="auto"/>
      </w:divBdr>
    </w:div>
    <w:div w:id="274140600">
      <w:bodyDiv w:val="1"/>
      <w:marLeft w:val="0"/>
      <w:marRight w:val="0"/>
      <w:marTop w:val="0"/>
      <w:marBottom w:val="0"/>
      <w:divBdr>
        <w:top w:val="none" w:sz="0" w:space="0" w:color="auto"/>
        <w:left w:val="none" w:sz="0" w:space="0" w:color="auto"/>
        <w:bottom w:val="none" w:sz="0" w:space="0" w:color="auto"/>
        <w:right w:val="none" w:sz="0" w:space="0" w:color="auto"/>
      </w:divBdr>
    </w:div>
    <w:div w:id="274601611">
      <w:bodyDiv w:val="1"/>
      <w:marLeft w:val="0"/>
      <w:marRight w:val="0"/>
      <w:marTop w:val="0"/>
      <w:marBottom w:val="0"/>
      <w:divBdr>
        <w:top w:val="none" w:sz="0" w:space="0" w:color="auto"/>
        <w:left w:val="none" w:sz="0" w:space="0" w:color="auto"/>
        <w:bottom w:val="none" w:sz="0" w:space="0" w:color="auto"/>
        <w:right w:val="none" w:sz="0" w:space="0" w:color="auto"/>
      </w:divBdr>
    </w:div>
    <w:div w:id="277032303">
      <w:bodyDiv w:val="1"/>
      <w:marLeft w:val="0"/>
      <w:marRight w:val="0"/>
      <w:marTop w:val="0"/>
      <w:marBottom w:val="0"/>
      <w:divBdr>
        <w:top w:val="none" w:sz="0" w:space="0" w:color="auto"/>
        <w:left w:val="none" w:sz="0" w:space="0" w:color="auto"/>
        <w:bottom w:val="none" w:sz="0" w:space="0" w:color="auto"/>
        <w:right w:val="none" w:sz="0" w:space="0" w:color="auto"/>
      </w:divBdr>
    </w:div>
    <w:div w:id="277756033">
      <w:bodyDiv w:val="1"/>
      <w:marLeft w:val="0"/>
      <w:marRight w:val="0"/>
      <w:marTop w:val="0"/>
      <w:marBottom w:val="0"/>
      <w:divBdr>
        <w:top w:val="none" w:sz="0" w:space="0" w:color="auto"/>
        <w:left w:val="none" w:sz="0" w:space="0" w:color="auto"/>
        <w:bottom w:val="none" w:sz="0" w:space="0" w:color="auto"/>
        <w:right w:val="none" w:sz="0" w:space="0" w:color="auto"/>
      </w:divBdr>
    </w:div>
    <w:div w:id="286476244">
      <w:bodyDiv w:val="1"/>
      <w:marLeft w:val="0"/>
      <w:marRight w:val="0"/>
      <w:marTop w:val="0"/>
      <w:marBottom w:val="0"/>
      <w:divBdr>
        <w:top w:val="none" w:sz="0" w:space="0" w:color="auto"/>
        <w:left w:val="none" w:sz="0" w:space="0" w:color="auto"/>
        <w:bottom w:val="none" w:sz="0" w:space="0" w:color="auto"/>
        <w:right w:val="none" w:sz="0" w:space="0" w:color="auto"/>
      </w:divBdr>
    </w:div>
    <w:div w:id="292828532">
      <w:bodyDiv w:val="1"/>
      <w:marLeft w:val="0"/>
      <w:marRight w:val="0"/>
      <w:marTop w:val="0"/>
      <w:marBottom w:val="0"/>
      <w:divBdr>
        <w:top w:val="none" w:sz="0" w:space="0" w:color="auto"/>
        <w:left w:val="none" w:sz="0" w:space="0" w:color="auto"/>
        <w:bottom w:val="none" w:sz="0" w:space="0" w:color="auto"/>
        <w:right w:val="none" w:sz="0" w:space="0" w:color="auto"/>
      </w:divBdr>
    </w:div>
    <w:div w:id="295525007">
      <w:bodyDiv w:val="1"/>
      <w:marLeft w:val="0"/>
      <w:marRight w:val="0"/>
      <w:marTop w:val="0"/>
      <w:marBottom w:val="0"/>
      <w:divBdr>
        <w:top w:val="none" w:sz="0" w:space="0" w:color="auto"/>
        <w:left w:val="none" w:sz="0" w:space="0" w:color="auto"/>
        <w:bottom w:val="none" w:sz="0" w:space="0" w:color="auto"/>
        <w:right w:val="none" w:sz="0" w:space="0" w:color="auto"/>
      </w:divBdr>
    </w:div>
    <w:div w:id="316493776">
      <w:bodyDiv w:val="1"/>
      <w:marLeft w:val="0"/>
      <w:marRight w:val="0"/>
      <w:marTop w:val="0"/>
      <w:marBottom w:val="0"/>
      <w:divBdr>
        <w:top w:val="none" w:sz="0" w:space="0" w:color="auto"/>
        <w:left w:val="none" w:sz="0" w:space="0" w:color="auto"/>
        <w:bottom w:val="none" w:sz="0" w:space="0" w:color="auto"/>
        <w:right w:val="none" w:sz="0" w:space="0" w:color="auto"/>
      </w:divBdr>
    </w:div>
    <w:div w:id="324288485">
      <w:bodyDiv w:val="1"/>
      <w:marLeft w:val="0"/>
      <w:marRight w:val="0"/>
      <w:marTop w:val="0"/>
      <w:marBottom w:val="0"/>
      <w:divBdr>
        <w:top w:val="none" w:sz="0" w:space="0" w:color="auto"/>
        <w:left w:val="none" w:sz="0" w:space="0" w:color="auto"/>
        <w:bottom w:val="none" w:sz="0" w:space="0" w:color="auto"/>
        <w:right w:val="none" w:sz="0" w:space="0" w:color="auto"/>
      </w:divBdr>
    </w:div>
    <w:div w:id="330649035">
      <w:bodyDiv w:val="1"/>
      <w:marLeft w:val="0"/>
      <w:marRight w:val="0"/>
      <w:marTop w:val="0"/>
      <w:marBottom w:val="0"/>
      <w:divBdr>
        <w:top w:val="none" w:sz="0" w:space="0" w:color="auto"/>
        <w:left w:val="none" w:sz="0" w:space="0" w:color="auto"/>
        <w:bottom w:val="none" w:sz="0" w:space="0" w:color="auto"/>
        <w:right w:val="none" w:sz="0" w:space="0" w:color="auto"/>
      </w:divBdr>
    </w:div>
    <w:div w:id="349186900">
      <w:bodyDiv w:val="1"/>
      <w:marLeft w:val="0"/>
      <w:marRight w:val="0"/>
      <w:marTop w:val="0"/>
      <w:marBottom w:val="0"/>
      <w:divBdr>
        <w:top w:val="none" w:sz="0" w:space="0" w:color="auto"/>
        <w:left w:val="none" w:sz="0" w:space="0" w:color="auto"/>
        <w:bottom w:val="none" w:sz="0" w:space="0" w:color="auto"/>
        <w:right w:val="none" w:sz="0" w:space="0" w:color="auto"/>
      </w:divBdr>
    </w:div>
    <w:div w:id="352734453">
      <w:bodyDiv w:val="1"/>
      <w:marLeft w:val="0"/>
      <w:marRight w:val="0"/>
      <w:marTop w:val="0"/>
      <w:marBottom w:val="0"/>
      <w:divBdr>
        <w:top w:val="none" w:sz="0" w:space="0" w:color="auto"/>
        <w:left w:val="none" w:sz="0" w:space="0" w:color="auto"/>
        <w:bottom w:val="none" w:sz="0" w:space="0" w:color="auto"/>
        <w:right w:val="none" w:sz="0" w:space="0" w:color="auto"/>
      </w:divBdr>
    </w:div>
    <w:div w:id="360277947">
      <w:bodyDiv w:val="1"/>
      <w:marLeft w:val="0"/>
      <w:marRight w:val="0"/>
      <w:marTop w:val="0"/>
      <w:marBottom w:val="0"/>
      <w:divBdr>
        <w:top w:val="none" w:sz="0" w:space="0" w:color="auto"/>
        <w:left w:val="none" w:sz="0" w:space="0" w:color="auto"/>
        <w:bottom w:val="none" w:sz="0" w:space="0" w:color="auto"/>
        <w:right w:val="none" w:sz="0" w:space="0" w:color="auto"/>
      </w:divBdr>
    </w:div>
    <w:div w:id="368729769">
      <w:bodyDiv w:val="1"/>
      <w:marLeft w:val="0"/>
      <w:marRight w:val="0"/>
      <w:marTop w:val="0"/>
      <w:marBottom w:val="0"/>
      <w:divBdr>
        <w:top w:val="none" w:sz="0" w:space="0" w:color="auto"/>
        <w:left w:val="none" w:sz="0" w:space="0" w:color="auto"/>
        <w:bottom w:val="none" w:sz="0" w:space="0" w:color="auto"/>
        <w:right w:val="none" w:sz="0" w:space="0" w:color="auto"/>
      </w:divBdr>
    </w:div>
    <w:div w:id="375085089">
      <w:bodyDiv w:val="1"/>
      <w:marLeft w:val="0"/>
      <w:marRight w:val="0"/>
      <w:marTop w:val="0"/>
      <w:marBottom w:val="0"/>
      <w:divBdr>
        <w:top w:val="none" w:sz="0" w:space="0" w:color="auto"/>
        <w:left w:val="none" w:sz="0" w:space="0" w:color="auto"/>
        <w:bottom w:val="none" w:sz="0" w:space="0" w:color="auto"/>
        <w:right w:val="none" w:sz="0" w:space="0" w:color="auto"/>
      </w:divBdr>
    </w:div>
    <w:div w:id="376004571">
      <w:bodyDiv w:val="1"/>
      <w:marLeft w:val="0"/>
      <w:marRight w:val="0"/>
      <w:marTop w:val="0"/>
      <w:marBottom w:val="0"/>
      <w:divBdr>
        <w:top w:val="none" w:sz="0" w:space="0" w:color="auto"/>
        <w:left w:val="none" w:sz="0" w:space="0" w:color="auto"/>
        <w:bottom w:val="none" w:sz="0" w:space="0" w:color="auto"/>
        <w:right w:val="none" w:sz="0" w:space="0" w:color="auto"/>
      </w:divBdr>
    </w:div>
    <w:div w:id="376585141">
      <w:bodyDiv w:val="1"/>
      <w:marLeft w:val="0"/>
      <w:marRight w:val="0"/>
      <w:marTop w:val="0"/>
      <w:marBottom w:val="0"/>
      <w:divBdr>
        <w:top w:val="none" w:sz="0" w:space="0" w:color="auto"/>
        <w:left w:val="none" w:sz="0" w:space="0" w:color="auto"/>
        <w:bottom w:val="none" w:sz="0" w:space="0" w:color="auto"/>
        <w:right w:val="none" w:sz="0" w:space="0" w:color="auto"/>
      </w:divBdr>
    </w:div>
    <w:div w:id="380522826">
      <w:bodyDiv w:val="1"/>
      <w:marLeft w:val="0"/>
      <w:marRight w:val="0"/>
      <w:marTop w:val="0"/>
      <w:marBottom w:val="0"/>
      <w:divBdr>
        <w:top w:val="none" w:sz="0" w:space="0" w:color="auto"/>
        <w:left w:val="none" w:sz="0" w:space="0" w:color="auto"/>
        <w:bottom w:val="none" w:sz="0" w:space="0" w:color="auto"/>
        <w:right w:val="none" w:sz="0" w:space="0" w:color="auto"/>
      </w:divBdr>
    </w:div>
    <w:div w:id="391123477">
      <w:bodyDiv w:val="1"/>
      <w:marLeft w:val="0"/>
      <w:marRight w:val="0"/>
      <w:marTop w:val="0"/>
      <w:marBottom w:val="0"/>
      <w:divBdr>
        <w:top w:val="none" w:sz="0" w:space="0" w:color="auto"/>
        <w:left w:val="none" w:sz="0" w:space="0" w:color="auto"/>
        <w:bottom w:val="none" w:sz="0" w:space="0" w:color="auto"/>
        <w:right w:val="none" w:sz="0" w:space="0" w:color="auto"/>
      </w:divBdr>
    </w:div>
    <w:div w:id="398983623">
      <w:bodyDiv w:val="1"/>
      <w:marLeft w:val="0"/>
      <w:marRight w:val="0"/>
      <w:marTop w:val="0"/>
      <w:marBottom w:val="0"/>
      <w:divBdr>
        <w:top w:val="none" w:sz="0" w:space="0" w:color="auto"/>
        <w:left w:val="none" w:sz="0" w:space="0" w:color="auto"/>
        <w:bottom w:val="none" w:sz="0" w:space="0" w:color="auto"/>
        <w:right w:val="none" w:sz="0" w:space="0" w:color="auto"/>
      </w:divBdr>
    </w:div>
    <w:div w:id="403455196">
      <w:bodyDiv w:val="1"/>
      <w:marLeft w:val="0"/>
      <w:marRight w:val="0"/>
      <w:marTop w:val="0"/>
      <w:marBottom w:val="0"/>
      <w:divBdr>
        <w:top w:val="none" w:sz="0" w:space="0" w:color="auto"/>
        <w:left w:val="none" w:sz="0" w:space="0" w:color="auto"/>
        <w:bottom w:val="none" w:sz="0" w:space="0" w:color="auto"/>
        <w:right w:val="none" w:sz="0" w:space="0" w:color="auto"/>
      </w:divBdr>
    </w:div>
    <w:div w:id="408965296">
      <w:bodyDiv w:val="1"/>
      <w:marLeft w:val="0"/>
      <w:marRight w:val="0"/>
      <w:marTop w:val="0"/>
      <w:marBottom w:val="0"/>
      <w:divBdr>
        <w:top w:val="none" w:sz="0" w:space="0" w:color="auto"/>
        <w:left w:val="none" w:sz="0" w:space="0" w:color="auto"/>
        <w:bottom w:val="none" w:sz="0" w:space="0" w:color="auto"/>
        <w:right w:val="none" w:sz="0" w:space="0" w:color="auto"/>
      </w:divBdr>
    </w:div>
    <w:div w:id="413092825">
      <w:bodyDiv w:val="1"/>
      <w:marLeft w:val="0"/>
      <w:marRight w:val="0"/>
      <w:marTop w:val="0"/>
      <w:marBottom w:val="0"/>
      <w:divBdr>
        <w:top w:val="none" w:sz="0" w:space="0" w:color="auto"/>
        <w:left w:val="none" w:sz="0" w:space="0" w:color="auto"/>
        <w:bottom w:val="none" w:sz="0" w:space="0" w:color="auto"/>
        <w:right w:val="none" w:sz="0" w:space="0" w:color="auto"/>
      </w:divBdr>
    </w:div>
    <w:div w:id="417676052">
      <w:bodyDiv w:val="1"/>
      <w:marLeft w:val="0"/>
      <w:marRight w:val="0"/>
      <w:marTop w:val="0"/>
      <w:marBottom w:val="0"/>
      <w:divBdr>
        <w:top w:val="none" w:sz="0" w:space="0" w:color="auto"/>
        <w:left w:val="none" w:sz="0" w:space="0" w:color="auto"/>
        <w:bottom w:val="none" w:sz="0" w:space="0" w:color="auto"/>
        <w:right w:val="none" w:sz="0" w:space="0" w:color="auto"/>
      </w:divBdr>
    </w:div>
    <w:div w:id="441606998">
      <w:bodyDiv w:val="1"/>
      <w:marLeft w:val="0"/>
      <w:marRight w:val="0"/>
      <w:marTop w:val="0"/>
      <w:marBottom w:val="0"/>
      <w:divBdr>
        <w:top w:val="none" w:sz="0" w:space="0" w:color="auto"/>
        <w:left w:val="none" w:sz="0" w:space="0" w:color="auto"/>
        <w:bottom w:val="none" w:sz="0" w:space="0" w:color="auto"/>
        <w:right w:val="none" w:sz="0" w:space="0" w:color="auto"/>
      </w:divBdr>
    </w:div>
    <w:div w:id="445541437">
      <w:bodyDiv w:val="1"/>
      <w:marLeft w:val="0"/>
      <w:marRight w:val="0"/>
      <w:marTop w:val="0"/>
      <w:marBottom w:val="0"/>
      <w:divBdr>
        <w:top w:val="none" w:sz="0" w:space="0" w:color="auto"/>
        <w:left w:val="none" w:sz="0" w:space="0" w:color="auto"/>
        <w:bottom w:val="none" w:sz="0" w:space="0" w:color="auto"/>
        <w:right w:val="none" w:sz="0" w:space="0" w:color="auto"/>
      </w:divBdr>
      <w:divsChild>
        <w:div w:id="1661156122">
          <w:marLeft w:val="0"/>
          <w:marRight w:val="0"/>
          <w:marTop w:val="15"/>
          <w:marBottom w:val="0"/>
          <w:divBdr>
            <w:top w:val="single" w:sz="48" w:space="0" w:color="auto"/>
            <w:left w:val="single" w:sz="48" w:space="0" w:color="auto"/>
            <w:bottom w:val="single" w:sz="48" w:space="0" w:color="auto"/>
            <w:right w:val="single" w:sz="48" w:space="0" w:color="auto"/>
          </w:divBdr>
          <w:divsChild>
            <w:div w:id="1656255489">
              <w:marLeft w:val="0"/>
              <w:marRight w:val="0"/>
              <w:marTop w:val="0"/>
              <w:marBottom w:val="0"/>
              <w:divBdr>
                <w:top w:val="none" w:sz="0" w:space="0" w:color="auto"/>
                <w:left w:val="none" w:sz="0" w:space="0" w:color="auto"/>
                <w:bottom w:val="none" w:sz="0" w:space="0" w:color="auto"/>
                <w:right w:val="none" w:sz="0" w:space="0" w:color="auto"/>
              </w:divBdr>
              <w:divsChild>
                <w:div w:id="20009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30144">
      <w:bodyDiv w:val="1"/>
      <w:marLeft w:val="0"/>
      <w:marRight w:val="0"/>
      <w:marTop w:val="0"/>
      <w:marBottom w:val="0"/>
      <w:divBdr>
        <w:top w:val="none" w:sz="0" w:space="0" w:color="auto"/>
        <w:left w:val="none" w:sz="0" w:space="0" w:color="auto"/>
        <w:bottom w:val="none" w:sz="0" w:space="0" w:color="auto"/>
        <w:right w:val="none" w:sz="0" w:space="0" w:color="auto"/>
      </w:divBdr>
    </w:div>
    <w:div w:id="493187482">
      <w:bodyDiv w:val="1"/>
      <w:marLeft w:val="0"/>
      <w:marRight w:val="0"/>
      <w:marTop w:val="0"/>
      <w:marBottom w:val="0"/>
      <w:divBdr>
        <w:top w:val="none" w:sz="0" w:space="0" w:color="auto"/>
        <w:left w:val="none" w:sz="0" w:space="0" w:color="auto"/>
        <w:bottom w:val="none" w:sz="0" w:space="0" w:color="auto"/>
        <w:right w:val="none" w:sz="0" w:space="0" w:color="auto"/>
      </w:divBdr>
    </w:div>
    <w:div w:id="497161505">
      <w:bodyDiv w:val="1"/>
      <w:marLeft w:val="0"/>
      <w:marRight w:val="0"/>
      <w:marTop w:val="0"/>
      <w:marBottom w:val="0"/>
      <w:divBdr>
        <w:top w:val="none" w:sz="0" w:space="0" w:color="auto"/>
        <w:left w:val="none" w:sz="0" w:space="0" w:color="auto"/>
        <w:bottom w:val="none" w:sz="0" w:space="0" w:color="auto"/>
        <w:right w:val="none" w:sz="0" w:space="0" w:color="auto"/>
      </w:divBdr>
    </w:div>
    <w:div w:id="510460498">
      <w:bodyDiv w:val="1"/>
      <w:marLeft w:val="0"/>
      <w:marRight w:val="0"/>
      <w:marTop w:val="0"/>
      <w:marBottom w:val="0"/>
      <w:divBdr>
        <w:top w:val="none" w:sz="0" w:space="0" w:color="auto"/>
        <w:left w:val="none" w:sz="0" w:space="0" w:color="auto"/>
        <w:bottom w:val="none" w:sz="0" w:space="0" w:color="auto"/>
        <w:right w:val="none" w:sz="0" w:space="0" w:color="auto"/>
      </w:divBdr>
      <w:divsChild>
        <w:div w:id="2099399718">
          <w:marLeft w:val="0"/>
          <w:marRight w:val="0"/>
          <w:marTop w:val="0"/>
          <w:marBottom w:val="0"/>
          <w:divBdr>
            <w:top w:val="none" w:sz="0" w:space="0" w:color="auto"/>
            <w:left w:val="none" w:sz="0" w:space="0" w:color="auto"/>
            <w:bottom w:val="none" w:sz="0" w:space="0" w:color="auto"/>
            <w:right w:val="none" w:sz="0" w:space="0" w:color="auto"/>
          </w:divBdr>
        </w:div>
        <w:div w:id="1855143435">
          <w:marLeft w:val="0"/>
          <w:marRight w:val="0"/>
          <w:marTop w:val="0"/>
          <w:marBottom w:val="0"/>
          <w:divBdr>
            <w:top w:val="none" w:sz="0" w:space="0" w:color="auto"/>
            <w:left w:val="none" w:sz="0" w:space="0" w:color="auto"/>
            <w:bottom w:val="none" w:sz="0" w:space="0" w:color="auto"/>
            <w:right w:val="none" w:sz="0" w:space="0" w:color="auto"/>
          </w:divBdr>
        </w:div>
        <w:div w:id="1233465319">
          <w:marLeft w:val="0"/>
          <w:marRight w:val="0"/>
          <w:marTop w:val="0"/>
          <w:marBottom w:val="0"/>
          <w:divBdr>
            <w:top w:val="none" w:sz="0" w:space="0" w:color="auto"/>
            <w:left w:val="none" w:sz="0" w:space="0" w:color="auto"/>
            <w:bottom w:val="none" w:sz="0" w:space="0" w:color="auto"/>
            <w:right w:val="none" w:sz="0" w:space="0" w:color="auto"/>
          </w:divBdr>
        </w:div>
        <w:div w:id="1306082972">
          <w:marLeft w:val="0"/>
          <w:marRight w:val="0"/>
          <w:marTop w:val="0"/>
          <w:marBottom w:val="0"/>
          <w:divBdr>
            <w:top w:val="none" w:sz="0" w:space="0" w:color="auto"/>
            <w:left w:val="none" w:sz="0" w:space="0" w:color="auto"/>
            <w:bottom w:val="none" w:sz="0" w:space="0" w:color="auto"/>
            <w:right w:val="none" w:sz="0" w:space="0" w:color="auto"/>
          </w:divBdr>
        </w:div>
        <w:div w:id="4291289">
          <w:marLeft w:val="0"/>
          <w:marRight w:val="0"/>
          <w:marTop w:val="0"/>
          <w:marBottom w:val="0"/>
          <w:divBdr>
            <w:top w:val="none" w:sz="0" w:space="0" w:color="auto"/>
            <w:left w:val="none" w:sz="0" w:space="0" w:color="auto"/>
            <w:bottom w:val="none" w:sz="0" w:space="0" w:color="auto"/>
            <w:right w:val="none" w:sz="0" w:space="0" w:color="auto"/>
          </w:divBdr>
        </w:div>
        <w:div w:id="1942251108">
          <w:marLeft w:val="0"/>
          <w:marRight w:val="0"/>
          <w:marTop w:val="0"/>
          <w:marBottom w:val="0"/>
          <w:divBdr>
            <w:top w:val="none" w:sz="0" w:space="0" w:color="auto"/>
            <w:left w:val="none" w:sz="0" w:space="0" w:color="auto"/>
            <w:bottom w:val="none" w:sz="0" w:space="0" w:color="auto"/>
            <w:right w:val="none" w:sz="0" w:space="0" w:color="auto"/>
          </w:divBdr>
        </w:div>
      </w:divsChild>
    </w:div>
    <w:div w:id="522669211">
      <w:bodyDiv w:val="1"/>
      <w:marLeft w:val="0"/>
      <w:marRight w:val="0"/>
      <w:marTop w:val="0"/>
      <w:marBottom w:val="0"/>
      <w:divBdr>
        <w:top w:val="none" w:sz="0" w:space="0" w:color="auto"/>
        <w:left w:val="none" w:sz="0" w:space="0" w:color="auto"/>
        <w:bottom w:val="none" w:sz="0" w:space="0" w:color="auto"/>
        <w:right w:val="none" w:sz="0" w:space="0" w:color="auto"/>
      </w:divBdr>
    </w:div>
    <w:div w:id="530580536">
      <w:bodyDiv w:val="1"/>
      <w:marLeft w:val="0"/>
      <w:marRight w:val="0"/>
      <w:marTop w:val="0"/>
      <w:marBottom w:val="0"/>
      <w:divBdr>
        <w:top w:val="none" w:sz="0" w:space="0" w:color="auto"/>
        <w:left w:val="none" w:sz="0" w:space="0" w:color="auto"/>
        <w:bottom w:val="none" w:sz="0" w:space="0" w:color="auto"/>
        <w:right w:val="none" w:sz="0" w:space="0" w:color="auto"/>
      </w:divBdr>
    </w:div>
    <w:div w:id="535041754">
      <w:bodyDiv w:val="1"/>
      <w:marLeft w:val="0"/>
      <w:marRight w:val="0"/>
      <w:marTop w:val="0"/>
      <w:marBottom w:val="0"/>
      <w:divBdr>
        <w:top w:val="none" w:sz="0" w:space="0" w:color="auto"/>
        <w:left w:val="none" w:sz="0" w:space="0" w:color="auto"/>
        <w:bottom w:val="none" w:sz="0" w:space="0" w:color="auto"/>
        <w:right w:val="none" w:sz="0" w:space="0" w:color="auto"/>
      </w:divBdr>
    </w:div>
    <w:div w:id="535435585">
      <w:bodyDiv w:val="1"/>
      <w:marLeft w:val="0"/>
      <w:marRight w:val="0"/>
      <w:marTop w:val="0"/>
      <w:marBottom w:val="0"/>
      <w:divBdr>
        <w:top w:val="none" w:sz="0" w:space="0" w:color="auto"/>
        <w:left w:val="none" w:sz="0" w:space="0" w:color="auto"/>
        <w:bottom w:val="none" w:sz="0" w:space="0" w:color="auto"/>
        <w:right w:val="none" w:sz="0" w:space="0" w:color="auto"/>
      </w:divBdr>
    </w:div>
    <w:div w:id="543179523">
      <w:bodyDiv w:val="1"/>
      <w:marLeft w:val="0"/>
      <w:marRight w:val="0"/>
      <w:marTop w:val="0"/>
      <w:marBottom w:val="0"/>
      <w:divBdr>
        <w:top w:val="none" w:sz="0" w:space="0" w:color="auto"/>
        <w:left w:val="none" w:sz="0" w:space="0" w:color="auto"/>
        <w:bottom w:val="none" w:sz="0" w:space="0" w:color="auto"/>
        <w:right w:val="none" w:sz="0" w:space="0" w:color="auto"/>
      </w:divBdr>
    </w:div>
    <w:div w:id="557785756">
      <w:bodyDiv w:val="1"/>
      <w:marLeft w:val="0"/>
      <w:marRight w:val="0"/>
      <w:marTop w:val="0"/>
      <w:marBottom w:val="0"/>
      <w:divBdr>
        <w:top w:val="none" w:sz="0" w:space="0" w:color="auto"/>
        <w:left w:val="none" w:sz="0" w:space="0" w:color="auto"/>
        <w:bottom w:val="none" w:sz="0" w:space="0" w:color="auto"/>
        <w:right w:val="none" w:sz="0" w:space="0" w:color="auto"/>
      </w:divBdr>
    </w:div>
    <w:div w:id="561211925">
      <w:bodyDiv w:val="1"/>
      <w:marLeft w:val="0"/>
      <w:marRight w:val="0"/>
      <w:marTop w:val="0"/>
      <w:marBottom w:val="0"/>
      <w:divBdr>
        <w:top w:val="none" w:sz="0" w:space="0" w:color="auto"/>
        <w:left w:val="none" w:sz="0" w:space="0" w:color="auto"/>
        <w:bottom w:val="none" w:sz="0" w:space="0" w:color="auto"/>
        <w:right w:val="none" w:sz="0" w:space="0" w:color="auto"/>
      </w:divBdr>
    </w:div>
    <w:div w:id="585579428">
      <w:bodyDiv w:val="1"/>
      <w:marLeft w:val="0"/>
      <w:marRight w:val="0"/>
      <w:marTop w:val="0"/>
      <w:marBottom w:val="0"/>
      <w:divBdr>
        <w:top w:val="none" w:sz="0" w:space="0" w:color="auto"/>
        <w:left w:val="none" w:sz="0" w:space="0" w:color="auto"/>
        <w:bottom w:val="none" w:sz="0" w:space="0" w:color="auto"/>
        <w:right w:val="none" w:sz="0" w:space="0" w:color="auto"/>
      </w:divBdr>
    </w:div>
    <w:div w:id="600575262">
      <w:bodyDiv w:val="1"/>
      <w:marLeft w:val="0"/>
      <w:marRight w:val="0"/>
      <w:marTop w:val="0"/>
      <w:marBottom w:val="0"/>
      <w:divBdr>
        <w:top w:val="none" w:sz="0" w:space="0" w:color="auto"/>
        <w:left w:val="none" w:sz="0" w:space="0" w:color="auto"/>
        <w:bottom w:val="none" w:sz="0" w:space="0" w:color="auto"/>
        <w:right w:val="none" w:sz="0" w:space="0" w:color="auto"/>
      </w:divBdr>
    </w:div>
    <w:div w:id="614217387">
      <w:bodyDiv w:val="1"/>
      <w:marLeft w:val="0"/>
      <w:marRight w:val="0"/>
      <w:marTop w:val="0"/>
      <w:marBottom w:val="0"/>
      <w:divBdr>
        <w:top w:val="none" w:sz="0" w:space="0" w:color="auto"/>
        <w:left w:val="none" w:sz="0" w:space="0" w:color="auto"/>
        <w:bottom w:val="none" w:sz="0" w:space="0" w:color="auto"/>
        <w:right w:val="none" w:sz="0" w:space="0" w:color="auto"/>
      </w:divBdr>
    </w:div>
    <w:div w:id="640383363">
      <w:bodyDiv w:val="1"/>
      <w:marLeft w:val="0"/>
      <w:marRight w:val="0"/>
      <w:marTop w:val="0"/>
      <w:marBottom w:val="0"/>
      <w:divBdr>
        <w:top w:val="none" w:sz="0" w:space="0" w:color="auto"/>
        <w:left w:val="none" w:sz="0" w:space="0" w:color="auto"/>
        <w:bottom w:val="none" w:sz="0" w:space="0" w:color="auto"/>
        <w:right w:val="none" w:sz="0" w:space="0" w:color="auto"/>
      </w:divBdr>
    </w:div>
    <w:div w:id="640691814">
      <w:bodyDiv w:val="1"/>
      <w:marLeft w:val="0"/>
      <w:marRight w:val="0"/>
      <w:marTop w:val="0"/>
      <w:marBottom w:val="0"/>
      <w:divBdr>
        <w:top w:val="none" w:sz="0" w:space="0" w:color="auto"/>
        <w:left w:val="none" w:sz="0" w:space="0" w:color="auto"/>
        <w:bottom w:val="none" w:sz="0" w:space="0" w:color="auto"/>
        <w:right w:val="none" w:sz="0" w:space="0" w:color="auto"/>
      </w:divBdr>
    </w:div>
    <w:div w:id="646324994">
      <w:bodyDiv w:val="1"/>
      <w:marLeft w:val="0"/>
      <w:marRight w:val="0"/>
      <w:marTop w:val="0"/>
      <w:marBottom w:val="0"/>
      <w:divBdr>
        <w:top w:val="none" w:sz="0" w:space="0" w:color="auto"/>
        <w:left w:val="none" w:sz="0" w:space="0" w:color="auto"/>
        <w:bottom w:val="none" w:sz="0" w:space="0" w:color="auto"/>
        <w:right w:val="none" w:sz="0" w:space="0" w:color="auto"/>
      </w:divBdr>
    </w:div>
    <w:div w:id="647981775">
      <w:bodyDiv w:val="1"/>
      <w:marLeft w:val="0"/>
      <w:marRight w:val="0"/>
      <w:marTop w:val="0"/>
      <w:marBottom w:val="0"/>
      <w:divBdr>
        <w:top w:val="none" w:sz="0" w:space="0" w:color="auto"/>
        <w:left w:val="none" w:sz="0" w:space="0" w:color="auto"/>
        <w:bottom w:val="none" w:sz="0" w:space="0" w:color="auto"/>
        <w:right w:val="none" w:sz="0" w:space="0" w:color="auto"/>
      </w:divBdr>
    </w:div>
    <w:div w:id="665209031">
      <w:bodyDiv w:val="1"/>
      <w:marLeft w:val="0"/>
      <w:marRight w:val="0"/>
      <w:marTop w:val="0"/>
      <w:marBottom w:val="0"/>
      <w:divBdr>
        <w:top w:val="none" w:sz="0" w:space="0" w:color="auto"/>
        <w:left w:val="none" w:sz="0" w:space="0" w:color="auto"/>
        <w:bottom w:val="none" w:sz="0" w:space="0" w:color="auto"/>
        <w:right w:val="none" w:sz="0" w:space="0" w:color="auto"/>
      </w:divBdr>
    </w:div>
    <w:div w:id="694115838">
      <w:bodyDiv w:val="1"/>
      <w:marLeft w:val="0"/>
      <w:marRight w:val="0"/>
      <w:marTop w:val="0"/>
      <w:marBottom w:val="0"/>
      <w:divBdr>
        <w:top w:val="none" w:sz="0" w:space="0" w:color="auto"/>
        <w:left w:val="none" w:sz="0" w:space="0" w:color="auto"/>
        <w:bottom w:val="none" w:sz="0" w:space="0" w:color="auto"/>
        <w:right w:val="none" w:sz="0" w:space="0" w:color="auto"/>
      </w:divBdr>
      <w:divsChild>
        <w:div w:id="1019547400">
          <w:marLeft w:val="0"/>
          <w:marRight w:val="0"/>
          <w:marTop w:val="0"/>
          <w:marBottom w:val="0"/>
          <w:divBdr>
            <w:top w:val="none" w:sz="0" w:space="0" w:color="auto"/>
            <w:left w:val="none" w:sz="0" w:space="0" w:color="auto"/>
            <w:bottom w:val="none" w:sz="0" w:space="0" w:color="auto"/>
            <w:right w:val="none" w:sz="0" w:space="0" w:color="auto"/>
          </w:divBdr>
        </w:div>
        <w:div w:id="1158422558">
          <w:marLeft w:val="0"/>
          <w:marRight w:val="0"/>
          <w:marTop w:val="0"/>
          <w:marBottom w:val="0"/>
          <w:divBdr>
            <w:top w:val="none" w:sz="0" w:space="0" w:color="auto"/>
            <w:left w:val="none" w:sz="0" w:space="0" w:color="auto"/>
            <w:bottom w:val="none" w:sz="0" w:space="0" w:color="auto"/>
            <w:right w:val="none" w:sz="0" w:space="0" w:color="auto"/>
          </w:divBdr>
        </w:div>
        <w:div w:id="624241284">
          <w:marLeft w:val="0"/>
          <w:marRight w:val="0"/>
          <w:marTop w:val="0"/>
          <w:marBottom w:val="0"/>
          <w:divBdr>
            <w:top w:val="none" w:sz="0" w:space="0" w:color="auto"/>
            <w:left w:val="none" w:sz="0" w:space="0" w:color="auto"/>
            <w:bottom w:val="none" w:sz="0" w:space="0" w:color="auto"/>
            <w:right w:val="none" w:sz="0" w:space="0" w:color="auto"/>
          </w:divBdr>
        </w:div>
      </w:divsChild>
    </w:div>
    <w:div w:id="725496658">
      <w:bodyDiv w:val="1"/>
      <w:marLeft w:val="0"/>
      <w:marRight w:val="0"/>
      <w:marTop w:val="0"/>
      <w:marBottom w:val="0"/>
      <w:divBdr>
        <w:top w:val="none" w:sz="0" w:space="0" w:color="auto"/>
        <w:left w:val="none" w:sz="0" w:space="0" w:color="auto"/>
        <w:bottom w:val="none" w:sz="0" w:space="0" w:color="auto"/>
        <w:right w:val="none" w:sz="0" w:space="0" w:color="auto"/>
      </w:divBdr>
    </w:div>
    <w:div w:id="728919493">
      <w:bodyDiv w:val="1"/>
      <w:marLeft w:val="0"/>
      <w:marRight w:val="0"/>
      <w:marTop w:val="0"/>
      <w:marBottom w:val="0"/>
      <w:divBdr>
        <w:top w:val="none" w:sz="0" w:space="0" w:color="auto"/>
        <w:left w:val="none" w:sz="0" w:space="0" w:color="auto"/>
        <w:bottom w:val="none" w:sz="0" w:space="0" w:color="auto"/>
        <w:right w:val="none" w:sz="0" w:space="0" w:color="auto"/>
      </w:divBdr>
    </w:div>
    <w:div w:id="758256764">
      <w:bodyDiv w:val="1"/>
      <w:marLeft w:val="0"/>
      <w:marRight w:val="0"/>
      <w:marTop w:val="0"/>
      <w:marBottom w:val="0"/>
      <w:divBdr>
        <w:top w:val="none" w:sz="0" w:space="0" w:color="auto"/>
        <w:left w:val="none" w:sz="0" w:space="0" w:color="auto"/>
        <w:bottom w:val="none" w:sz="0" w:space="0" w:color="auto"/>
        <w:right w:val="none" w:sz="0" w:space="0" w:color="auto"/>
      </w:divBdr>
    </w:div>
    <w:div w:id="765077094">
      <w:bodyDiv w:val="1"/>
      <w:marLeft w:val="0"/>
      <w:marRight w:val="0"/>
      <w:marTop w:val="0"/>
      <w:marBottom w:val="0"/>
      <w:divBdr>
        <w:top w:val="none" w:sz="0" w:space="0" w:color="auto"/>
        <w:left w:val="none" w:sz="0" w:space="0" w:color="auto"/>
        <w:bottom w:val="none" w:sz="0" w:space="0" w:color="auto"/>
        <w:right w:val="none" w:sz="0" w:space="0" w:color="auto"/>
      </w:divBdr>
    </w:div>
    <w:div w:id="784539968">
      <w:bodyDiv w:val="1"/>
      <w:marLeft w:val="0"/>
      <w:marRight w:val="0"/>
      <w:marTop w:val="0"/>
      <w:marBottom w:val="0"/>
      <w:divBdr>
        <w:top w:val="none" w:sz="0" w:space="0" w:color="auto"/>
        <w:left w:val="none" w:sz="0" w:space="0" w:color="auto"/>
        <w:bottom w:val="none" w:sz="0" w:space="0" w:color="auto"/>
        <w:right w:val="none" w:sz="0" w:space="0" w:color="auto"/>
      </w:divBdr>
    </w:div>
    <w:div w:id="799687835">
      <w:bodyDiv w:val="1"/>
      <w:marLeft w:val="0"/>
      <w:marRight w:val="0"/>
      <w:marTop w:val="0"/>
      <w:marBottom w:val="0"/>
      <w:divBdr>
        <w:top w:val="none" w:sz="0" w:space="0" w:color="auto"/>
        <w:left w:val="none" w:sz="0" w:space="0" w:color="auto"/>
        <w:bottom w:val="none" w:sz="0" w:space="0" w:color="auto"/>
        <w:right w:val="none" w:sz="0" w:space="0" w:color="auto"/>
      </w:divBdr>
    </w:div>
    <w:div w:id="802965878">
      <w:bodyDiv w:val="1"/>
      <w:marLeft w:val="0"/>
      <w:marRight w:val="0"/>
      <w:marTop w:val="0"/>
      <w:marBottom w:val="0"/>
      <w:divBdr>
        <w:top w:val="none" w:sz="0" w:space="0" w:color="auto"/>
        <w:left w:val="none" w:sz="0" w:space="0" w:color="auto"/>
        <w:bottom w:val="none" w:sz="0" w:space="0" w:color="auto"/>
        <w:right w:val="none" w:sz="0" w:space="0" w:color="auto"/>
      </w:divBdr>
    </w:div>
    <w:div w:id="809515790">
      <w:bodyDiv w:val="1"/>
      <w:marLeft w:val="0"/>
      <w:marRight w:val="0"/>
      <w:marTop w:val="0"/>
      <w:marBottom w:val="0"/>
      <w:divBdr>
        <w:top w:val="none" w:sz="0" w:space="0" w:color="auto"/>
        <w:left w:val="none" w:sz="0" w:space="0" w:color="auto"/>
        <w:bottom w:val="none" w:sz="0" w:space="0" w:color="auto"/>
        <w:right w:val="none" w:sz="0" w:space="0" w:color="auto"/>
      </w:divBdr>
    </w:div>
    <w:div w:id="809904365">
      <w:bodyDiv w:val="1"/>
      <w:marLeft w:val="0"/>
      <w:marRight w:val="0"/>
      <w:marTop w:val="0"/>
      <w:marBottom w:val="0"/>
      <w:divBdr>
        <w:top w:val="none" w:sz="0" w:space="0" w:color="auto"/>
        <w:left w:val="none" w:sz="0" w:space="0" w:color="auto"/>
        <w:bottom w:val="none" w:sz="0" w:space="0" w:color="auto"/>
        <w:right w:val="none" w:sz="0" w:space="0" w:color="auto"/>
      </w:divBdr>
    </w:div>
    <w:div w:id="822352920">
      <w:bodyDiv w:val="1"/>
      <w:marLeft w:val="0"/>
      <w:marRight w:val="0"/>
      <w:marTop w:val="0"/>
      <w:marBottom w:val="0"/>
      <w:divBdr>
        <w:top w:val="none" w:sz="0" w:space="0" w:color="auto"/>
        <w:left w:val="none" w:sz="0" w:space="0" w:color="auto"/>
        <w:bottom w:val="none" w:sz="0" w:space="0" w:color="auto"/>
        <w:right w:val="none" w:sz="0" w:space="0" w:color="auto"/>
      </w:divBdr>
    </w:div>
    <w:div w:id="824126646">
      <w:bodyDiv w:val="1"/>
      <w:marLeft w:val="0"/>
      <w:marRight w:val="0"/>
      <w:marTop w:val="0"/>
      <w:marBottom w:val="0"/>
      <w:divBdr>
        <w:top w:val="none" w:sz="0" w:space="0" w:color="auto"/>
        <w:left w:val="none" w:sz="0" w:space="0" w:color="auto"/>
        <w:bottom w:val="none" w:sz="0" w:space="0" w:color="auto"/>
        <w:right w:val="none" w:sz="0" w:space="0" w:color="auto"/>
      </w:divBdr>
    </w:div>
    <w:div w:id="827017883">
      <w:bodyDiv w:val="1"/>
      <w:marLeft w:val="0"/>
      <w:marRight w:val="0"/>
      <w:marTop w:val="0"/>
      <w:marBottom w:val="0"/>
      <w:divBdr>
        <w:top w:val="none" w:sz="0" w:space="0" w:color="auto"/>
        <w:left w:val="none" w:sz="0" w:space="0" w:color="auto"/>
        <w:bottom w:val="none" w:sz="0" w:space="0" w:color="auto"/>
        <w:right w:val="none" w:sz="0" w:space="0" w:color="auto"/>
      </w:divBdr>
    </w:div>
    <w:div w:id="836504434">
      <w:bodyDiv w:val="1"/>
      <w:marLeft w:val="0"/>
      <w:marRight w:val="0"/>
      <w:marTop w:val="0"/>
      <w:marBottom w:val="0"/>
      <w:divBdr>
        <w:top w:val="none" w:sz="0" w:space="0" w:color="auto"/>
        <w:left w:val="none" w:sz="0" w:space="0" w:color="auto"/>
        <w:bottom w:val="none" w:sz="0" w:space="0" w:color="auto"/>
        <w:right w:val="none" w:sz="0" w:space="0" w:color="auto"/>
      </w:divBdr>
    </w:div>
    <w:div w:id="854923782">
      <w:bodyDiv w:val="1"/>
      <w:marLeft w:val="0"/>
      <w:marRight w:val="0"/>
      <w:marTop w:val="0"/>
      <w:marBottom w:val="0"/>
      <w:divBdr>
        <w:top w:val="none" w:sz="0" w:space="0" w:color="auto"/>
        <w:left w:val="none" w:sz="0" w:space="0" w:color="auto"/>
        <w:bottom w:val="none" w:sz="0" w:space="0" w:color="auto"/>
        <w:right w:val="none" w:sz="0" w:space="0" w:color="auto"/>
      </w:divBdr>
    </w:div>
    <w:div w:id="855771818">
      <w:bodyDiv w:val="1"/>
      <w:marLeft w:val="0"/>
      <w:marRight w:val="0"/>
      <w:marTop w:val="0"/>
      <w:marBottom w:val="0"/>
      <w:divBdr>
        <w:top w:val="none" w:sz="0" w:space="0" w:color="auto"/>
        <w:left w:val="none" w:sz="0" w:space="0" w:color="auto"/>
        <w:bottom w:val="none" w:sz="0" w:space="0" w:color="auto"/>
        <w:right w:val="none" w:sz="0" w:space="0" w:color="auto"/>
      </w:divBdr>
    </w:div>
    <w:div w:id="881482855">
      <w:bodyDiv w:val="1"/>
      <w:marLeft w:val="0"/>
      <w:marRight w:val="0"/>
      <w:marTop w:val="0"/>
      <w:marBottom w:val="0"/>
      <w:divBdr>
        <w:top w:val="none" w:sz="0" w:space="0" w:color="auto"/>
        <w:left w:val="none" w:sz="0" w:space="0" w:color="auto"/>
        <w:bottom w:val="none" w:sz="0" w:space="0" w:color="auto"/>
        <w:right w:val="none" w:sz="0" w:space="0" w:color="auto"/>
      </w:divBdr>
    </w:div>
    <w:div w:id="893666021">
      <w:bodyDiv w:val="1"/>
      <w:marLeft w:val="0"/>
      <w:marRight w:val="0"/>
      <w:marTop w:val="0"/>
      <w:marBottom w:val="0"/>
      <w:divBdr>
        <w:top w:val="none" w:sz="0" w:space="0" w:color="auto"/>
        <w:left w:val="none" w:sz="0" w:space="0" w:color="auto"/>
        <w:bottom w:val="none" w:sz="0" w:space="0" w:color="auto"/>
        <w:right w:val="none" w:sz="0" w:space="0" w:color="auto"/>
      </w:divBdr>
    </w:div>
    <w:div w:id="906955310">
      <w:bodyDiv w:val="1"/>
      <w:marLeft w:val="0"/>
      <w:marRight w:val="0"/>
      <w:marTop w:val="0"/>
      <w:marBottom w:val="0"/>
      <w:divBdr>
        <w:top w:val="none" w:sz="0" w:space="0" w:color="auto"/>
        <w:left w:val="none" w:sz="0" w:space="0" w:color="auto"/>
        <w:bottom w:val="none" w:sz="0" w:space="0" w:color="auto"/>
        <w:right w:val="none" w:sz="0" w:space="0" w:color="auto"/>
      </w:divBdr>
    </w:div>
    <w:div w:id="928663366">
      <w:bodyDiv w:val="1"/>
      <w:marLeft w:val="0"/>
      <w:marRight w:val="0"/>
      <w:marTop w:val="0"/>
      <w:marBottom w:val="0"/>
      <w:divBdr>
        <w:top w:val="none" w:sz="0" w:space="0" w:color="auto"/>
        <w:left w:val="none" w:sz="0" w:space="0" w:color="auto"/>
        <w:bottom w:val="none" w:sz="0" w:space="0" w:color="auto"/>
        <w:right w:val="none" w:sz="0" w:space="0" w:color="auto"/>
      </w:divBdr>
    </w:div>
    <w:div w:id="948702529">
      <w:bodyDiv w:val="1"/>
      <w:marLeft w:val="0"/>
      <w:marRight w:val="0"/>
      <w:marTop w:val="0"/>
      <w:marBottom w:val="0"/>
      <w:divBdr>
        <w:top w:val="none" w:sz="0" w:space="0" w:color="auto"/>
        <w:left w:val="none" w:sz="0" w:space="0" w:color="auto"/>
        <w:bottom w:val="none" w:sz="0" w:space="0" w:color="auto"/>
        <w:right w:val="none" w:sz="0" w:space="0" w:color="auto"/>
      </w:divBdr>
    </w:div>
    <w:div w:id="950211463">
      <w:bodyDiv w:val="1"/>
      <w:marLeft w:val="0"/>
      <w:marRight w:val="0"/>
      <w:marTop w:val="0"/>
      <w:marBottom w:val="0"/>
      <w:divBdr>
        <w:top w:val="none" w:sz="0" w:space="0" w:color="auto"/>
        <w:left w:val="none" w:sz="0" w:space="0" w:color="auto"/>
        <w:bottom w:val="none" w:sz="0" w:space="0" w:color="auto"/>
        <w:right w:val="none" w:sz="0" w:space="0" w:color="auto"/>
      </w:divBdr>
    </w:div>
    <w:div w:id="966085770">
      <w:bodyDiv w:val="1"/>
      <w:marLeft w:val="0"/>
      <w:marRight w:val="0"/>
      <w:marTop w:val="0"/>
      <w:marBottom w:val="0"/>
      <w:divBdr>
        <w:top w:val="none" w:sz="0" w:space="0" w:color="auto"/>
        <w:left w:val="none" w:sz="0" w:space="0" w:color="auto"/>
        <w:bottom w:val="none" w:sz="0" w:space="0" w:color="auto"/>
        <w:right w:val="none" w:sz="0" w:space="0" w:color="auto"/>
      </w:divBdr>
    </w:div>
    <w:div w:id="972758422">
      <w:bodyDiv w:val="1"/>
      <w:marLeft w:val="0"/>
      <w:marRight w:val="0"/>
      <w:marTop w:val="0"/>
      <w:marBottom w:val="0"/>
      <w:divBdr>
        <w:top w:val="none" w:sz="0" w:space="0" w:color="auto"/>
        <w:left w:val="none" w:sz="0" w:space="0" w:color="auto"/>
        <w:bottom w:val="none" w:sz="0" w:space="0" w:color="auto"/>
        <w:right w:val="none" w:sz="0" w:space="0" w:color="auto"/>
      </w:divBdr>
    </w:div>
    <w:div w:id="987972720">
      <w:bodyDiv w:val="1"/>
      <w:marLeft w:val="0"/>
      <w:marRight w:val="0"/>
      <w:marTop w:val="0"/>
      <w:marBottom w:val="0"/>
      <w:divBdr>
        <w:top w:val="none" w:sz="0" w:space="0" w:color="auto"/>
        <w:left w:val="none" w:sz="0" w:space="0" w:color="auto"/>
        <w:bottom w:val="none" w:sz="0" w:space="0" w:color="auto"/>
        <w:right w:val="none" w:sz="0" w:space="0" w:color="auto"/>
      </w:divBdr>
    </w:div>
    <w:div w:id="988437347">
      <w:bodyDiv w:val="1"/>
      <w:marLeft w:val="0"/>
      <w:marRight w:val="0"/>
      <w:marTop w:val="0"/>
      <w:marBottom w:val="0"/>
      <w:divBdr>
        <w:top w:val="none" w:sz="0" w:space="0" w:color="auto"/>
        <w:left w:val="none" w:sz="0" w:space="0" w:color="auto"/>
        <w:bottom w:val="none" w:sz="0" w:space="0" w:color="auto"/>
        <w:right w:val="none" w:sz="0" w:space="0" w:color="auto"/>
      </w:divBdr>
    </w:div>
    <w:div w:id="1012561678">
      <w:bodyDiv w:val="1"/>
      <w:marLeft w:val="0"/>
      <w:marRight w:val="0"/>
      <w:marTop w:val="0"/>
      <w:marBottom w:val="0"/>
      <w:divBdr>
        <w:top w:val="none" w:sz="0" w:space="0" w:color="auto"/>
        <w:left w:val="none" w:sz="0" w:space="0" w:color="auto"/>
        <w:bottom w:val="none" w:sz="0" w:space="0" w:color="auto"/>
        <w:right w:val="none" w:sz="0" w:space="0" w:color="auto"/>
      </w:divBdr>
    </w:div>
    <w:div w:id="1032926885">
      <w:bodyDiv w:val="1"/>
      <w:marLeft w:val="0"/>
      <w:marRight w:val="0"/>
      <w:marTop w:val="0"/>
      <w:marBottom w:val="0"/>
      <w:divBdr>
        <w:top w:val="none" w:sz="0" w:space="0" w:color="auto"/>
        <w:left w:val="none" w:sz="0" w:space="0" w:color="auto"/>
        <w:bottom w:val="none" w:sz="0" w:space="0" w:color="auto"/>
        <w:right w:val="none" w:sz="0" w:space="0" w:color="auto"/>
      </w:divBdr>
    </w:div>
    <w:div w:id="1047072932">
      <w:bodyDiv w:val="1"/>
      <w:marLeft w:val="0"/>
      <w:marRight w:val="0"/>
      <w:marTop w:val="0"/>
      <w:marBottom w:val="0"/>
      <w:divBdr>
        <w:top w:val="none" w:sz="0" w:space="0" w:color="auto"/>
        <w:left w:val="none" w:sz="0" w:space="0" w:color="auto"/>
        <w:bottom w:val="none" w:sz="0" w:space="0" w:color="auto"/>
        <w:right w:val="none" w:sz="0" w:space="0" w:color="auto"/>
      </w:divBdr>
    </w:div>
    <w:div w:id="1064449633">
      <w:bodyDiv w:val="1"/>
      <w:marLeft w:val="0"/>
      <w:marRight w:val="0"/>
      <w:marTop w:val="0"/>
      <w:marBottom w:val="0"/>
      <w:divBdr>
        <w:top w:val="none" w:sz="0" w:space="0" w:color="auto"/>
        <w:left w:val="none" w:sz="0" w:space="0" w:color="auto"/>
        <w:bottom w:val="none" w:sz="0" w:space="0" w:color="auto"/>
        <w:right w:val="none" w:sz="0" w:space="0" w:color="auto"/>
      </w:divBdr>
    </w:div>
    <w:div w:id="1067607908">
      <w:bodyDiv w:val="1"/>
      <w:marLeft w:val="0"/>
      <w:marRight w:val="0"/>
      <w:marTop w:val="0"/>
      <w:marBottom w:val="0"/>
      <w:divBdr>
        <w:top w:val="none" w:sz="0" w:space="0" w:color="auto"/>
        <w:left w:val="none" w:sz="0" w:space="0" w:color="auto"/>
        <w:bottom w:val="none" w:sz="0" w:space="0" w:color="auto"/>
        <w:right w:val="none" w:sz="0" w:space="0" w:color="auto"/>
      </w:divBdr>
    </w:div>
    <w:div w:id="1071974333">
      <w:bodyDiv w:val="1"/>
      <w:marLeft w:val="0"/>
      <w:marRight w:val="0"/>
      <w:marTop w:val="0"/>
      <w:marBottom w:val="0"/>
      <w:divBdr>
        <w:top w:val="none" w:sz="0" w:space="0" w:color="auto"/>
        <w:left w:val="none" w:sz="0" w:space="0" w:color="auto"/>
        <w:bottom w:val="none" w:sz="0" w:space="0" w:color="auto"/>
        <w:right w:val="none" w:sz="0" w:space="0" w:color="auto"/>
      </w:divBdr>
    </w:div>
    <w:div w:id="1075394395">
      <w:bodyDiv w:val="1"/>
      <w:marLeft w:val="0"/>
      <w:marRight w:val="0"/>
      <w:marTop w:val="0"/>
      <w:marBottom w:val="0"/>
      <w:divBdr>
        <w:top w:val="none" w:sz="0" w:space="0" w:color="auto"/>
        <w:left w:val="none" w:sz="0" w:space="0" w:color="auto"/>
        <w:bottom w:val="none" w:sz="0" w:space="0" w:color="auto"/>
        <w:right w:val="none" w:sz="0" w:space="0" w:color="auto"/>
      </w:divBdr>
    </w:div>
    <w:div w:id="1079909040">
      <w:bodyDiv w:val="1"/>
      <w:marLeft w:val="0"/>
      <w:marRight w:val="0"/>
      <w:marTop w:val="0"/>
      <w:marBottom w:val="0"/>
      <w:divBdr>
        <w:top w:val="none" w:sz="0" w:space="0" w:color="auto"/>
        <w:left w:val="none" w:sz="0" w:space="0" w:color="auto"/>
        <w:bottom w:val="none" w:sz="0" w:space="0" w:color="auto"/>
        <w:right w:val="none" w:sz="0" w:space="0" w:color="auto"/>
      </w:divBdr>
    </w:div>
    <w:div w:id="1098135909">
      <w:bodyDiv w:val="1"/>
      <w:marLeft w:val="0"/>
      <w:marRight w:val="0"/>
      <w:marTop w:val="0"/>
      <w:marBottom w:val="0"/>
      <w:divBdr>
        <w:top w:val="none" w:sz="0" w:space="0" w:color="auto"/>
        <w:left w:val="none" w:sz="0" w:space="0" w:color="auto"/>
        <w:bottom w:val="none" w:sz="0" w:space="0" w:color="auto"/>
        <w:right w:val="none" w:sz="0" w:space="0" w:color="auto"/>
      </w:divBdr>
    </w:div>
    <w:div w:id="1118376042">
      <w:bodyDiv w:val="1"/>
      <w:marLeft w:val="0"/>
      <w:marRight w:val="0"/>
      <w:marTop w:val="0"/>
      <w:marBottom w:val="0"/>
      <w:divBdr>
        <w:top w:val="none" w:sz="0" w:space="0" w:color="auto"/>
        <w:left w:val="none" w:sz="0" w:space="0" w:color="auto"/>
        <w:bottom w:val="none" w:sz="0" w:space="0" w:color="auto"/>
        <w:right w:val="none" w:sz="0" w:space="0" w:color="auto"/>
      </w:divBdr>
    </w:div>
    <w:div w:id="1142194128">
      <w:bodyDiv w:val="1"/>
      <w:marLeft w:val="0"/>
      <w:marRight w:val="0"/>
      <w:marTop w:val="0"/>
      <w:marBottom w:val="0"/>
      <w:divBdr>
        <w:top w:val="none" w:sz="0" w:space="0" w:color="auto"/>
        <w:left w:val="none" w:sz="0" w:space="0" w:color="auto"/>
        <w:bottom w:val="none" w:sz="0" w:space="0" w:color="auto"/>
        <w:right w:val="none" w:sz="0" w:space="0" w:color="auto"/>
      </w:divBdr>
    </w:div>
    <w:div w:id="1149788970">
      <w:bodyDiv w:val="1"/>
      <w:marLeft w:val="0"/>
      <w:marRight w:val="0"/>
      <w:marTop w:val="0"/>
      <w:marBottom w:val="0"/>
      <w:divBdr>
        <w:top w:val="none" w:sz="0" w:space="0" w:color="auto"/>
        <w:left w:val="none" w:sz="0" w:space="0" w:color="auto"/>
        <w:bottom w:val="none" w:sz="0" w:space="0" w:color="auto"/>
        <w:right w:val="none" w:sz="0" w:space="0" w:color="auto"/>
      </w:divBdr>
    </w:div>
    <w:div w:id="1150092922">
      <w:bodyDiv w:val="1"/>
      <w:marLeft w:val="0"/>
      <w:marRight w:val="0"/>
      <w:marTop w:val="0"/>
      <w:marBottom w:val="0"/>
      <w:divBdr>
        <w:top w:val="none" w:sz="0" w:space="0" w:color="auto"/>
        <w:left w:val="none" w:sz="0" w:space="0" w:color="auto"/>
        <w:bottom w:val="none" w:sz="0" w:space="0" w:color="auto"/>
        <w:right w:val="none" w:sz="0" w:space="0" w:color="auto"/>
      </w:divBdr>
    </w:div>
    <w:div w:id="1154877448">
      <w:bodyDiv w:val="1"/>
      <w:marLeft w:val="0"/>
      <w:marRight w:val="0"/>
      <w:marTop w:val="0"/>
      <w:marBottom w:val="0"/>
      <w:divBdr>
        <w:top w:val="none" w:sz="0" w:space="0" w:color="auto"/>
        <w:left w:val="none" w:sz="0" w:space="0" w:color="auto"/>
        <w:bottom w:val="none" w:sz="0" w:space="0" w:color="auto"/>
        <w:right w:val="none" w:sz="0" w:space="0" w:color="auto"/>
      </w:divBdr>
      <w:divsChild>
        <w:div w:id="1141268595">
          <w:marLeft w:val="0"/>
          <w:marRight w:val="0"/>
          <w:marTop w:val="0"/>
          <w:marBottom w:val="0"/>
          <w:divBdr>
            <w:top w:val="none" w:sz="0" w:space="0" w:color="auto"/>
            <w:left w:val="none" w:sz="0" w:space="0" w:color="auto"/>
            <w:bottom w:val="none" w:sz="0" w:space="0" w:color="auto"/>
            <w:right w:val="none" w:sz="0" w:space="0" w:color="auto"/>
          </w:divBdr>
        </w:div>
        <w:div w:id="1022362049">
          <w:marLeft w:val="0"/>
          <w:marRight w:val="0"/>
          <w:marTop w:val="0"/>
          <w:marBottom w:val="0"/>
          <w:divBdr>
            <w:top w:val="none" w:sz="0" w:space="0" w:color="auto"/>
            <w:left w:val="none" w:sz="0" w:space="0" w:color="auto"/>
            <w:bottom w:val="none" w:sz="0" w:space="0" w:color="auto"/>
            <w:right w:val="none" w:sz="0" w:space="0" w:color="auto"/>
          </w:divBdr>
        </w:div>
      </w:divsChild>
    </w:div>
    <w:div w:id="1164004378">
      <w:bodyDiv w:val="1"/>
      <w:marLeft w:val="0"/>
      <w:marRight w:val="0"/>
      <w:marTop w:val="0"/>
      <w:marBottom w:val="0"/>
      <w:divBdr>
        <w:top w:val="none" w:sz="0" w:space="0" w:color="auto"/>
        <w:left w:val="none" w:sz="0" w:space="0" w:color="auto"/>
        <w:bottom w:val="none" w:sz="0" w:space="0" w:color="auto"/>
        <w:right w:val="none" w:sz="0" w:space="0" w:color="auto"/>
      </w:divBdr>
    </w:div>
    <w:div w:id="1172834487">
      <w:bodyDiv w:val="1"/>
      <w:marLeft w:val="0"/>
      <w:marRight w:val="0"/>
      <w:marTop w:val="0"/>
      <w:marBottom w:val="0"/>
      <w:divBdr>
        <w:top w:val="none" w:sz="0" w:space="0" w:color="auto"/>
        <w:left w:val="none" w:sz="0" w:space="0" w:color="auto"/>
        <w:bottom w:val="none" w:sz="0" w:space="0" w:color="auto"/>
        <w:right w:val="none" w:sz="0" w:space="0" w:color="auto"/>
      </w:divBdr>
    </w:div>
    <w:div w:id="1187404326">
      <w:bodyDiv w:val="1"/>
      <w:marLeft w:val="0"/>
      <w:marRight w:val="0"/>
      <w:marTop w:val="0"/>
      <w:marBottom w:val="0"/>
      <w:divBdr>
        <w:top w:val="none" w:sz="0" w:space="0" w:color="auto"/>
        <w:left w:val="none" w:sz="0" w:space="0" w:color="auto"/>
        <w:bottom w:val="none" w:sz="0" w:space="0" w:color="auto"/>
        <w:right w:val="none" w:sz="0" w:space="0" w:color="auto"/>
      </w:divBdr>
    </w:div>
    <w:div w:id="1223252149">
      <w:bodyDiv w:val="1"/>
      <w:marLeft w:val="0"/>
      <w:marRight w:val="0"/>
      <w:marTop w:val="0"/>
      <w:marBottom w:val="0"/>
      <w:divBdr>
        <w:top w:val="none" w:sz="0" w:space="0" w:color="auto"/>
        <w:left w:val="none" w:sz="0" w:space="0" w:color="auto"/>
        <w:bottom w:val="none" w:sz="0" w:space="0" w:color="auto"/>
        <w:right w:val="none" w:sz="0" w:space="0" w:color="auto"/>
      </w:divBdr>
    </w:div>
    <w:div w:id="1251812750">
      <w:bodyDiv w:val="1"/>
      <w:marLeft w:val="0"/>
      <w:marRight w:val="0"/>
      <w:marTop w:val="0"/>
      <w:marBottom w:val="0"/>
      <w:divBdr>
        <w:top w:val="none" w:sz="0" w:space="0" w:color="auto"/>
        <w:left w:val="none" w:sz="0" w:space="0" w:color="auto"/>
        <w:bottom w:val="none" w:sz="0" w:space="0" w:color="auto"/>
        <w:right w:val="none" w:sz="0" w:space="0" w:color="auto"/>
      </w:divBdr>
    </w:div>
    <w:div w:id="1252086493">
      <w:bodyDiv w:val="1"/>
      <w:marLeft w:val="0"/>
      <w:marRight w:val="0"/>
      <w:marTop w:val="0"/>
      <w:marBottom w:val="0"/>
      <w:divBdr>
        <w:top w:val="none" w:sz="0" w:space="0" w:color="auto"/>
        <w:left w:val="none" w:sz="0" w:space="0" w:color="auto"/>
        <w:bottom w:val="none" w:sz="0" w:space="0" w:color="auto"/>
        <w:right w:val="none" w:sz="0" w:space="0" w:color="auto"/>
      </w:divBdr>
    </w:div>
    <w:div w:id="1256787656">
      <w:bodyDiv w:val="1"/>
      <w:marLeft w:val="0"/>
      <w:marRight w:val="0"/>
      <w:marTop w:val="0"/>
      <w:marBottom w:val="0"/>
      <w:divBdr>
        <w:top w:val="none" w:sz="0" w:space="0" w:color="auto"/>
        <w:left w:val="none" w:sz="0" w:space="0" w:color="auto"/>
        <w:bottom w:val="none" w:sz="0" w:space="0" w:color="auto"/>
        <w:right w:val="none" w:sz="0" w:space="0" w:color="auto"/>
      </w:divBdr>
    </w:div>
    <w:div w:id="1277639279">
      <w:bodyDiv w:val="1"/>
      <w:marLeft w:val="0"/>
      <w:marRight w:val="0"/>
      <w:marTop w:val="0"/>
      <w:marBottom w:val="0"/>
      <w:divBdr>
        <w:top w:val="none" w:sz="0" w:space="0" w:color="auto"/>
        <w:left w:val="none" w:sz="0" w:space="0" w:color="auto"/>
        <w:bottom w:val="none" w:sz="0" w:space="0" w:color="auto"/>
        <w:right w:val="none" w:sz="0" w:space="0" w:color="auto"/>
      </w:divBdr>
    </w:div>
    <w:div w:id="1283003162">
      <w:bodyDiv w:val="1"/>
      <w:marLeft w:val="0"/>
      <w:marRight w:val="0"/>
      <w:marTop w:val="0"/>
      <w:marBottom w:val="0"/>
      <w:divBdr>
        <w:top w:val="none" w:sz="0" w:space="0" w:color="auto"/>
        <w:left w:val="none" w:sz="0" w:space="0" w:color="auto"/>
        <w:bottom w:val="none" w:sz="0" w:space="0" w:color="auto"/>
        <w:right w:val="none" w:sz="0" w:space="0" w:color="auto"/>
      </w:divBdr>
    </w:div>
    <w:div w:id="1285692551">
      <w:bodyDiv w:val="1"/>
      <w:marLeft w:val="0"/>
      <w:marRight w:val="0"/>
      <w:marTop w:val="0"/>
      <w:marBottom w:val="0"/>
      <w:divBdr>
        <w:top w:val="none" w:sz="0" w:space="0" w:color="auto"/>
        <w:left w:val="none" w:sz="0" w:space="0" w:color="auto"/>
        <w:bottom w:val="none" w:sz="0" w:space="0" w:color="auto"/>
        <w:right w:val="none" w:sz="0" w:space="0" w:color="auto"/>
      </w:divBdr>
    </w:div>
    <w:div w:id="1287808071">
      <w:bodyDiv w:val="1"/>
      <w:marLeft w:val="0"/>
      <w:marRight w:val="0"/>
      <w:marTop w:val="0"/>
      <w:marBottom w:val="0"/>
      <w:divBdr>
        <w:top w:val="none" w:sz="0" w:space="0" w:color="auto"/>
        <w:left w:val="none" w:sz="0" w:space="0" w:color="auto"/>
        <w:bottom w:val="none" w:sz="0" w:space="0" w:color="auto"/>
        <w:right w:val="none" w:sz="0" w:space="0" w:color="auto"/>
      </w:divBdr>
    </w:div>
    <w:div w:id="1295991146">
      <w:bodyDiv w:val="1"/>
      <w:marLeft w:val="0"/>
      <w:marRight w:val="0"/>
      <w:marTop w:val="0"/>
      <w:marBottom w:val="0"/>
      <w:divBdr>
        <w:top w:val="none" w:sz="0" w:space="0" w:color="auto"/>
        <w:left w:val="none" w:sz="0" w:space="0" w:color="auto"/>
        <w:bottom w:val="none" w:sz="0" w:space="0" w:color="auto"/>
        <w:right w:val="none" w:sz="0" w:space="0" w:color="auto"/>
      </w:divBdr>
    </w:div>
    <w:div w:id="1323966831">
      <w:bodyDiv w:val="1"/>
      <w:marLeft w:val="0"/>
      <w:marRight w:val="0"/>
      <w:marTop w:val="0"/>
      <w:marBottom w:val="0"/>
      <w:divBdr>
        <w:top w:val="none" w:sz="0" w:space="0" w:color="auto"/>
        <w:left w:val="none" w:sz="0" w:space="0" w:color="auto"/>
        <w:bottom w:val="none" w:sz="0" w:space="0" w:color="auto"/>
        <w:right w:val="none" w:sz="0" w:space="0" w:color="auto"/>
      </w:divBdr>
    </w:div>
    <w:div w:id="1332684135">
      <w:bodyDiv w:val="1"/>
      <w:marLeft w:val="0"/>
      <w:marRight w:val="0"/>
      <w:marTop w:val="0"/>
      <w:marBottom w:val="0"/>
      <w:divBdr>
        <w:top w:val="none" w:sz="0" w:space="0" w:color="auto"/>
        <w:left w:val="none" w:sz="0" w:space="0" w:color="auto"/>
        <w:bottom w:val="none" w:sz="0" w:space="0" w:color="auto"/>
        <w:right w:val="none" w:sz="0" w:space="0" w:color="auto"/>
      </w:divBdr>
    </w:div>
    <w:div w:id="1343630148">
      <w:bodyDiv w:val="1"/>
      <w:marLeft w:val="0"/>
      <w:marRight w:val="0"/>
      <w:marTop w:val="0"/>
      <w:marBottom w:val="0"/>
      <w:divBdr>
        <w:top w:val="none" w:sz="0" w:space="0" w:color="auto"/>
        <w:left w:val="none" w:sz="0" w:space="0" w:color="auto"/>
        <w:bottom w:val="none" w:sz="0" w:space="0" w:color="auto"/>
        <w:right w:val="none" w:sz="0" w:space="0" w:color="auto"/>
      </w:divBdr>
    </w:div>
    <w:div w:id="1346205561">
      <w:bodyDiv w:val="1"/>
      <w:marLeft w:val="0"/>
      <w:marRight w:val="0"/>
      <w:marTop w:val="0"/>
      <w:marBottom w:val="0"/>
      <w:divBdr>
        <w:top w:val="none" w:sz="0" w:space="0" w:color="auto"/>
        <w:left w:val="none" w:sz="0" w:space="0" w:color="auto"/>
        <w:bottom w:val="none" w:sz="0" w:space="0" w:color="auto"/>
        <w:right w:val="none" w:sz="0" w:space="0" w:color="auto"/>
      </w:divBdr>
    </w:div>
    <w:div w:id="1390031694">
      <w:bodyDiv w:val="1"/>
      <w:marLeft w:val="0"/>
      <w:marRight w:val="0"/>
      <w:marTop w:val="0"/>
      <w:marBottom w:val="0"/>
      <w:divBdr>
        <w:top w:val="none" w:sz="0" w:space="0" w:color="auto"/>
        <w:left w:val="none" w:sz="0" w:space="0" w:color="auto"/>
        <w:bottom w:val="none" w:sz="0" w:space="0" w:color="auto"/>
        <w:right w:val="none" w:sz="0" w:space="0" w:color="auto"/>
      </w:divBdr>
    </w:div>
    <w:div w:id="1413117838">
      <w:bodyDiv w:val="1"/>
      <w:marLeft w:val="0"/>
      <w:marRight w:val="0"/>
      <w:marTop w:val="0"/>
      <w:marBottom w:val="0"/>
      <w:divBdr>
        <w:top w:val="none" w:sz="0" w:space="0" w:color="auto"/>
        <w:left w:val="none" w:sz="0" w:space="0" w:color="auto"/>
        <w:bottom w:val="none" w:sz="0" w:space="0" w:color="auto"/>
        <w:right w:val="none" w:sz="0" w:space="0" w:color="auto"/>
      </w:divBdr>
    </w:div>
    <w:div w:id="1416631504">
      <w:bodyDiv w:val="1"/>
      <w:marLeft w:val="0"/>
      <w:marRight w:val="0"/>
      <w:marTop w:val="0"/>
      <w:marBottom w:val="0"/>
      <w:divBdr>
        <w:top w:val="none" w:sz="0" w:space="0" w:color="auto"/>
        <w:left w:val="none" w:sz="0" w:space="0" w:color="auto"/>
        <w:bottom w:val="none" w:sz="0" w:space="0" w:color="auto"/>
        <w:right w:val="none" w:sz="0" w:space="0" w:color="auto"/>
      </w:divBdr>
    </w:div>
    <w:div w:id="1449853420">
      <w:bodyDiv w:val="1"/>
      <w:marLeft w:val="0"/>
      <w:marRight w:val="0"/>
      <w:marTop w:val="0"/>
      <w:marBottom w:val="0"/>
      <w:divBdr>
        <w:top w:val="none" w:sz="0" w:space="0" w:color="auto"/>
        <w:left w:val="none" w:sz="0" w:space="0" w:color="auto"/>
        <w:bottom w:val="none" w:sz="0" w:space="0" w:color="auto"/>
        <w:right w:val="none" w:sz="0" w:space="0" w:color="auto"/>
      </w:divBdr>
    </w:div>
    <w:div w:id="1453596008">
      <w:bodyDiv w:val="1"/>
      <w:marLeft w:val="0"/>
      <w:marRight w:val="0"/>
      <w:marTop w:val="0"/>
      <w:marBottom w:val="0"/>
      <w:divBdr>
        <w:top w:val="none" w:sz="0" w:space="0" w:color="auto"/>
        <w:left w:val="none" w:sz="0" w:space="0" w:color="auto"/>
        <w:bottom w:val="none" w:sz="0" w:space="0" w:color="auto"/>
        <w:right w:val="none" w:sz="0" w:space="0" w:color="auto"/>
      </w:divBdr>
    </w:div>
    <w:div w:id="1475295324">
      <w:bodyDiv w:val="1"/>
      <w:marLeft w:val="0"/>
      <w:marRight w:val="0"/>
      <w:marTop w:val="0"/>
      <w:marBottom w:val="0"/>
      <w:divBdr>
        <w:top w:val="none" w:sz="0" w:space="0" w:color="auto"/>
        <w:left w:val="none" w:sz="0" w:space="0" w:color="auto"/>
        <w:bottom w:val="none" w:sz="0" w:space="0" w:color="auto"/>
        <w:right w:val="none" w:sz="0" w:space="0" w:color="auto"/>
      </w:divBdr>
    </w:div>
    <w:div w:id="1475753728">
      <w:bodyDiv w:val="1"/>
      <w:marLeft w:val="0"/>
      <w:marRight w:val="0"/>
      <w:marTop w:val="0"/>
      <w:marBottom w:val="0"/>
      <w:divBdr>
        <w:top w:val="none" w:sz="0" w:space="0" w:color="auto"/>
        <w:left w:val="none" w:sz="0" w:space="0" w:color="auto"/>
        <w:bottom w:val="none" w:sz="0" w:space="0" w:color="auto"/>
        <w:right w:val="none" w:sz="0" w:space="0" w:color="auto"/>
      </w:divBdr>
    </w:div>
    <w:div w:id="1503934238">
      <w:bodyDiv w:val="1"/>
      <w:marLeft w:val="0"/>
      <w:marRight w:val="0"/>
      <w:marTop w:val="0"/>
      <w:marBottom w:val="0"/>
      <w:divBdr>
        <w:top w:val="none" w:sz="0" w:space="0" w:color="auto"/>
        <w:left w:val="none" w:sz="0" w:space="0" w:color="auto"/>
        <w:bottom w:val="none" w:sz="0" w:space="0" w:color="auto"/>
        <w:right w:val="none" w:sz="0" w:space="0" w:color="auto"/>
      </w:divBdr>
    </w:div>
    <w:div w:id="1505510767">
      <w:bodyDiv w:val="1"/>
      <w:marLeft w:val="0"/>
      <w:marRight w:val="0"/>
      <w:marTop w:val="0"/>
      <w:marBottom w:val="0"/>
      <w:divBdr>
        <w:top w:val="none" w:sz="0" w:space="0" w:color="auto"/>
        <w:left w:val="none" w:sz="0" w:space="0" w:color="auto"/>
        <w:bottom w:val="none" w:sz="0" w:space="0" w:color="auto"/>
        <w:right w:val="none" w:sz="0" w:space="0" w:color="auto"/>
      </w:divBdr>
    </w:div>
    <w:div w:id="1508473743">
      <w:bodyDiv w:val="1"/>
      <w:marLeft w:val="0"/>
      <w:marRight w:val="0"/>
      <w:marTop w:val="0"/>
      <w:marBottom w:val="0"/>
      <w:divBdr>
        <w:top w:val="none" w:sz="0" w:space="0" w:color="auto"/>
        <w:left w:val="none" w:sz="0" w:space="0" w:color="auto"/>
        <w:bottom w:val="none" w:sz="0" w:space="0" w:color="auto"/>
        <w:right w:val="none" w:sz="0" w:space="0" w:color="auto"/>
      </w:divBdr>
    </w:div>
    <w:div w:id="1513297035">
      <w:bodyDiv w:val="1"/>
      <w:marLeft w:val="0"/>
      <w:marRight w:val="0"/>
      <w:marTop w:val="0"/>
      <w:marBottom w:val="0"/>
      <w:divBdr>
        <w:top w:val="none" w:sz="0" w:space="0" w:color="auto"/>
        <w:left w:val="none" w:sz="0" w:space="0" w:color="auto"/>
        <w:bottom w:val="none" w:sz="0" w:space="0" w:color="auto"/>
        <w:right w:val="none" w:sz="0" w:space="0" w:color="auto"/>
      </w:divBdr>
    </w:div>
    <w:div w:id="1514300547">
      <w:bodyDiv w:val="1"/>
      <w:marLeft w:val="0"/>
      <w:marRight w:val="0"/>
      <w:marTop w:val="0"/>
      <w:marBottom w:val="0"/>
      <w:divBdr>
        <w:top w:val="none" w:sz="0" w:space="0" w:color="auto"/>
        <w:left w:val="none" w:sz="0" w:space="0" w:color="auto"/>
        <w:bottom w:val="none" w:sz="0" w:space="0" w:color="auto"/>
        <w:right w:val="none" w:sz="0" w:space="0" w:color="auto"/>
      </w:divBdr>
      <w:divsChild>
        <w:div w:id="275254265">
          <w:marLeft w:val="0"/>
          <w:marRight w:val="0"/>
          <w:marTop w:val="0"/>
          <w:marBottom w:val="0"/>
          <w:divBdr>
            <w:top w:val="none" w:sz="0" w:space="0" w:color="auto"/>
            <w:left w:val="none" w:sz="0" w:space="0" w:color="auto"/>
            <w:bottom w:val="none" w:sz="0" w:space="0" w:color="auto"/>
            <w:right w:val="none" w:sz="0" w:space="0" w:color="auto"/>
          </w:divBdr>
        </w:div>
        <w:div w:id="1323123172">
          <w:marLeft w:val="0"/>
          <w:marRight w:val="0"/>
          <w:marTop w:val="0"/>
          <w:marBottom w:val="0"/>
          <w:divBdr>
            <w:top w:val="none" w:sz="0" w:space="0" w:color="auto"/>
            <w:left w:val="none" w:sz="0" w:space="0" w:color="auto"/>
            <w:bottom w:val="none" w:sz="0" w:space="0" w:color="auto"/>
            <w:right w:val="none" w:sz="0" w:space="0" w:color="auto"/>
          </w:divBdr>
        </w:div>
        <w:div w:id="1550914969">
          <w:marLeft w:val="0"/>
          <w:marRight w:val="0"/>
          <w:marTop w:val="0"/>
          <w:marBottom w:val="0"/>
          <w:divBdr>
            <w:top w:val="none" w:sz="0" w:space="0" w:color="auto"/>
            <w:left w:val="none" w:sz="0" w:space="0" w:color="auto"/>
            <w:bottom w:val="none" w:sz="0" w:space="0" w:color="auto"/>
            <w:right w:val="none" w:sz="0" w:space="0" w:color="auto"/>
          </w:divBdr>
        </w:div>
        <w:div w:id="705637272">
          <w:marLeft w:val="0"/>
          <w:marRight w:val="0"/>
          <w:marTop w:val="0"/>
          <w:marBottom w:val="0"/>
          <w:divBdr>
            <w:top w:val="none" w:sz="0" w:space="0" w:color="auto"/>
            <w:left w:val="none" w:sz="0" w:space="0" w:color="auto"/>
            <w:bottom w:val="none" w:sz="0" w:space="0" w:color="auto"/>
            <w:right w:val="none" w:sz="0" w:space="0" w:color="auto"/>
          </w:divBdr>
        </w:div>
        <w:div w:id="2120641813">
          <w:marLeft w:val="0"/>
          <w:marRight w:val="0"/>
          <w:marTop w:val="0"/>
          <w:marBottom w:val="0"/>
          <w:divBdr>
            <w:top w:val="none" w:sz="0" w:space="0" w:color="auto"/>
            <w:left w:val="none" w:sz="0" w:space="0" w:color="auto"/>
            <w:bottom w:val="none" w:sz="0" w:space="0" w:color="auto"/>
            <w:right w:val="none" w:sz="0" w:space="0" w:color="auto"/>
          </w:divBdr>
        </w:div>
        <w:div w:id="1556701650">
          <w:marLeft w:val="0"/>
          <w:marRight w:val="0"/>
          <w:marTop w:val="0"/>
          <w:marBottom w:val="0"/>
          <w:divBdr>
            <w:top w:val="none" w:sz="0" w:space="0" w:color="auto"/>
            <w:left w:val="none" w:sz="0" w:space="0" w:color="auto"/>
            <w:bottom w:val="none" w:sz="0" w:space="0" w:color="auto"/>
            <w:right w:val="none" w:sz="0" w:space="0" w:color="auto"/>
          </w:divBdr>
        </w:div>
      </w:divsChild>
    </w:div>
    <w:div w:id="1529564199">
      <w:bodyDiv w:val="1"/>
      <w:marLeft w:val="0"/>
      <w:marRight w:val="0"/>
      <w:marTop w:val="0"/>
      <w:marBottom w:val="0"/>
      <w:divBdr>
        <w:top w:val="none" w:sz="0" w:space="0" w:color="auto"/>
        <w:left w:val="none" w:sz="0" w:space="0" w:color="auto"/>
        <w:bottom w:val="none" w:sz="0" w:space="0" w:color="auto"/>
        <w:right w:val="none" w:sz="0" w:space="0" w:color="auto"/>
      </w:divBdr>
    </w:div>
    <w:div w:id="1575508399">
      <w:bodyDiv w:val="1"/>
      <w:marLeft w:val="0"/>
      <w:marRight w:val="0"/>
      <w:marTop w:val="0"/>
      <w:marBottom w:val="0"/>
      <w:divBdr>
        <w:top w:val="none" w:sz="0" w:space="0" w:color="auto"/>
        <w:left w:val="none" w:sz="0" w:space="0" w:color="auto"/>
        <w:bottom w:val="none" w:sz="0" w:space="0" w:color="auto"/>
        <w:right w:val="none" w:sz="0" w:space="0" w:color="auto"/>
      </w:divBdr>
    </w:div>
    <w:div w:id="1581063763">
      <w:bodyDiv w:val="1"/>
      <w:marLeft w:val="0"/>
      <w:marRight w:val="0"/>
      <w:marTop w:val="0"/>
      <w:marBottom w:val="0"/>
      <w:divBdr>
        <w:top w:val="none" w:sz="0" w:space="0" w:color="auto"/>
        <w:left w:val="none" w:sz="0" w:space="0" w:color="auto"/>
        <w:bottom w:val="none" w:sz="0" w:space="0" w:color="auto"/>
        <w:right w:val="none" w:sz="0" w:space="0" w:color="auto"/>
      </w:divBdr>
    </w:div>
    <w:div w:id="1587349120">
      <w:bodyDiv w:val="1"/>
      <w:marLeft w:val="0"/>
      <w:marRight w:val="0"/>
      <w:marTop w:val="0"/>
      <w:marBottom w:val="0"/>
      <w:divBdr>
        <w:top w:val="none" w:sz="0" w:space="0" w:color="auto"/>
        <w:left w:val="none" w:sz="0" w:space="0" w:color="auto"/>
        <w:bottom w:val="none" w:sz="0" w:space="0" w:color="auto"/>
        <w:right w:val="none" w:sz="0" w:space="0" w:color="auto"/>
      </w:divBdr>
    </w:div>
    <w:div w:id="1643852442">
      <w:bodyDiv w:val="1"/>
      <w:marLeft w:val="0"/>
      <w:marRight w:val="0"/>
      <w:marTop w:val="0"/>
      <w:marBottom w:val="0"/>
      <w:divBdr>
        <w:top w:val="none" w:sz="0" w:space="0" w:color="auto"/>
        <w:left w:val="none" w:sz="0" w:space="0" w:color="auto"/>
        <w:bottom w:val="none" w:sz="0" w:space="0" w:color="auto"/>
        <w:right w:val="none" w:sz="0" w:space="0" w:color="auto"/>
      </w:divBdr>
    </w:div>
    <w:div w:id="1654020929">
      <w:bodyDiv w:val="1"/>
      <w:marLeft w:val="0"/>
      <w:marRight w:val="0"/>
      <w:marTop w:val="0"/>
      <w:marBottom w:val="0"/>
      <w:divBdr>
        <w:top w:val="none" w:sz="0" w:space="0" w:color="auto"/>
        <w:left w:val="none" w:sz="0" w:space="0" w:color="auto"/>
        <w:bottom w:val="none" w:sz="0" w:space="0" w:color="auto"/>
        <w:right w:val="none" w:sz="0" w:space="0" w:color="auto"/>
      </w:divBdr>
    </w:div>
    <w:div w:id="1664234539">
      <w:bodyDiv w:val="1"/>
      <w:marLeft w:val="0"/>
      <w:marRight w:val="0"/>
      <w:marTop w:val="0"/>
      <w:marBottom w:val="0"/>
      <w:divBdr>
        <w:top w:val="none" w:sz="0" w:space="0" w:color="auto"/>
        <w:left w:val="none" w:sz="0" w:space="0" w:color="auto"/>
        <w:bottom w:val="none" w:sz="0" w:space="0" w:color="auto"/>
        <w:right w:val="none" w:sz="0" w:space="0" w:color="auto"/>
      </w:divBdr>
    </w:div>
    <w:div w:id="1666392742">
      <w:bodyDiv w:val="1"/>
      <w:marLeft w:val="0"/>
      <w:marRight w:val="0"/>
      <w:marTop w:val="0"/>
      <w:marBottom w:val="0"/>
      <w:divBdr>
        <w:top w:val="none" w:sz="0" w:space="0" w:color="auto"/>
        <w:left w:val="none" w:sz="0" w:space="0" w:color="auto"/>
        <w:bottom w:val="none" w:sz="0" w:space="0" w:color="auto"/>
        <w:right w:val="none" w:sz="0" w:space="0" w:color="auto"/>
      </w:divBdr>
    </w:div>
    <w:div w:id="1667316240">
      <w:bodyDiv w:val="1"/>
      <w:marLeft w:val="0"/>
      <w:marRight w:val="0"/>
      <w:marTop w:val="0"/>
      <w:marBottom w:val="0"/>
      <w:divBdr>
        <w:top w:val="none" w:sz="0" w:space="0" w:color="auto"/>
        <w:left w:val="none" w:sz="0" w:space="0" w:color="auto"/>
        <w:bottom w:val="none" w:sz="0" w:space="0" w:color="auto"/>
        <w:right w:val="none" w:sz="0" w:space="0" w:color="auto"/>
      </w:divBdr>
    </w:div>
    <w:div w:id="1681396872">
      <w:bodyDiv w:val="1"/>
      <w:marLeft w:val="0"/>
      <w:marRight w:val="0"/>
      <w:marTop w:val="0"/>
      <w:marBottom w:val="0"/>
      <w:divBdr>
        <w:top w:val="none" w:sz="0" w:space="0" w:color="auto"/>
        <w:left w:val="none" w:sz="0" w:space="0" w:color="auto"/>
        <w:bottom w:val="none" w:sz="0" w:space="0" w:color="auto"/>
        <w:right w:val="none" w:sz="0" w:space="0" w:color="auto"/>
      </w:divBdr>
    </w:div>
    <w:div w:id="1702852769">
      <w:bodyDiv w:val="1"/>
      <w:marLeft w:val="0"/>
      <w:marRight w:val="0"/>
      <w:marTop w:val="0"/>
      <w:marBottom w:val="0"/>
      <w:divBdr>
        <w:top w:val="none" w:sz="0" w:space="0" w:color="auto"/>
        <w:left w:val="none" w:sz="0" w:space="0" w:color="auto"/>
        <w:bottom w:val="none" w:sz="0" w:space="0" w:color="auto"/>
        <w:right w:val="none" w:sz="0" w:space="0" w:color="auto"/>
      </w:divBdr>
    </w:div>
    <w:div w:id="1718896356">
      <w:bodyDiv w:val="1"/>
      <w:marLeft w:val="0"/>
      <w:marRight w:val="0"/>
      <w:marTop w:val="0"/>
      <w:marBottom w:val="0"/>
      <w:divBdr>
        <w:top w:val="none" w:sz="0" w:space="0" w:color="auto"/>
        <w:left w:val="none" w:sz="0" w:space="0" w:color="auto"/>
        <w:bottom w:val="none" w:sz="0" w:space="0" w:color="auto"/>
        <w:right w:val="none" w:sz="0" w:space="0" w:color="auto"/>
      </w:divBdr>
    </w:div>
    <w:div w:id="1724017418">
      <w:bodyDiv w:val="1"/>
      <w:marLeft w:val="0"/>
      <w:marRight w:val="0"/>
      <w:marTop w:val="0"/>
      <w:marBottom w:val="0"/>
      <w:divBdr>
        <w:top w:val="none" w:sz="0" w:space="0" w:color="auto"/>
        <w:left w:val="none" w:sz="0" w:space="0" w:color="auto"/>
        <w:bottom w:val="none" w:sz="0" w:space="0" w:color="auto"/>
        <w:right w:val="none" w:sz="0" w:space="0" w:color="auto"/>
      </w:divBdr>
    </w:div>
    <w:div w:id="1737431527">
      <w:bodyDiv w:val="1"/>
      <w:marLeft w:val="0"/>
      <w:marRight w:val="0"/>
      <w:marTop w:val="0"/>
      <w:marBottom w:val="0"/>
      <w:divBdr>
        <w:top w:val="none" w:sz="0" w:space="0" w:color="auto"/>
        <w:left w:val="none" w:sz="0" w:space="0" w:color="auto"/>
        <w:bottom w:val="none" w:sz="0" w:space="0" w:color="auto"/>
        <w:right w:val="none" w:sz="0" w:space="0" w:color="auto"/>
      </w:divBdr>
    </w:div>
    <w:div w:id="1740051031">
      <w:bodyDiv w:val="1"/>
      <w:marLeft w:val="0"/>
      <w:marRight w:val="0"/>
      <w:marTop w:val="0"/>
      <w:marBottom w:val="0"/>
      <w:divBdr>
        <w:top w:val="none" w:sz="0" w:space="0" w:color="auto"/>
        <w:left w:val="none" w:sz="0" w:space="0" w:color="auto"/>
        <w:bottom w:val="none" w:sz="0" w:space="0" w:color="auto"/>
        <w:right w:val="none" w:sz="0" w:space="0" w:color="auto"/>
      </w:divBdr>
    </w:div>
    <w:div w:id="1742866522">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9062230">
      <w:bodyDiv w:val="1"/>
      <w:marLeft w:val="0"/>
      <w:marRight w:val="0"/>
      <w:marTop w:val="0"/>
      <w:marBottom w:val="0"/>
      <w:divBdr>
        <w:top w:val="none" w:sz="0" w:space="0" w:color="auto"/>
        <w:left w:val="none" w:sz="0" w:space="0" w:color="auto"/>
        <w:bottom w:val="none" w:sz="0" w:space="0" w:color="auto"/>
        <w:right w:val="none" w:sz="0" w:space="0" w:color="auto"/>
      </w:divBdr>
    </w:div>
    <w:div w:id="1792936248">
      <w:bodyDiv w:val="1"/>
      <w:marLeft w:val="0"/>
      <w:marRight w:val="0"/>
      <w:marTop w:val="0"/>
      <w:marBottom w:val="0"/>
      <w:divBdr>
        <w:top w:val="none" w:sz="0" w:space="0" w:color="auto"/>
        <w:left w:val="none" w:sz="0" w:space="0" w:color="auto"/>
        <w:bottom w:val="none" w:sz="0" w:space="0" w:color="auto"/>
        <w:right w:val="none" w:sz="0" w:space="0" w:color="auto"/>
      </w:divBdr>
    </w:div>
    <w:div w:id="1802919838">
      <w:bodyDiv w:val="1"/>
      <w:marLeft w:val="0"/>
      <w:marRight w:val="0"/>
      <w:marTop w:val="0"/>
      <w:marBottom w:val="0"/>
      <w:divBdr>
        <w:top w:val="none" w:sz="0" w:space="0" w:color="auto"/>
        <w:left w:val="none" w:sz="0" w:space="0" w:color="auto"/>
        <w:bottom w:val="none" w:sz="0" w:space="0" w:color="auto"/>
        <w:right w:val="none" w:sz="0" w:space="0" w:color="auto"/>
      </w:divBdr>
    </w:div>
    <w:div w:id="1803033300">
      <w:bodyDiv w:val="1"/>
      <w:marLeft w:val="0"/>
      <w:marRight w:val="0"/>
      <w:marTop w:val="0"/>
      <w:marBottom w:val="0"/>
      <w:divBdr>
        <w:top w:val="none" w:sz="0" w:space="0" w:color="auto"/>
        <w:left w:val="none" w:sz="0" w:space="0" w:color="auto"/>
        <w:bottom w:val="none" w:sz="0" w:space="0" w:color="auto"/>
        <w:right w:val="none" w:sz="0" w:space="0" w:color="auto"/>
      </w:divBdr>
    </w:div>
    <w:div w:id="1819758389">
      <w:bodyDiv w:val="1"/>
      <w:marLeft w:val="0"/>
      <w:marRight w:val="0"/>
      <w:marTop w:val="0"/>
      <w:marBottom w:val="0"/>
      <w:divBdr>
        <w:top w:val="none" w:sz="0" w:space="0" w:color="auto"/>
        <w:left w:val="none" w:sz="0" w:space="0" w:color="auto"/>
        <w:bottom w:val="none" w:sz="0" w:space="0" w:color="auto"/>
        <w:right w:val="none" w:sz="0" w:space="0" w:color="auto"/>
      </w:divBdr>
      <w:divsChild>
        <w:div w:id="1466924616">
          <w:marLeft w:val="0"/>
          <w:marRight w:val="0"/>
          <w:marTop w:val="0"/>
          <w:marBottom w:val="0"/>
          <w:divBdr>
            <w:top w:val="none" w:sz="0" w:space="0" w:color="auto"/>
            <w:left w:val="none" w:sz="0" w:space="0" w:color="auto"/>
            <w:bottom w:val="none" w:sz="0" w:space="0" w:color="auto"/>
            <w:right w:val="none" w:sz="0" w:space="0" w:color="auto"/>
          </w:divBdr>
        </w:div>
        <w:div w:id="727651618">
          <w:marLeft w:val="0"/>
          <w:marRight w:val="0"/>
          <w:marTop w:val="0"/>
          <w:marBottom w:val="0"/>
          <w:divBdr>
            <w:top w:val="none" w:sz="0" w:space="0" w:color="auto"/>
            <w:left w:val="none" w:sz="0" w:space="0" w:color="auto"/>
            <w:bottom w:val="none" w:sz="0" w:space="0" w:color="auto"/>
            <w:right w:val="none" w:sz="0" w:space="0" w:color="auto"/>
          </w:divBdr>
        </w:div>
        <w:div w:id="1171943255">
          <w:marLeft w:val="0"/>
          <w:marRight w:val="0"/>
          <w:marTop w:val="0"/>
          <w:marBottom w:val="0"/>
          <w:divBdr>
            <w:top w:val="none" w:sz="0" w:space="0" w:color="auto"/>
            <w:left w:val="none" w:sz="0" w:space="0" w:color="auto"/>
            <w:bottom w:val="none" w:sz="0" w:space="0" w:color="auto"/>
            <w:right w:val="none" w:sz="0" w:space="0" w:color="auto"/>
          </w:divBdr>
        </w:div>
        <w:div w:id="173035655">
          <w:marLeft w:val="0"/>
          <w:marRight w:val="0"/>
          <w:marTop w:val="0"/>
          <w:marBottom w:val="0"/>
          <w:divBdr>
            <w:top w:val="none" w:sz="0" w:space="0" w:color="auto"/>
            <w:left w:val="none" w:sz="0" w:space="0" w:color="auto"/>
            <w:bottom w:val="none" w:sz="0" w:space="0" w:color="auto"/>
            <w:right w:val="none" w:sz="0" w:space="0" w:color="auto"/>
          </w:divBdr>
        </w:div>
        <w:div w:id="2115512975">
          <w:marLeft w:val="0"/>
          <w:marRight w:val="0"/>
          <w:marTop w:val="0"/>
          <w:marBottom w:val="0"/>
          <w:divBdr>
            <w:top w:val="none" w:sz="0" w:space="0" w:color="auto"/>
            <w:left w:val="none" w:sz="0" w:space="0" w:color="auto"/>
            <w:bottom w:val="none" w:sz="0" w:space="0" w:color="auto"/>
            <w:right w:val="none" w:sz="0" w:space="0" w:color="auto"/>
          </w:divBdr>
        </w:div>
        <w:div w:id="1276017572">
          <w:marLeft w:val="0"/>
          <w:marRight w:val="0"/>
          <w:marTop w:val="0"/>
          <w:marBottom w:val="0"/>
          <w:divBdr>
            <w:top w:val="none" w:sz="0" w:space="0" w:color="auto"/>
            <w:left w:val="none" w:sz="0" w:space="0" w:color="auto"/>
            <w:bottom w:val="none" w:sz="0" w:space="0" w:color="auto"/>
            <w:right w:val="none" w:sz="0" w:space="0" w:color="auto"/>
          </w:divBdr>
        </w:div>
      </w:divsChild>
    </w:div>
    <w:div w:id="1829200872">
      <w:bodyDiv w:val="1"/>
      <w:marLeft w:val="0"/>
      <w:marRight w:val="0"/>
      <w:marTop w:val="0"/>
      <w:marBottom w:val="0"/>
      <w:divBdr>
        <w:top w:val="none" w:sz="0" w:space="0" w:color="auto"/>
        <w:left w:val="none" w:sz="0" w:space="0" w:color="auto"/>
        <w:bottom w:val="none" w:sz="0" w:space="0" w:color="auto"/>
        <w:right w:val="none" w:sz="0" w:space="0" w:color="auto"/>
      </w:divBdr>
    </w:div>
    <w:div w:id="1840273331">
      <w:bodyDiv w:val="1"/>
      <w:marLeft w:val="0"/>
      <w:marRight w:val="0"/>
      <w:marTop w:val="0"/>
      <w:marBottom w:val="0"/>
      <w:divBdr>
        <w:top w:val="none" w:sz="0" w:space="0" w:color="auto"/>
        <w:left w:val="none" w:sz="0" w:space="0" w:color="auto"/>
        <w:bottom w:val="none" w:sz="0" w:space="0" w:color="auto"/>
        <w:right w:val="none" w:sz="0" w:space="0" w:color="auto"/>
      </w:divBdr>
    </w:div>
    <w:div w:id="1842963152">
      <w:bodyDiv w:val="1"/>
      <w:marLeft w:val="0"/>
      <w:marRight w:val="0"/>
      <w:marTop w:val="0"/>
      <w:marBottom w:val="0"/>
      <w:divBdr>
        <w:top w:val="none" w:sz="0" w:space="0" w:color="auto"/>
        <w:left w:val="none" w:sz="0" w:space="0" w:color="auto"/>
        <w:bottom w:val="none" w:sz="0" w:space="0" w:color="auto"/>
        <w:right w:val="none" w:sz="0" w:space="0" w:color="auto"/>
      </w:divBdr>
    </w:div>
    <w:div w:id="1852335769">
      <w:bodyDiv w:val="1"/>
      <w:marLeft w:val="0"/>
      <w:marRight w:val="0"/>
      <w:marTop w:val="0"/>
      <w:marBottom w:val="0"/>
      <w:divBdr>
        <w:top w:val="none" w:sz="0" w:space="0" w:color="auto"/>
        <w:left w:val="none" w:sz="0" w:space="0" w:color="auto"/>
        <w:bottom w:val="none" w:sz="0" w:space="0" w:color="auto"/>
        <w:right w:val="none" w:sz="0" w:space="0" w:color="auto"/>
      </w:divBdr>
    </w:div>
    <w:div w:id="1877038289">
      <w:bodyDiv w:val="1"/>
      <w:marLeft w:val="0"/>
      <w:marRight w:val="0"/>
      <w:marTop w:val="0"/>
      <w:marBottom w:val="0"/>
      <w:divBdr>
        <w:top w:val="none" w:sz="0" w:space="0" w:color="auto"/>
        <w:left w:val="none" w:sz="0" w:space="0" w:color="auto"/>
        <w:bottom w:val="none" w:sz="0" w:space="0" w:color="auto"/>
        <w:right w:val="none" w:sz="0" w:space="0" w:color="auto"/>
      </w:divBdr>
    </w:div>
    <w:div w:id="1878272488">
      <w:bodyDiv w:val="1"/>
      <w:marLeft w:val="0"/>
      <w:marRight w:val="0"/>
      <w:marTop w:val="0"/>
      <w:marBottom w:val="0"/>
      <w:divBdr>
        <w:top w:val="none" w:sz="0" w:space="0" w:color="auto"/>
        <w:left w:val="none" w:sz="0" w:space="0" w:color="auto"/>
        <w:bottom w:val="none" w:sz="0" w:space="0" w:color="auto"/>
        <w:right w:val="none" w:sz="0" w:space="0" w:color="auto"/>
      </w:divBdr>
    </w:div>
    <w:div w:id="1896314015">
      <w:bodyDiv w:val="1"/>
      <w:marLeft w:val="0"/>
      <w:marRight w:val="0"/>
      <w:marTop w:val="0"/>
      <w:marBottom w:val="0"/>
      <w:divBdr>
        <w:top w:val="none" w:sz="0" w:space="0" w:color="auto"/>
        <w:left w:val="none" w:sz="0" w:space="0" w:color="auto"/>
        <w:bottom w:val="none" w:sz="0" w:space="0" w:color="auto"/>
        <w:right w:val="none" w:sz="0" w:space="0" w:color="auto"/>
      </w:divBdr>
    </w:div>
    <w:div w:id="1903173829">
      <w:bodyDiv w:val="1"/>
      <w:marLeft w:val="0"/>
      <w:marRight w:val="0"/>
      <w:marTop w:val="0"/>
      <w:marBottom w:val="0"/>
      <w:divBdr>
        <w:top w:val="none" w:sz="0" w:space="0" w:color="auto"/>
        <w:left w:val="none" w:sz="0" w:space="0" w:color="auto"/>
        <w:bottom w:val="none" w:sz="0" w:space="0" w:color="auto"/>
        <w:right w:val="none" w:sz="0" w:space="0" w:color="auto"/>
      </w:divBdr>
    </w:div>
    <w:div w:id="1909655026">
      <w:bodyDiv w:val="1"/>
      <w:marLeft w:val="0"/>
      <w:marRight w:val="0"/>
      <w:marTop w:val="0"/>
      <w:marBottom w:val="0"/>
      <w:divBdr>
        <w:top w:val="none" w:sz="0" w:space="0" w:color="auto"/>
        <w:left w:val="none" w:sz="0" w:space="0" w:color="auto"/>
        <w:bottom w:val="none" w:sz="0" w:space="0" w:color="auto"/>
        <w:right w:val="none" w:sz="0" w:space="0" w:color="auto"/>
      </w:divBdr>
    </w:div>
    <w:div w:id="1910115815">
      <w:bodyDiv w:val="1"/>
      <w:marLeft w:val="0"/>
      <w:marRight w:val="0"/>
      <w:marTop w:val="0"/>
      <w:marBottom w:val="0"/>
      <w:divBdr>
        <w:top w:val="none" w:sz="0" w:space="0" w:color="auto"/>
        <w:left w:val="none" w:sz="0" w:space="0" w:color="auto"/>
        <w:bottom w:val="none" w:sz="0" w:space="0" w:color="auto"/>
        <w:right w:val="none" w:sz="0" w:space="0" w:color="auto"/>
      </w:divBdr>
    </w:div>
    <w:div w:id="1920484336">
      <w:bodyDiv w:val="1"/>
      <w:marLeft w:val="0"/>
      <w:marRight w:val="0"/>
      <w:marTop w:val="0"/>
      <w:marBottom w:val="0"/>
      <w:divBdr>
        <w:top w:val="none" w:sz="0" w:space="0" w:color="auto"/>
        <w:left w:val="none" w:sz="0" w:space="0" w:color="auto"/>
        <w:bottom w:val="none" w:sz="0" w:space="0" w:color="auto"/>
        <w:right w:val="none" w:sz="0" w:space="0" w:color="auto"/>
      </w:divBdr>
    </w:div>
    <w:div w:id="1924145899">
      <w:bodyDiv w:val="1"/>
      <w:marLeft w:val="0"/>
      <w:marRight w:val="0"/>
      <w:marTop w:val="0"/>
      <w:marBottom w:val="0"/>
      <w:divBdr>
        <w:top w:val="none" w:sz="0" w:space="0" w:color="auto"/>
        <w:left w:val="none" w:sz="0" w:space="0" w:color="auto"/>
        <w:bottom w:val="none" w:sz="0" w:space="0" w:color="auto"/>
        <w:right w:val="none" w:sz="0" w:space="0" w:color="auto"/>
      </w:divBdr>
    </w:div>
    <w:div w:id="1925609462">
      <w:bodyDiv w:val="1"/>
      <w:marLeft w:val="0"/>
      <w:marRight w:val="0"/>
      <w:marTop w:val="0"/>
      <w:marBottom w:val="0"/>
      <w:divBdr>
        <w:top w:val="none" w:sz="0" w:space="0" w:color="auto"/>
        <w:left w:val="none" w:sz="0" w:space="0" w:color="auto"/>
        <w:bottom w:val="none" w:sz="0" w:space="0" w:color="auto"/>
        <w:right w:val="none" w:sz="0" w:space="0" w:color="auto"/>
      </w:divBdr>
    </w:div>
    <w:div w:id="1936203373">
      <w:bodyDiv w:val="1"/>
      <w:marLeft w:val="0"/>
      <w:marRight w:val="0"/>
      <w:marTop w:val="0"/>
      <w:marBottom w:val="0"/>
      <w:divBdr>
        <w:top w:val="none" w:sz="0" w:space="0" w:color="auto"/>
        <w:left w:val="none" w:sz="0" w:space="0" w:color="auto"/>
        <w:bottom w:val="none" w:sz="0" w:space="0" w:color="auto"/>
        <w:right w:val="none" w:sz="0" w:space="0" w:color="auto"/>
      </w:divBdr>
    </w:div>
    <w:div w:id="1956323270">
      <w:bodyDiv w:val="1"/>
      <w:marLeft w:val="0"/>
      <w:marRight w:val="0"/>
      <w:marTop w:val="0"/>
      <w:marBottom w:val="0"/>
      <w:divBdr>
        <w:top w:val="none" w:sz="0" w:space="0" w:color="auto"/>
        <w:left w:val="none" w:sz="0" w:space="0" w:color="auto"/>
        <w:bottom w:val="none" w:sz="0" w:space="0" w:color="auto"/>
        <w:right w:val="none" w:sz="0" w:space="0" w:color="auto"/>
      </w:divBdr>
    </w:div>
    <w:div w:id="1958485256">
      <w:bodyDiv w:val="1"/>
      <w:marLeft w:val="0"/>
      <w:marRight w:val="0"/>
      <w:marTop w:val="0"/>
      <w:marBottom w:val="0"/>
      <w:divBdr>
        <w:top w:val="none" w:sz="0" w:space="0" w:color="auto"/>
        <w:left w:val="none" w:sz="0" w:space="0" w:color="auto"/>
        <w:bottom w:val="none" w:sz="0" w:space="0" w:color="auto"/>
        <w:right w:val="none" w:sz="0" w:space="0" w:color="auto"/>
      </w:divBdr>
    </w:div>
    <w:div w:id="1996109616">
      <w:bodyDiv w:val="1"/>
      <w:marLeft w:val="0"/>
      <w:marRight w:val="0"/>
      <w:marTop w:val="0"/>
      <w:marBottom w:val="0"/>
      <w:divBdr>
        <w:top w:val="none" w:sz="0" w:space="0" w:color="auto"/>
        <w:left w:val="none" w:sz="0" w:space="0" w:color="auto"/>
        <w:bottom w:val="none" w:sz="0" w:space="0" w:color="auto"/>
        <w:right w:val="none" w:sz="0" w:space="0" w:color="auto"/>
      </w:divBdr>
    </w:div>
    <w:div w:id="2017029728">
      <w:bodyDiv w:val="1"/>
      <w:marLeft w:val="0"/>
      <w:marRight w:val="0"/>
      <w:marTop w:val="0"/>
      <w:marBottom w:val="0"/>
      <w:divBdr>
        <w:top w:val="none" w:sz="0" w:space="0" w:color="auto"/>
        <w:left w:val="none" w:sz="0" w:space="0" w:color="auto"/>
        <w:bottom w:val="none" w:sz="0" w:space="0" w:color="auto"/>
        <w:right w:val="none" w:sz="0" w:space="0" w:color="auto"/>
      </w:divBdr>
    </w:div>
    <w:div w:id="2019506397">
      <w:bodyDiv w:val="1"/>
      <w:marLeft w:val="0"/>
      <w:marRight w:val="0"/>
      <w:marTop w:val="0"/>
      <w:marBottom w:val="0"/>
      <w:divBdr>
        <w:top w:val="none" w:sz="0" w:space="0" w:color="auto"/>
        <w:left w:val="none" w:sz="0" w:space="0" w:color="auto"/>
        <w:bottom w:val="none" w:sz="0" w:space="0" w:color="auto"/>
        <w:right w:val="none" w:sz="0" w:space="0" w:color="auto"/>
      </w:divBdr>
      <w:divsChild>
        <w:div w:id="2007515419">
          <w:marLeft w:val="0"/>
          <w:marRight w:val="0"/>
          <w:marTop w:val="0"/>
          <w:marBottom w:val="0"/>
          <w:divBdr>
            <w:top w:val="none" w:sz="0" w:space="0" w:color="auto"/>
            <w:left w:val="none" w:sz="0" w:space="0" w:color="auto"/>
            <w:bottom w:val="none" w:sz="0" w:space="0" w:color="auto"/>
            <w:right w:val="none" w:sz="0" w:space="0" w:color="auto"/>
          </w:divBdr>
        </w:div>
        <w:div w:id="834490562">
          <w:marLeft w:val="0"/>
          <w:marRight w:val="0"/>
          <w:marTop w:val="0"/>
          <w:marBottom w:val="0"/>
          <w:divBdr>
            <w:top w:val="none" w:sz="0" w:space="0" w:color="auto"/>
            <w:left w:val="none" w:sz="0" w:space="0" w:color="auto"/>
            <w:bottom w:val="none" w:sz="0" w:space="0" w:color="auto"/>
            <w:right w:val="none" w:sz="0" w:space="0" w:color="auto"/>
          </w:divBdr>
        </w:div>
        <w:div w:id="1362509744">
          <w:marLeft w:val="0"/>
          <w:marRight w:val="0"/>
          <w:marTop w:val="0"/>
          <w:marBottom w:val="0"/>
          <w:divBdr>
            <w:top w:val="none" w:sz="0" w:space="0" w:color="auto"/>
            <w:left w:val="none" w:sz="0" w:space="0" w:color="auto"/>
            <w:bottom w:val="none" w:sz="0" w:space="0" w:color="auto"/>
            <w:right w:val="none" w:sz="0" w:space="0" w:color="auto"/>
          </w:divBdr>
        </w:div>
        <w:div w:id="1339960124">
          <w:marLeft w:val="0"/>
          <w:marRight w:val="0"/>
          <w:marTop w:val="0"/>
          <w:marBottom w:val="0"/>
          <w:divBdr>
            <w:top w:val="none" w:sz="0" w:space="0" w:color="auto"/>
            <w:left w:val="none" w:sz="0" w:space="0" w:color="auto"/>
            <w:bottom w:val="none" w:sz="0" w:space="0" w:color="auto"/>
            <w:right w:val="none" w:sz="0" w:space="0" w:color="auto"/>
          </w:divBdr>
        </w:div>
        <w:div w:id="603654238">
          <w:marLeft w:val="0"/>
          <w:marRight w:val="0"/>
          <w:marTop w:val="0"/>
          <w:marBottom w:val="0"/>
          <w:divBdr>
            <w:top w:val="none" w:sz="0" w:space="0" w:color="auto"/>
            <w:left w:val="none" w:sz="0" w:space="0" w:color="auto"/>
            <w:bottom w:val="none" w:sz="0" w:space="0" w:color="auto"/>
            <w:right w:val="none" w:sz="0" w:space="0" w:color="auto"/>
          </w:divBdr>
        </w:div>
      </w:divsChild>
    </w:div>
    <w:div w:id="2070106827">
      <w:bodyDiv w:val="1"/>
      <w:marLeft w:val="0"/>
      <w:marRight w:val="0"/>
      <w:marTop w:val="0"/>
      <w:marBottom w:val="0"/>
      <w:divBdr>
        <w:top w:val="none" w:sz="0" w:space="0" w:color="auto"/>
        <w:left w:val="none" w:sz="0" w:space="0" w:color="auto"/>
        <w:bottom w:val="none" w:sz="0" w:space="0" w:color="auto"/>
        <w:right w:val="none" w:sz="0" w:space="0" w:color="auto"/>
      </w:divBdr>
    </w:div>
    <w:div w:id="2076780600">
      <w:bodyDiv w:val="1"/>
      <w:marLeft w:val="0"/>
      <w:marRight w:val="0"/>
      <w:marTop w:val="0"/>
      <w:marBottom w:val="0"/>
      <w:divBdr>
        <w:top w:val="none" w:sz="0" w:space="0" w:color="auto"/>
        <w:left w:val="none" w:sz="0" w:space="0" w:color="auto"/>
        <w:bottom w:val="none" w:sz="0" w:space="0" w:color="auto"/>
        <w:right w:val="none" w:sz="0" w:space="0" w:color="auto"/>
      </w:divBdr>
    </w:div>
    <w:div w:id="2104059857">
      <w:bodyDiv w:val="1"/>
      <w:marLeft w:val="0"/>
      <w:marRight w:val="0"/>
      <w:marTop w:val="0"/>
      <w:marBottom w:val="0"/>
      <w:divBdr>
        <w:top w:val="none" w:sz="0" w:space="0" w:color="auto"/>
        <w:left w:val="none" w:sz="0" w:space="0" w:color="auto"/>
        <w:bottom w:val="none" w:sz="0" w:space="0" w:color="auto"/>
        <w:right w:val="none" w:sz="0" w:space="0" w:color="auto"/>
      </w:divBdr>
    </w:div>
    <w:div w:id="2107843992">
      <w:bodyDiv w:val="1"/>
      <w:marLeft w:val="0"/>
      <w:marRight w:val="0"/>
      <w:marTop w:val="0"/>
      <w:marBottom w:val="0"/>
      <w:divBdr>
        <w:top w:val="none" w:sz="0" w:space="0" w:color="auto"/>
        <w:left w:val="none" w:sz="0" w:space="0" w:color="auto"/>
        <w:bottom w:val="none" w:sz="0" w:space="0" w:color="auto"/>
        <w:right w:val="none" w:sz="0" w:space="0" w:color="auto"/>
      </w:divBdr>
    </w:div>
    <w:div w:id="2108424453">
      <w:bodyDiv w:val="1"/>
      <w:marLeft w:val="0"/>
      <w:marRight w:val="0"/>
      <w:marTop w:val="0"/>
      <w:marBottom w:val="0"/>
      <w:divBdr>
        <w:top w:val="none" w:sz="0" w:space="0" w:color="auto"/>
        <w:left w:val="none" w:sz="0" w:space="0" w:color="auto"/>
        <w:bottom w:val="none" w:sz="0" w:space="0" w:color="auto"/>
        <w:right w:val="none" w:sz="0" w:space="0" w:color="auto"/>
      </w:divBdr>
    </w:div>
    <w:div w:id="211447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chmnu.edu.ua/wpcontent/uploads/2019/07/%20Rudika-V.-I.-1.pdf" TargetMode="External"/><Relationship Id="rId26" Type="http://schemas.openxmlformats.org/officeDocument/2006/relationships/hyperlink" Target="https://clarityproject.info/%20edr/" TargetMode="External"/><Relationship Id="rId39" Type="http://schemas.openxmlformats.org/officeDocument/2006/relationships/theme" Target="theme/theme1.xml"/><Relationship Id="rId21" Type="http://schemas.openxmlformats.org/officeDocument/2006/relationships/hyperlink" Target="https://cutt.ly/PM-r8nRN" TargetMode="External"/><Relationship Id="rId34"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hyperlink" Target="https://metalurg.online/"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cutt.ly/7Mr07fP" TargetMode="External"/><Relationship Id="rId29" Type="http://schemas.openxmlformats.org/officeDocument/2006/relationships/hyperlink" Target="https://ir.duan.edu.ua/bitstream/123456789/3295/1/%D0%9F%D0%A0%D0%A3%D0%A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nnuet.edu.ua/kafedra-tekhnolohij-v-restorannomu-hospodarstvi-hotelno-restorannoi-spravy-ta-pidpryiemnytstva/" TargetMode="External"/><Relationship Id="rId24" Type="http://schemas.openxmlformats.org/officeDocument/2006/relationships/hyperlink" Target="https://zakon.rada.gov.ua/laws/show/2971-IX" TargetMode="External"/><Relationship Id="rId32" Type="http://schemas.openxmlformats.org/officeDocument/2006/relationships/hyperlink" Target="https://ukraine.arcelormittal.com/wp-content/uploads/2023/12/finansova_zvitnist_ta_zvit_nezalezhnogo_audytora_2022.pdf"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court.gov.ua/inshe/sudova_statystyka/" TargetMode="External"/><Relationship Id="rId28" Type="http://schemas.openxmlformats.org/officeDocument/2006/relationships/hyperlink" Target="http://shareuapotential.com/BE/ukrainian-steel-mills-2022.html" TargetMode="External"/><Relationship Id="rId36" Type="http://schemas.openxmlformats.org/officeDocument/2006/relationships/chart" Target="charts/chart7.xml"/><Relationship Id="rId10" Type="http://schemas.openxmlformats.org/officeDocument/2006/relationships/hyperlink" Target="https://donnuet.edu.ua/navchalno-naukovyj-instytut-restoranno-hotelnoho-biznesu-ta-turyzmu/" TargetMode="External"/><Relationship Id="rId19" Type="http://schemas.openxmlformats.org/officeDocument/2006/relationships/hyperlink" Target="https://zakon.rada.gov.ua/laws/show/2597-19" TargetMode="External"/><Relationship Id="rId31" Type="http://schemas.openxmlformats.org/officeDocument/2006/relationships/hyperlink" Target="https://www.ebrd.com/home" TargetMode="External"/><Relationship Id="rId4" Type="http://schemas.openxmlformats.org/officeDocument/2006/relationships/settings" Target="settings.xml"/><Relationship Id="rId9" Type="http://schemas.openxmlformats.org/officeDocument/2006/relationships/hyperlink" Target="https://donnuet.edu.ua/kafedra-tekhnolohij-v-restorannomu-hospodarstvi-hotelno-restorannoi-spravy-ta-pidpryiemnytstva/" TargetMode="External"/><Relationship Id="rId14" Type="http://schemas.openxmlformats.org/officeDocument/2006/relationships/chart" Target="charts/chart2.xml"/><Relationship Id="rId22" Type="http://schemas.openxmlformats.org/officeDocument/2006/relationships/hyperlink" Target="http://globalnational.in.ua/archive/19-2017/32.pdf" TargetMode="External"/><Relationship Id="rId27" Type="http://schemas.openxmlformats.org/officeDocument/2006/relationships/hyperlink" Target="http://www.ukrstat.gov.ua" TargetMode="External"/><Relationship Id="rId30" Type="http://schemas.openxmlformats.org/officeDocument/2006/relationships/hyperlink" Target="https://www.fitchratings.com/" TargetMode="External"/><Relationship Id="rId35" Type="http://schemas.openxmlformats.org/officeDocument/2006/relationships/chart" Target="charts/chart6.xml"/><Relationship Id="rId8" Type="http://schemas.openxmlformats.org/officeDocument/2006/relationships/hyperlink" Target="https://donnuet.edu.ua/navchalno-naukovyj-instytut-restoranno-hotelnoho-biznesu-ta-turyzm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oslanik\Desktop\&#1044;&#1080;&#1087;&#1083;&#1086;&#1084;%20&#1080;%20&#1087;&#1088;&#1072;&#1082;&#1090;&#1080;&#1082;&#1072;\&#1040;&#1085;&#1072;&#1083;&#1110;&#1079;%20&#1073;&#1072;&#1085;&#1082;&#1088;&#1091;&#1090;&#1089;&#1090;&#107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oslanik\Desktop\&#1044;&#1080;&#1087;&#1083;&#1086;&#1084;%20&#1080;%20&#1087;&#1088;&#1072;&#1082;&#1090;&#1080;&#1082;&#1072;\P3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slanik\Desktop\&#1044;&#1080;&#1087;&#1083;&#1086;&#1084;%20&#1080;%20&#1087;&#1088;&#1072;&#1082;&#1090;&#1080;&#1082;&#1072;\&#1040;&#1085;&#1072;&#1083;&#1110;&#1079;%20&#1073;&#1072;&#1085;&#1082;&#1088;&#1091;&#1090;&#1089;&#1090;&#1074;&#107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oslanik\Desktop\&#1044;&#1080;&#1087;&#1083;&#1086;&#1084;%20&#1080;%20&#1087;&#1088;&#1072;&#1082;&#1090;&#1080;&#1082;&#1072;\P3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Poslanik\Desktop\&#1044;&#1080;&#1087;&#1083;&#1086;&#1084;%20&#1080;%20&#1087;&#1088;&#1072;&#1082;&#1090;&#1080;&#1082;&#1072;\P31.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36506620882912E-2"/>
          <c:y val="6.3001145475372278E-2"/>
          <c:w val="0.87869457107335269"/>
          <c:h val="0.76702744631147912"/>
        </c:manualLayout>
      </c:layout>
      <c:lineChart>
        <c:grouping val="standard"/>
        <c:varyColors val="0"/>
        <c:ser>
          <c:idx val="1"/>
          <c:order val="0"/>
          <c:tx>
            <c:strRef>
              <c:f>Лист6!$F$20</c:f>
              <c:strCache>
                <c:ptCount val="1"/>
                <c:pt idx="0">
                  <c:v> Збиткові підприємства</c:v>
                </c:pt>
              </c:strCache>
            </c:strRef>
          </c:tx>
          <c:spPr>
            <a:ln w="28575" cap="rnd">
              <a:solidFill>
                <a:schemeClr val="tx1"/>
              </a:solidFill>
              <a:round/>
            </a:ln>
            <a:effectLst/>
          </c:spPr>
          <c:marker>
            <c:symbol val="circle"/>
            <c:size val="6"/>
            <c:spPr>
              <a:solidFill>
                <a:schemeClr val="bg1"/>
              </a:solidFill>
              <a:ln w="9525">
                <a:solidFill>
                  <a:schemeClr val="tx1"/>
                </a:solidFill>
              </a:ln>
              <a:effectLst/>
            </c:spPr>
          </c:marker>
          <c:dLbls>
            <c:dLbl>
              <c:idx val="0"/>
              <c:layout>
                <c:manualLayout>
                  <c:x val="8.4648629447634828E-3"/>
                  <c:y val="-5.53981654355061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81-491E-BC75-3926397530CF}"/>
                </c:ext>
              </c:extLst>
            </c:dLbl>
            <c:dLbl>
              <c:idx val="1"/>
              <c:layout>
                <c:manualLayout>
                  <c:x val="-6.7325794801965544E-2"/>
                  <c:y val="8.5893966862389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81-491E-BC75-3926397530CF}"/>
                </c:ext>
              </c:extLst>
            </c:dLbl>
            <c:dLbl>
              <c:idx val="2"/>
              <c:layout>
                <c:manualLayout>
                  <c:x val="-4.1935152842736766E-2"/>
                  <c:y val="-8.5331150616482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81-491E-BC75-3926397530CF}"/>
                </c:ext>
              </c:extLst>
            </c:dLbl>
            <c:dLbl>
              <c:idx val="3"/>
              <c:layout>
                <c:manualLayout>
                  <c:x val="-6.563633493181778E-2"/>
                  <c:y val="9.30180119237672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81-491E-BC75-3926397530CF}"/>
                </c:ext>
              </c:extLst>
            </c:dLbl>
            <c:dLbl>
              <c:idx val="4"/>
              <c:layout>
                <c:manualLayout>
                  <c:x val="-2.7008860734513404E-2"/>
                  <c:y val="-0.1071583191276348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81-491E-BC75-3926397530CF}"/>
                </c:ext>
              </c:extLst>
            </c:dLbl>
            <c:dLbl>
              <c:idx val="5"/>
              <c:layout>
                <c:manualLayout>
                  <c:x val="-7.5661397588459287E-2"/>
                  <c:y val="8.26460481099656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81-491E-BC75-3926397530CF}"/>
                </c:ext>
              </c:extLst>
            </c:dLbl>
            <c:dLbl>
              <c:idx val="6"/>
              <c:layout>
                <c:manualLayout>
                  <c:x val="-6.2585597852899966E-2"/>
                  <c:y val="-9.06039451254161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81-491E-BC75-3926397530CF}"/>
                </c:ext>
              </c:extLst>
            </c:dLbl>
            <c:dLbl>
              <c:idx val="7"/>
              <c:layout>
                <c:manualLayout>
                  <c:x val="-6.062380360349693E-2"/>
                  <c:y val="9.98281786941580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81-491E-BC75-3926397530CF}"/>
                </c:ext>
              </c:extLst>
            </c:dLbl>
            <c:dLbl>
              <c:idx val="8"/>
              <c:layout>
                <c:manualLayout>
                  <c:x val="-5.4522132101908406E-2"/>
                  <c:y val="-6.62977694798459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81-491E-BC75-3926397530CF}"/>
                </c:ext>
              </c:extLst>
            </c:dLbl>
            <c:dLbl>
              <c:idx val="9"/>
              <c:layout>
                <c:manualLayout>
                  <c:x val="-4.8092475282694926E-2"/>
                  <c:y val="8.83734249713631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81-491E-BC75-3926397530CF}"/>
                </c:ext>
              </c:extLst>
            </c:dLbl>
            <c:dLbl>
              <c:idx val="10"/>
              <c:layout>
                <c:manualLayout>
                  <c:x val="-6.3674738026167785E-2"/>
                  <c:y val="-8.99761885434423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81-491E-BC75-3926397530CF}"/>
                </c:ext>
              </c:extLst>
            </c:dLbl>
            <c:dLbl>
              <c:idx val="11"/>
              <c:layout>
                <c:manualLayout>
                  <c:x val="-4.9237266394332291E-2"/>
                  <c:y val="0.1066383454645487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81-491E-BC75-3926397530CF}"/>
                </c:ext>
              </c:extLst>
            </c:dLbl>
            <c:dLbl>
              <c:idx val="12"/>
              <c:layout>
                <c:manualLayout>
                  <c:x val="-7.7161210111893905E-2"/>
                  <c:y val="-5.31324692660840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C81-491E-BC75-3926397530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1"/>
                </a:solidFill>
                <a:prstDash val="sysDot"/>
              </a:ln>
              <a:effectLst/>
            </c:spPr>
            <c:trendlineType val="linear"/>
            <c:dispRSqr val="0"/>
            <c:dispEq val="0"/>
          </c:trendline>
          <c:cat>
            <c:numRef>
              <c:f>Лист6!$D$22:$D$34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Лист6!$F$22:$F$34</c:f>
              <c:numCache>
                <c:formatCode>0.0%</c:formatCode>
                <c:ptCount val="13"/>
                <c:pt idx="0">
                  <c:v>0.42700000000000005</c:v>
                </c:pt>
                <c:pt idx="1">
                  <c:v>0.36499999999999999</c:v>
                </c:pt>
                <c:pt idx="2">
                  <c:v>0.37</c:v>
                </c:pt>
                <c:pt idx="3">
                  <c:v>0.35</c:v>
                </c:pt>
                <c:pt idx="4">
                  <c:v>0.34499999999999997</c:v>
                </c:pt>
                <c:pt idx="5">
                  <c:v>0.26700000000000002</c:v>
                </c:pt>
                <c:pt idx="6">
                  <c:v>0.27</c:v>
                </c:pt>
                <c:pt idx="7">
                  <c:v>0.27600000000000002</c:v>
                </c:pt>
                <c:pt idx="8">
                  <c:v>0.26100000000000001</c:v>
                </c:pt>
                <c:pt idx="9">
                  <c:v>0.26400000000000001</c:v>
                </c:pt>
                <c:pt idx="10">
                  <c:v>0.28999999999999998</c:v>
                </c:pt>
                <c:pt idx="11">
                  <c:v>0.27100000000000002</c:v>
                </c:pt>
                <c:pt idx="12">
                  <c:v>0.34200000000000003</c:v>
                </c:pt>
              </c:numCache>
            </c:numRef>
          </c:val>
          <c:smooth val="0"/>
          <c:extLst>
            <c:ext xmlns:c16="http://schemas.microsoft.com/office/drawing/2014/chart" uri="{C3380CC4-5D6E-409C-BE32-E72D297353CC}">
              <c16:uniqueId val="{00000001-8C81-491E-BC75-3926397530CF}"/>
            </c:ext>
          </c:extLst>
        </c:ser>
        <c:dLbls>
          <c:showLegendKey val="0"/>
          <c:showVal val="0"/>
          <c:showCatName val="0"/>
          <c:showSerName val="0"/>
          <c:showPercent val="0"/>
          <c:showBubbleSize val="0"/>
        </c:dLbls>
        <c:marker val="1"/>
        <c:smooth val="0"/>
        <c:axId val="423875984"/>
        <c:axId val="423875592"/>
      </c:lineChart>
      <c:catAx>
        <c:axId val="42387598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23875592"/>
        <c:crosses val="autoZero"/>
        <c:auto val="1"/>
        <c:lblAlgn val="ctr"/>
        <c:lblOffset val="100"/>
        <c:noMultiLvlLbl val="0"/>
      </c:catAx>
      <c:valAx>
        <c:axId val="423875592"/>
        <c:scaling>
          <c:orientation val="minMax"/>
          <c:max val="0.45"/>
          <c:min val="0.2"/>
        </c:scaling>
        <c:delete val="0"/>
        <c:axPos val="l"/>
        <c:majorGridlines>
          <c:spPr>
            <a:ln w="9525" cap="flat" cmpd="sng" algn="ctr">
              <a:solidFill>
                <a:schemeClr val="bg1"/>
              </a:solidFill>
              <a:round/>
            </a:ln>
            <a:effectLst/>
          </c:spPr>
        </c:majorGridlines>
        <c:numFmt formatCode="0.0%" sourceLinked="1"/>
        <c:majorTickMark val="out"/>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23875984"/>
        <c:crosses val="autoZero"/>
        <c:crossBetween val="between"/>
        <c:majorUnit val="5.000000000000001E-2"/>
      </c:valAx>
      <c:spPr>
        <a:noFill/>
        <a:ln>
          <a:noFill/>
        </a:ln>
        <a:effectLst/>
      </c:spPr>
    </c:plotArea>
    <c:legend>
      <c:legendPos val="b"/>
      <c:layout>
        <c:manualLayout>
          <c:xMode val="edge"/>
          <c:yMode val="edge"/>
          <c:x val="8.3606457087600894E-2"/>
          <c:y val="0.90913313670842688"/>
          <c:w val="0.84281214848143982"/>
          <c:h val="9.08668632915730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591668566346145E-2"/>
          <c:y val="4.8052892844916123E-2"/>
          <c:w val="0.85312907870951926"/>
          <c:h val="0.69430916923428054"/>
        </c:manualLayout>
      </c:layout>
      <c:lineChart>
        <c:grouping val="standard"/>
        <c:varyColors val="0"/>
        <c:ser>
          <c:idx val="1"/>
          <c:order val="0"/>
          <c:tx>
            <c:strRef>
              <c:f>Sheet1!$A$2</c:f>
              <c:strCache>
                <c:ptCount val="1"/>
                <c:pt idx="0">
                  <c:v>2022</c:v>
                </c:pt>
              </c:strCache>
            </c:strRef>
          </c:tx>
          <c:spPr>
            <a:ln w="25400">
              <a:solidFill>
                <a:srgbClr val="333333"/>
              </a:solidFill>
              <a:prstDash val="solid"/>
            </a:ln>
          </c:spPr>
          <c:marker>
            <c:symbol val="triangle"/>
            <c:size val="6"/>
            <c:spPr>
              <a:solidFill>
                <a:sysClr val="window" lastClr="FFFFFF"/>
              </a:solidFill>
              <a:ln w="9525">
                <a:solidFill>
                  <a:srgbClr val="333333"/>
                </a:solidFill>
                <a:prstDash val="solid"/>
              </a:ln>
            </c:spPr>
          </c:marker>
          <c:dLbls>
            <c:dLbl>
              <c:idx val="0"/>
              <c:layout>
                <c:manualLayout>
                  <c:x val="7.1191267204556239E-3"/>
                  <c:y val="-2.71739130434782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7E-41D2-BF68-190C95164819}"/>
                </c:ext>
              </c:extLst>
            </c:dLbl>
            <c:dLbl>
              <c:idx val="1"/>
              <c:layout>
                <c:manualLayout>
                  <c:x val="9.4921689606074985E-3"/>
                  <c:y val="-5.88768115942029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7E-41D2-BF68-190C95164819}"/>
                </c:ext>
              </c:extLst>
            </c:dLbl>
            <c:dLbl>
              <c:idx val="2"/>
              <c:layout>
                <c:manualLayout>
                  <c:x val="-4.7460844803037493E-3"/>
                  <c:y val="-7.2463768115942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7E-41D2-BF68-190C95164819}"/>
                </c:ext>
              </c:extLst>
            </c:dLbl>
            <c:dLbl>
              <c:idx val="3"/>
              <c:layout>
                <c:manualLayout>
                  <c:x val="-1.6611295681063124E-2"/>
                  <c:y val="-4.07608695652173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A7E-41D2-BF68-190C95164819}"/>
                </c:ext>
              </c:extLst>
            </c:dLbl>
            <c:dLbl>
              <c:idx val="4"/>
              <c:layout>
                <c:manualLayout>
                  <c:x val="-3.7968675842429953E-2"/>
                  <c:y val="7.24637681159420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7E-41D2-BF68-190C95164819}"/>
                </c:ext>
              </c:extLst>
            </c:dLbl>
            <c:dLbl>
              <c:idx val="5"/>
              <c:layout>
                <c:manualLayout>
                  <c:x val="-3.7968675842429994E-2"/>
                  <c:y val="7.24637681159419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7E-41D2-BF68-190C95164819}"/>
                </c:ext>
              </c:extLst>
            </c:dLbl>
            <c:dLbl>
              <c:idx val="6"/>
              <c:layout>
                <c:manualLayout>
                  <c:x val="-4.0341718082581871E-2"/>
                  <c:y val="6.3405797101449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7E-41D2-BF68-190C95164819}"/>
                </c:ext>
              </c:extLst>
            </c:dLbl>
            <c:dLbl>
              <c:idx val="7"/>
              <c:layout>
                <c:manualLayout>
                  <c:x val="-4.2714760322733747E-2"/>
                  <c:y val="6.3405797101449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A7E-41D2-BF68-190C95164819}"/>
                </c:ext>
              </c:extLst>
            </c:dLbl>
            <c:dLbl>
              <c:idx val="8"/>
              <c:layout>
                <c:manualLayout>
                  <c:x val="-4.271476032273383E-2"/>
                  <c:y val="6.7934782608695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A7E-41D2-BF68-190C95164819}"/>
                </c:ext>
              </c:extLst>
            </c:dLbl>
            <c:dLbl>
              <c:idx val="9"/>
              <c:layout>
                <c:manualLayout>
                  <c:x val="-4.034171808258178E-2"/>
                  <c:y val="5.88768115942028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A7E-41D2-BF68-190C95164819}"/>
                </c:ext>
              </c:extLst>
            </c:dLbl>
            <c:dLbl>
              <c:idx val="10"/>
              <c:layout>
                <c:manualLayout>
                  <c:x val="-4.2714760322733747E-2"/>
                  <c:y val="5.43478260869564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A7E-41D2-BF68-190C95164819}"/>
                </c:ext>
              </c:extLst>
            </c:dLbl>
            <c:dLbl>
              <c:idx val="11"/>
              <c:layout>
                <c:manualLayout>
                  <c:x val="-4.0341718082581871E-2"/>
                  <c:y val="4.98188405797101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A7E-41D2-BF68-190C95164819}"/>
                </c:ext>
              </c:extLst>
            </c:dLbl>
            <c:spPr>
              <a:noFill/>
              <a:ln w="19044">
                <a:noFill/>
              </a:ln>
            </c:sp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E7E6E6">
                          <a:lumMod val="90000"/>
                        </a:srgbClr>
                      </a:solidFill>
                    </a:ln>
                  </c:spPr>
                </c15:leaderLines>
              </c:ext>
            </c:extLst>
          </c:dLbls>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Sheet1!$B$2:$M$2</c:f>
              <c:numCache>
                <c:formatCode>0.0</c:formatCode>
                <c:ptCount val="12"/>
                <c:pt idx="0">
                  <c:v>153</c:v>
                </c:pt>
                <c:pt idx="1">
                  <c:v>133.80000000000001</c:v>
                </c:pt>
                <c:pt idx="2">
                  <c:v>101.8</c:v>
                </c:pt>
                <c:pt idx="3">
                  <c:v>87</c:v>
                </c:pt>
                <c:pt idx="4">
                  <c:v>79.2</c:v>
                </c:pt>
                <c:pt idx="5">
                  <c:v>75.7</c:v>
                </c:pt>
                <c:pt idx="6">
                  <c:v>71.900000000000006</c:v>
                </c:pt>
                <c:pt idx="7">
                  <c:v>69.099999999999994</c:v>
                </c:pt>
                <c:pt idx="8">
                  <c:v>68.5</c:v>
                </c:pt>
                <c:pt idx="9">
                  <c:v>67.599999999999994</c:v>
                </c:pt>
                <c:pt idx="10">
                  <c:v>66.400000000000006</c:v>
                </c:pt>
                <c:pt idx="11">
                  <c:v>64.8</c:v>
                </c:pt>
              </c:numCache>
            </c:numRef>
          </c:val>
          <c:smooth val="0"/>
          <c:extLst>
            <c:ext xmlns:c16="http://schemas.microsoft.com/office/drawing/2014/chart" uri="{C3380CC4-5D6E-409C-BE32-E72D297353CC}">
              <c16:uniqueId val="{0000000C-0A7E-41D2-BF68-190C95164819}"/>
            </c:ext>
          </c:extLst>
        </c:ser>
        <c:ser>
          <c:idx val="2"/>
          <c:order val="1"/>
          <c:tx>
            <c:strRef>
              <c:f>Sheet1!$A$3</c:f>
              <c:strCache>
                <c:ptCount val="1"/>
                <c:pt idx="0">
                  <c:v>2023</c:v>
                </c:pt>
              </c:strCache>
            </c:strRef>
          </c:tx>
          <c:spPr>
            <a:ln w="25400">
              <a:solidFill>
                <a:sysClr val="windowText" lastClr="000000"/>
              </a:solidFill>
            </a:ln>
          </c:spPr>
          <c:marker>
            <c:symbol val="square"/>
            <c:size val="6"/>
            <c:spPr>
              <a:solidFill>
                <a:sysClr val="window" lastClr="FFFFFF"/>
              </a:solidFill>
              <a:ln w="9525">
                <a:solidFill>
                  <a:sysClr val="windowText" lastClr="000000"/>
                </a:solidFill>
              </a:ln>
            </c:spPr>
          </c:marker>
          <c:dLbls>
            <c:dLbl>
              <c:idx val="0"/>
              <c:layout>
                <c:manualLayout>
                  <c:x val="-3.1637324404216939E-2"/>
                  <c:y val="-8.3623972954467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A7E-41D2-BF68-190C95164819}"/>
                </c:ext>
              </c:extLst>
            </c:dLbl>
            <c:dLbl>
              <c:idx val="1"/>
              <c:layout>
                <c:manualLayout>
                  <c:x val="-4.4578999884150691E-2"/>
                  <c:y val="-9.12587013579824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A7E-41D2-BF68-190C95164819}"/>
                </c:ext>
              </c:extLst>
            </c:dLbl>
            <c:dLbl>
              <c:idx val="2"/>
              <c:layout>
                <c:manualLayout>
                  <c:x val="-6.8984898482374088E-2"/>
                  <c:y val="-6.3360150633344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A7E-41D2-BF68-190C95164819}"/>
                </c:ext>
              </c:extLst>
            </c:dLbl>
            <c:dLbl>
              <c:idx val="3"/>
              <c:layout>
                <c:manualLayout>
                  <c:x val="-5.1696071213689652E-2"/>
                  <c:y val="8.247104302179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A7E-41D2-BF68-190C95164819}"/>
                </c:ext>
              </c:extLst>
            </c:dLbl>
            <c:dLbl>
              <c:idx val="4"/>
              <c:layout>
                <c:manualLayout>
                  <c:x val="-4.0164207048869721E-2"/>
                  <c:y val="-6.2317414127581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A7E-41D2-BF68-190C95164819}"/>
                </c:ext>
              </c:extLst>
            </c:dLbl>
            <c:dLbl>
              <c:idx val="5"/>
              <c:layout>
                <c:manualLayout>
                  <c:x val="-4.3538037811718715E-2"/>
                  <c:y val="-5.30394128723040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A7E-41D2-BF68-190C95164819}"/>
                </c:ext>
              </c:extLst>
            </c:dLbl>
            <c:dLbl>
              <c:idx val="6"/>
              <c:layout>
                <c:manualLayout>
                  <c:x val="-4.4689243578772013E-2"/>
                  <c:y val="-5.06358410361749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A7E-41D2-BF68-190C95164819}"/>
                </c:ext>
              </c:extLst>
            </c:dLbl>
            <c:dLbl>
              <c:idx val="7"/>
              <c:layout>
                <c:manualLayout>
                  <c:x val="-4.4001995597726364E-2"/>
                  <c:y val="-5.80797814675339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A7E-41D2-BF68-190C95164819}"/>
                </c:ext>
              </c:extLst>
            </c:dLbl>
            <c:dLbl>
              <c:idx val="8"/>
              <c:layout>
                <c:manualLayout>
                  <c:x val="-6.5355106473759833E-2"/>
                  <c:y val="-4.66117504542701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A7E-41D2-BF68-190C95164819}"/>
                </c:ext>
              </c:extLst>
            </c:dLbl>
            <c:dLbl>
              <c:idx val="9"/>
              <c:layout>
                <c:manualLayout>
                  <c:x val="-4.2121591024297932E-2"/>
                  <c:y val="3.99141554674086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A7E-41D2-BF68-190C95164819}"/>
                </c:ext>
              </c:extLst>
            </c:dLbl>
            <c:dLbl>
              <c:idx val="10"/>
              <c:layout>
                <c:manualLayout>
                  <c:x val="-6.1523956564252996E-2"/>
                  <c:y val="-6.1643221563596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A7E-41D2-BF68-190C95164819}"/>
                </c:ext>
              </c:extLst>
            </c:dLbl>
            <c:dLbl>
              <c:idx val="11"/>
              <c:layout>
                <c:manualLayout>
                  <c:x val="-7.1216089393780508E-3"/>
                  <c:y val="6.9804607757363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A7E-41D2-BF68-190C95164819}"/>
                </c:ext>
              </c:extLst>
            </c:dLbl>
            <c:numFmt formatCode="0.0" sourceLinked="0"/>
            <c:spPr>
              <a:noFill/>
              <a:ln w="19044">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E7E6E6">
                          <a:lumMod val="90000"/>
                        </a:srgbClr>
                      </a:solidFill>
                    </a:ln>
                  </c:spPr>
                </c15:leaderLines>
              </c:ext>
            </c:extLst>
          </c:dLbls>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Sheet1!$B$3:$M$3</c:f>
              <c:numCache>
                <c:formatCode>0.0</c:formatCode>
                <c:ptCount val="12"/>
                <c:pt idx="0">
                  <c:v>52.1</c:v>
                </c:pt>
                <c:pt idx="1">
                  <c:v>57.1</c:v>
                </c:pt>
                <c:pt idx="2">
                  <c:v>73.8</c:v>
                </c:pt>
                <c:pt idx="3">
                  <c:v>80.3</c:v>
                </c:pt>
                <c:pt idx="4">
                  <c:v>84.4</c:v>
                </c:pt>
                <c:pt idx="5">
                  <c:v>85.7</c:v>
                </c:pt>
                <c:pt idx="6">
                  <c:v>85.3</c:v>
                </c:pt>
                <c:pt idx="7">
                  <c:v>84.7</c:v>
                </c:pt>
              </c:numCache>
            </c:numRef>
          </c:val>
          <c:smooth val="0"/>
          <c:extLst>
            <c:ext xmlns:c16="http://schemas.microsoft.com/office/drawing/2014/chart" uri="{C3380CC4-5D6E-409C-BE32-E72D297353CC}">
              <c16:uniqueId val="{00000019-0A7E-41D2-BF68-190C95164819}"/>
            </c:ext>
          </c:extLst>
        </c:ser>
        <c:ser>
          <c:idx val="0"/>
          <c:order val="2"/>
          <c:tx>
            <c:strRef>
              <c:f>Sheet1!$A$4</c:f>
              <c:strCache>
                <c:ptCount val="1"/>
                <c:pt idx="0">
                  <c:v>100,0</c:v>
                </c:pt>
              </c:strCache>
            </c:strRef>
          </c:tx>
          <c:spPr>
            <a:ln w="15875">
              <a:solidFill>
                <a:sysClr val="windowText" lastClr="000000"/>
              </a:solidFill>
              <a:prstDash val="dash"/>
            </a:ln>
          </c:spPr>
          <c:marker>
            <c:symbol val="none"/>
          </c:marker>
          <c:cat>
            <c:strRef>
              <c:f>Sheet1!$B$1:$M$1</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Sheet1!$B$4:$M$4</c:f>
              <c:numCache>
                <c:formatCode>0.0</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mooth val="0"/>
          <c:extLst>
            <c:ext xmlns:c16="http://schemas.microsoft.com/office/drawing/2014/chart" uri="{C3380CC4-5D6E-409C-BE32-E72D297353CC}">
              <c16:uniqueId val="{0000001A-0A7E-41D2-BF68-190C95164819}"/>
            </c:ext>
          </c:extLst>
        </c:ser>
        <c:dLbls>
          <c:showLegendKey val="0"/>
          <c:showVal val="0"/>
          <c:showCatName val="0"/>
          <c:showSerName val="0"/>
          <c:showPercent val="0"/>
          <c:showBubbleSize val="0"/>
        </c:dLbls>
        <c:marker val="1"/>
        <c:smooth val="0"/>
        <c:axId val="423873240"/>
        <c:axId val="423876768"/>
      </c:lineChart>
      <c:catAx>
        <c:axId val="423873240"/>
        <c:scaling>
          <c:orientation val="minMax"/>
        </c:scaling>
        <c:delete val="0"/>
        <c:axPos val="b"/>
        <c:numFmt formatCode="General" sourceLinked="1"/>
        <c:majorTickMark val="out"/>
        <c:minorTickMark val="none"/>
        <c:tickLblPos val="nextTo"/>
        <c:spPr>
          <a:ln w="9525">
            <a:solidFill>
              <a:sysClr val="windowText" lastClr="000000"/>
            </a:solidFill>
            <a:prstDash val="solid"/>
          </a:ln>
        </c:spPr>
        <c:txPr>
          <a:bodyPr rot="-2700000" vert="horz"/>
          <a:lstStyle/>
          <a:p>
            <a:pPr>
              <a:defRPr/>
            </a:pPr>
            <a:endParaRPr lang="uk-UA"/>
          </a:p>
        </c:txPr>
        <c:crossAx val="423876768"/>
        <c:crosses val="autoZero"/>
        <c:auto val="1"/>
        <c:lblAlgn val="ctr"/>
        <c:lblOffset val="0"/>
        <c:tickLblSkip val="1"/>
        <c:tickMarkSkip val="1"/>
        <c:noMultiLvlLbl val="0"/>
      </c:catAx>
      <c:valAx>
        <c:axId val="423876768"/>
        <c:scaling>
          <c:orientation val="minMax"/>
          <c:max val="160"/>
          <c:min val="50"/>
        </c:scaling>
        <c:delete val="0"/>
        <c:axPos val="l"/>
        <c:numFmt formatCode="0" sourceLinked="0"/>
        <c:majorTickMark val="out"/>
        <c:minorTickMark val="none"/>
        <c:tickLblPos val="nextTo"/>
        <c:spPr>
          <a:ln w="9525">
            <a:solidFill>
              <a:sysClr val="windowText" lastClr="000000"/>
            </a:solidFill>
            <a:prstDash val="solid"/>
          </a:ln>
        </c:spPr>
        <c:txPr>
          <a:bodyPr rot="0" vert="horz"/>
          <a:lstStyle/>
          <a:p>
            <a:pPr>
              <a:defRPr/>
            </a:pPr>
            <a:endParaRPr lang="uk-UA"/>
          </a:p>
        </c:txPr>
        <c:crossAx val="423873240"/>
        <c:crosses val="autoZero"/>
        <c:crossBetween val="between"/>
        <c:majorUnit val="10"/>
      </c:valAx>
      <c:spPr>
        <a:noFill/>
        <a:ln w="19044">
          <a:noFill/>
        </a:ln>
      </c:spPr>
    </c:plotArea>
    <c:legend>
      <c:legendPos val="b"/>
      <c:legendEntry>
        <c:idx val="2"/>
        <c:delete val="1"/>
      </c:legendEntry>
      <c:layout>
        <c:manualLayout>
          <c:xMode val="edge"/>
          <c:yMode val="edge"/>
          <c:x val="0.21922911629401806"/>
          <c:y val="0.9144328426338012"/>
          <c:w val="0.56236056041167615"/>
          <c:h val="6.1777858610065045E-2"/>
        </c:manualLayout>
      </c:layout>
      <c:overlay val="0"/>
      <c:spPr>
        <a:noFill/>
        <a:ln w="2381">
          <a:noFill/>
        </a:ln>
      </c:spPr>
    </c:legend>
    <c:plotVisOnly val="1"/>
    <c:dispBlanksAs val="gap"/>
    <c:showDLblsOverMax val="0"/>
  </c:chart>
  <c:spPr>
    <a:solidFill>
      <a:srgbClr val="FFFFFF"/>
    </a:solidFill>
    <a:ln>
      <a:noFill/>
    </a:ln>
  </c:spPr>
  <c:txPr>
    <a:bodyPr/>
    <a:lstStyle/>
    <a:p>
      <a:pPr algn="just">
        <a:defRPr sz="9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340461353673687E-2"/>
          <c:y val="5.1498127340823971E-2"/>
          <c:w val="0.92175688762503127"/>
          <c:h val="0.72189057477365892"/>
        </c:manualLayout>
      </c:layout>
      <c:barChart>
        <c:barDir val="col"/>
        <c:grouping val="clustered"/>
        <c:varyColors val="0"/>
        <c:ser>
          <c:idx val="0"/>
          <c:order val="0"/>
          <c:tx>
            <c:strRef>
              <c:f>Аркуш1!$C$2</c:f>
              <c:strCache>
                <c:ptCount val="1"/>
                <c:pt idx="0">
                  <c:v>2020 (млн тон)</c:v>
                </c:pt>
              </c:strCache>
            </c:strRef>
          </c:tx>
          <c:spPr>
            <a:solidFill>
              <a:schemeClr val="accent1"/>
            </a:solidFill>
            <a:ln>
              <a:solidFill>
                <a:schemeClr val="tx1"/>
              </a:solidFill>
            </a:ln>
            <a:effectLst/>
          </c:spPr>
          <c:invertIfNegative val="0"/>
          <c:dLbls>
            <c:dLbl>
              <c:idx val="0"/>
              <c:layout>
                <c:manualLayout>
                  <c:x val="5.4219707685054221E-2"/>
                  <c:y val="-3.16455696202531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FA-4E6F-8704-E200DB27ADF5}"/>
                </c:ext>
              </c:extLst>
            </c:dLbl>
            <c:dLbl>
              <c:idx val="1"/>
              <c:layout>
                <c:manualLayout>
                  <c:x val="4.2432814710042434E-2"/>
                  <c:y val="-6.329113924050633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A-4E6F-8704-E200DB27ADF5}"/>
                </c:ext>
              </c:extLst>
            </c:dLbl>
            <c:dLbl>
              <c:idx val="2"/>
              <c:layout>
                <c:manualLayout>
                  <c:x val="4.4790193305044787E-2"/>
                  <c:y val="-7.032348804500702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FA-4E6F-8704-E200DB27ADF5}"/>
                </c:ext>
              </c:extLst>
            </c:dLbl>
            <c:dLbl>
              <c:idx val="3"/>
              <c:layout>
                <c:manualLayout>
                  <c:x val="2.8288543140028287E-2"/>
                  <c:y val="-2.10970464135021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A-4E6F-8704-E200DB27ADF5}"/>
                </c:ext>
              </c:extLst>
            </c:dLbl>
            <c:dLbl>
              <c:idx val="4"/>
              <c:layout>
                <c:manualLayout>
                  <c:x val="4.007543611503999E-2"/>
                  <c:y val="-9.49367088607594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FA-4E6F-8704-E200DB27ADF5}"/>
                </c:ext>
              </c:extLst>
            </c:dLbl>
            <c:dLbl>
              <c:idx val="5"/>
              <c:layout>
                <c:manualLayout>
                  <c:x val="3.5360678925035451E-2"/>
                  <c:y val="-9.49367088607596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A-4E6F-8704-E200DB27ADF5}"/>
                </c:ext>
              </c:extLst>
            </c:dLbl>
            <c:dLbl>
              <c:idx val="6"/>
              <c:layout>
                <c:manualLayout>
                  <c:x val="4.4790193305044787E-2"/>
                  <c:y val="-8.7904360056258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FA-4E6F-8704-E200DB27ADF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Аркуш1!$B$4:$B$10</c:f>
              <c:strCache>
                <c:ptCount val="7"/>
                <c:pt idx="0">
                  <c:v>Видобуток руди</c:v>
                </c:pt>
                <c:pt idx="1">
                  <c:v>Кокс 6% вол.</c:v>
                </c:pt>
                <c:pt idx="2">
                  <c:v>Концентрат</c:v>
                </c:pt>
                <c:pt idx="3">
                  <c:v>Агломерат</c:v>
                </c:pt>
                <c:pt idx="4">
                  <c:v>Чавун</c:v>
                </c:pt>
                <c:pt idx="5">
                  <c:v>Сталь</c:v>
                </c:pt>
                <c:pt idx="6">
                  <c:v>Прокат</c:v>
                </c:pt>
              </c:strCache>
            </c:strRef>
          </c:cat>
          <c:val>
            <c:numRef>
              <c:f>Аркуш1!$C$4:$C$10</c:f>
              <c:numCache>
                <c:formatCode>General</c:formatCode>
                <c:ptCount val="7"/>
                <c:pt idx="0">
                  <c:v>25.6</c:v>
                </c:pt>
                <c:pt idx="1">
                  <c:v>2.6</c:v>
                </c:pt>
                <c:pt idx="2">
                  <c:v>10.7</c:v>
                </c:pt>
                <c:pt idx="3">
                  <c:v>9</c:v>
                </c:pt>
                <c:pt idx="4">
                  <c:v>4.9000000000000004</c:v>
                </c:pt>
                <c:pt idx="5">
                  <c:v>4.7</c:v>
                </c:pt>
                <c:pt idx="6">
                  <c:v>4.3</c:v>
                </c:pt>
              </c:numCache>
            </c:numRef>
          </c:val>
          <c:extLst>
            <c:ext xmlns:c16="http://schemas.microsoft.com/office/drawing/2014/chart" uri="{C3380CC4-5D6E-409C-BE32-E72D297353CC}">
              <c16:uniqueId val="{00000007-1FFA-4E6F-8704-E200DB27ADF5}"/>
            </c:ext>
          </c:extLst>
        </c:ser>
        <c:ser>
          <c:idx val="1"/>
          <c:order val="1"/>
          <c:tx>
            <c:strRef>
              <c:f>Аркуш1!$D$2</c:f>
              <c:strCache>
                <c:ptCount val="1"/>
                <c:pt idx="0">
                  <c:v>2021 (млн тон)</c:v>
                </c:pt>
              </c:strCache>
            </c:strRef>
          </c:tx>
          <c:spPr>
            <a:solidFill>
              <a:srgbClr val="FFFF00"/>
            </a:solidFill>
            <a:ln>
              <a:solidFill>
                <a:schemeClr val="tx1"/>
              </a:solidFill>
            </a:ln>
            <a:effectLst/>
          </c:spPr>
          <c:invertIfNegative val="0"/>
          <c:dLbls>
            <c:dLbl>
              <c:idx val="0"/>
              <c:layout>
                <c:manualLayout>
                  <c:x val="4.9504950495049507E-2"/>
                  <c:y val="-2.81293952180028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FA-4E6F-8704-E200DB27ADF5}"/>
                </c:ext>
              </c:extLst>
            </c:dLbl>
            <c:dLbl>
              <c:idx val="1"/>
              <c:layout>
                <c:manualLayout>
                  <c:x val="4.2432814710042434E-2"/>
                  <c:y val="-3.8677918424753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FFA-4E6F-8704-E200DB27ADF5}"/>
                </c:ext>
              </c:extLst>
            </c:dLbl>
            <c:dLbl>
              <c:idx val="2"/>
              <c:layout>
                <c:manualLayout>
                  <c:x val="3.5360678925035277E-2"/>
                  <c:y val="-3.51617440225035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FA-4E6F-8704-E200DB27ADF5}"/>
                </c:ext>
              </c:extLst>
            </c:dLbl>
            <c:dLbl>
              <c:idx val="3"/>
              <c:layout>
                <c:manualLayout>
                  <c:x val="3.771805752003772E-2"/>
                  <c:y val="-2.10970464135020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FFA-4E6F-8704-E200DB27ADF5}"/>
                </c:ext>
              </c:extLst>
            </c:dLbl>
            <c:dLbl>
              <c:idx val="4"/>
              <c:layout>
                <c:manualLayout>
                  <c:x val="3.536067892503536E-2"/>
                  <c:y val="-2.81293952180028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FFA-4E6F-8704-E200DB27ADF5}"/>
                </c:ext>
              </c:extLst>
            </c:dLbl>
            <c:dLbl>
              <c:idx val="5"/>
              <c:layout>
                <c:manualLayout>
                  <c:x val="3.536067892503536E-2"/>
                  <c:y val="-3.51617440225035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FFA-4E6F-8704-E200DB27ADF5}"/>
                </c:ext>
              </c:extLst>
            </c:dLbl>
            <c:dLbl>
              <c:idx val="6"/>
              <c:layout>
                <c:manualLayout>
                  <c:x val="3.771805752003772E-2"/>
                  <c:y val="-1.05485232067510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FFA-4E6F-8704-E200DB27ADF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Аркуш1!$B$4:$B$10</c:f>
              <c:strCache>
                <c:ptCount val="7"/>
                <c:pt idx="0">
                  <c:v>Видобуток руди</c:v>
                </c:pt>
                <c:pt idx="1">
                  <c:v>Кокс 6% вол.</c:v>
                </c:pt>
                <c:pt idx="2">
                  <c:v>Концентрат</c:v>
                </c:pt>
                <c:pt idx="3">
                  <c:v>Агломерат</c:v>
                </c:pt>
                <c:pt idx="4">
                  <c:v>Чавун</c:v>
                </c:pt>
                <c:pt idx="5">
                  <c:v>Сталь</c:v>
                </c:pt>
                <c:pt idx="6">
                  <c:v>Прокат</c:v>
                </c:pt>
              </c:strCache>
            </c:strRef>
          </c:cat>
          <c:val>
            <c:numRef>
              <c:f>Аркуш1!$D$4:$D$10</c:f>
              <c:numCache>
                <c:formatCode>General</c:formatCode>
                <c:ptCount val="7"/>
                <c:pt idx="0">
                  <c:v>18.100000000000001</c:v>
                </c:pt>
                <c:pt idx="1">
                  <c:v>1.6</c:v>
                </c:pt>
                <c:pt idx="2">
                  <c:v>7.2</c:v>
                </c:pt>
                <c:pt idx="3" formatCode="0.0">
                  <c:v>5.34</c:v>
                </c:pt>
                <c:pt idx="4" formatCode="0.0">
                  <c:v>5.34</c:v>
                </c:pt>
                <c:pt idx="5" formatCode="0.0">
                  <c:v>4.92</c:v>
                </c:pt>
                <c:pt idx="6" formatCode="0.0">
                  <c:v>4.5999999999999996</c:v>
                </c:pt>
              </c:numCache>
            </c:numRef>
          </c:val>
          <c:extLst>
            <c:ext xmlns:c16="http://schemas.microsoft.com/office/drawing/2014/chart" uri="{C3380CC4-5D6E-409C-BE32-E72D297353CC}">
              <c16:uniqueId val="{0000000F-1FFA-4E6F-8704-E200DB27ADF5}"/>
            </c:ext>
          </c:extLst>
        </c:ser>
        <c:ser>
          <c:idx val="2"/>
          <c:order val="2"/>
          <c:tx>
            <c:strRef>
              <c:f>Аркуш1!$E$2</c:f>
              <c:strCache>
                <c:ptCount val="1"/>
                <c:pt idx="0">
                  <c:v>2022 (млн тон)</c:v>
                </c:pt>
              </c:strCache>
            </c:strRef>
          </c:tx>
          <c:spPr>
            <a:solidFill>
              <a:schemeClr val="accent3"/>
            </a:solidFill>
            <a:ln>
              <a:solidFill>
                <a:sysClr val="windowText" lastClr="000000"/>
              </a:solidFill>
            </a:ln>
            <a:effectLst/>
          </c:spPr>
          <c:invertIfNegative val="0"/>
          <c:dPt>
            <c:idx val="0"/>
            <c:invertIfNegative val="0"/>
            <c:bubble3D val="0"/>
            <c:spPr>
              <a:solidFill>
                <a:srgbClr val="A5A5A5"/>
              </a:solidFill>
              <a:ln>
                <a:solidFill>
                  <a:sysClr val="windowText" lastClr="000000"/>
                </a:solidFill>
              </a:ln>
              <a:effectLst/>
            </c:spPr>
            <c:extLst>
              <c:ext xmlns:c16="http://schemas.microsoft.com/office/drawing/2014/chart" uri="{C3380CC4-5D6E-409C-BE32-E72D297353CC}">
                <c16:uniqueId val="{00000011-1FFA-4E6F-8704-E200DB27ADF5}"/>
              </c:ext>
            </c:extLst>
          </c:dPt>
          <c:dLbls>
            <c:dLbl>
              <c:idx val="0"/>
              <c:layout>
                <c:manualLayout>
                  <c:x val="4.2432814710042434E-2"/>
                  <c:y val="-2.81293952180028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FFA-4E6F-8704-E200DB27ADF5}"/>
                </c:ext>
              </c:extLst>
            </c:dLbl>
            <c:dLbl>
              <c:idx val="1"/>
              <c:layout>
                <c:manualLayout>
                  <c:x val="2.8288543140028245E-2"/>
                  <c:y val="-7.032348804500702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FFA-4E6F-8704-E200DB27ADF5}"/>
                </c:ext>
              </c:extLst>
            </c:dLbl>
            <c:dLbl>
              <c:idx val="2"/>
              <c:layout>
                <c:manualLayout>
                  <c:x val="3.536067892503536E-2"/>
                  <c:y val="-1.05485232067510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FFA-4E6F-8704-E200DB27ADF5}"/>
                </c:ext>
              </c:extLst>
            </c:dLbl>
            <c:dLbl>
              <c:idx val="3"/>
              <c:layout>
                <c:manualLayout>
                  <c:x val="3.536067892503536E-2"/>
                  <c:y val="-1.05485232067510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1FFA-4E6F-8704-E200DB27ADF5}"/>
                </c:ext>
              </c:extLst>
            </c:dLbl>
            <c:dLbl>
              <c:idx val="4"/>
              <c:layout>
                <c:manualLayout>
                  <c:x val="3.5360678925035277E-2"/>
                  <c:y val="-1.75808720112517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FFA-4E6F-8704-E200DB27ADF5}"/>
                </c:ext>
              </c:extLst>
            </c:dLbl>
            <c:dLbl>
              <c:idx val="5"/>
              <c:layout>
                <c:manualLayout>
                  <c:x val="3.3003300330032834E-2"/>
                  <c:y val="-2.81293952180028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1FFA-4E6F-8704-E200DB27ADF5}"/>
                </c:ext>
              </c:extLst>
            </c:dLbl>
            <c:dLbl>
              <c:idx val="6"/>
              <c:layout>
                <c:manualLayout>
                  <c:x val="4.0075436115040074E-2"/>
                  <c:y val="-3.16455696202531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FFA-4E6F-8704-E200DB27ADF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Аркуш1!$E$4:$E$10</c:f>
              <c:numCache>
                <c:formatCode>General</c:formatCode>
                <c:ptCount val="7"/>
                <c:pt idx="0">
                  <c:v>11.6</c:v>
                </c:pt>
                <c:pt idx="1">
                  <c:v>1</c:v>
                </c:pt>
                <c:pt idx="2">
                  <c:v>4.5</c:v>
                </c:pt>
                <c:pt idx="3" formatCode="0.0">
                  <c:v>1.34</c:v>
                </c:pt>
                <c:pt idx="4" formatCode="0.0">
                  <c:v>1.6</c:v>
                </c:pt>
                <c:pt idx="5" formatCode="0.0">
                  <c:v>1.2</c:v>
                </c:pt>
                <c:pt idx="6" formatCode="0.0">
                  <c:v>1.1000000000000001</c:v>
                </c:pt>
              </c:numCache>
            </c:numRef>
          </c:val>
          <c:extLst>
            <c:ext xmlns:c16="http://schemas.microsoft.com/office/drawing/2014/chart" uri="{C3380CC4-5D6E-409C-BE32-E72D297353CC}">
              <c16:uniqueId val="{00000018-1FFA-4E6F-8704-E200DB27ADF5}"/>
            </c:ext>
          </c:extLst>
        </c:ser>
        <c:dLbls>
          <c:dLblPos val="outEnd"/>
          <c:showLegendKey val="0"/>
          <c:showVal val="1"/>
          <c:showCatName val="0"/>
          <c:showSerName val="0"/>
          <c:showPercent val="0"/>
          <c:showBubbleSize val="0"/>
        </c:dLbls>
        <c:gapWidth val="219"/>
        <c:overlap val="-27"/>
        <c:axId val="414199480"/>
        <c:axId val="414200264"/>
      </c:barChart>
      <c:catAx>
        <c:axId val="414199480"/>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200264"/>
        <c:crosses val="autoZero"/>
        <c:auto val="1"/>
        <c:lblAlgn val="ctr"/>
        <c:lblOffset val="100"/>
        <c:noMultiLvlLbl val="0"/>
      </c:catAx>
      <c:valAx>
        <c:axId val="414200264"/>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199480"/>
        <c:crosses val="autoZero"/>
        <c:crossBetween val="between"/>
      </c:valAx>
      <c:spPr>
        <a:noFill/>
        <a:ln>
          <a:noFill/>
        </a:ln>
        <a:effectLst/>
      </c:spPr>
    </c:plotArea>
    <c:legend>
      <c:legendPos val="b"/>
      <c:layout>
        <c:manualLayout>
          <c:xMode val="edge"/>
          <c:yMode val="edge"/>
          <c:x val="0.21440352876359817"/>
          <c:y val="0.91934700227078359"/>
          <c:w val="0.57119277137293956"/>
          <c:h val="7.725033346241555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Аркуш1!$C$4</c:f>
              <c:strCache>
                <c:ptCount val="1"/>
                <c:pt idx="0">
                  <c:v>ПрАТ "КАМЕТ-СТАЛЬ"</c:v>
                </c:pt>
              </c:strCache>
            </c:strRef>
          </c:tx>
          <c:spPr>
            <a:solidFill>
              <a:schemeClr val="accent1"/>
            </a:solidFill>
            <a:ln>
              <a:solidFill>
                <a:schemeClr val="tx1"/>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Аркуш1!$G$3:$I$3</c:f>
              <c:numCache>
                <c:formatCode>General</c:formatCode>
                <c:ptCount val="3"/>
                <c:pt idx="0">
                  <c:v>2020</c:v>
                </c:pt>
                <c:pt idx="1">
                  <c:v>2021</c:v>
                </c:pt>
                <c:pt idx="2">
                  <c:v>2022</c:v>
                </c:pt>
              </c:numCache>
            </c:numRef>
          </c:cat>
          <c:val>
            <c:numRef>
              <c:f>Аркуш1!$G$4:$I$4</c:f>
              <c:numCache>
                <c:formatCode>0.0%</c:formatCode>
                <c:ptCount val="3"/>
                <c:pt idx="0">
                  <c:v>0.12621359223300971</c:v>
                </c:pt>
                <c:pt idx="1">
                  <c:v>0.11737089201877934</c:v>
                </c:pt>
                <c:pt idx="2">
                  <c:v>0.23809523809523811</c:v>
                </c:pt>
              </c:numCache>
            </c:numRef>
          </c:val>
          <c:extLst>
            <c:ext xmlns:c16="http://schemas.microsoft.com/office/drawing/2014/chart" uri="{C3380CC4-5D6E-409C-BE32-E72D297353CC}">
              <c16:uniqueId val="{00000000-8A10-4750-8F7E-4AFE47B4F56E}"/>
            </c:ext>
          </c:extLst>
        </c:ser>
        <c:ser>
          <c:idx val="1"/>
          <c:order val="1"/>
          <c:tx>
            <c:strRef>
              <c:f>Аркуш1!$C$5</c:f>
              <c:strCache>
                <c:ptCount val="1"/>
                <c:pt idx="0">
                  <c:v>ПАТ "АрселорМіттал Кривий Ріг"</c:v>
                </c:pt>
              </c:strCache>
            </c:strRef>
          </c:tx>
          <c:spPr>
            <a:solidFill>
              <a:srgbClr val="FFFF00"/>
            </a:solidFill>
            <a:ln>
              <a:solidFill>
                <a:schemeClr val="tx1"/>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Аркуш1!$G$5:$I$5</c:f>
              <c:numCache>
                <c:formatCode>0.0%</c:formatCode>
                <c:ptCount val="3"/>
                <c:pt idx="0">
                  <c:v>0.22815533980582522</c:v>
                </c:pt>
                <c:pt idx="1">
                  <c:v>0.23004694835680753</c:v>
                </c:pt>
                <c:pt idx="2">
                  <c:v>0.19047619047619047</c:v>
                </c:pt>
              </c:numCache>
            </c:numRef>
          </c:val>
          <c:extLst>
            <c:ext xmlns:c16="http://schemas.microsoft.com/office/drawing/2014/chart" uri="{C3380CC4-5D6E-409C-BE32-E72D297353CC}">
              <c16:uniqueId val="{00000001-8A10-4750-8F7E-4AFE47B4F56E}"/>
            </c:ext>
          </c:extLst>
        </c:ser>
        <c:ser>
          <c:idx val="2"/>
          <c:order val="2"/>
          <c:tx>
            <c:strRef>
              <c:f>Аркуш1!$C$6</c:f>
              <c:strCache>
                <c:ptCount val="1"/>
                <c:pt idx="0">
                  <c:v>ПАТ «Запоріжсталь»</c:v>
                </c:pt>
              </c:strCache>
            </c:strRef>
          </c:tx>
          <c:spPr>
            <a:solidFill>
              <a:schemeClr val="accent3"/>
            </a:solidFill>
            <a:ln>
              <a:solidFill>
                <a:schemeClr val="tx1"/>
              </a:solid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Аркуш1!$G$6:$I$6</c:f>
              <c:numCache>
                <c:formatCode>0.0%</c:formatCode>
                <c:ptCount val="3"/>
                <c:pt idx="0">
                  <c:v>0.1844660194174757</c:v>
                </c:pt>
                <c:pt idx="1">
                  <c:v>0.18309859154929575</c:v>
                </c:pt>
                <c:pt idx="2">
                  <c:v>0.23809523809523811</c:v>
                </c:pt>
              </c:numCache>
            </c:numRef>
          </c:val>
          <c:extLst>
            <c:ext xmlns:c16="http://schemas.microsoft.com/office/drawing/2014/chart" uri="{C3380CC4-5D6E-409C-BE32-E72D297353CC}">
              <c16:uniqueId val="{00000002-8A10-4750-8F7E-4AFE47B4F56E}"/>
            </c:ext>
          </c:extLst>
        </c:ser>
        <c:dLbls>
          <c:dLblPos val="outEnd"/>
          <c:showLegendKey val="0"/>
          <c:showVal val="1"/>
          <c:showCatName val="0"/>
          <c:showSerName val="0"/>
          <c:showPercent val="0"/>
          <c:showBubbleSize val="0"/>
        </c:dLbls>
        <c:gapWidth val="219"/>
        <c:overlap val="-27"/>
        <c:axId val="414198696"/>
        <c:axId val="414199872"/>
      </c:barChart>
      <c:catAx>
        <c:axId val="4141986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199872"/>
        <c:crosses val="autoZero"/>
        <c:auto val="1"/>
        <c:lblAlgn val="ctr"/>
        <c:lblOffset val="100"/>
        <c:noMultiLvlLbl val="0"/>
      </c:catAx>
      <c:valAx>
        <c:axId val="414199872"/>
        <c:scaling>
          <c:orientation val="minMax"/>
          <c:max val="0.30000000000000004"/>
        </c:scaling>
        <c:delete val="0"/>
        <c:axPos val="l"/>
        <c:majorGridlines>
          <c:spPr>
            <a:ln w="9525" cap="flat" cmpd="sng" algn="ctr">
              <a:noFill/>
              <a:round/>
            </a:ln>
            <a:effectLst/>
          </c:spPr>
        </c:majorGridlines>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198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51056117985253"/>
          <c:y val="3.8221124205111943E-2"/>
          <c:w val="0.79156880389951256"/>
          <c:h val="0.76863913403442019"/>
        </c:manualLayout>
      </c:layout>
      <c:barChart>
        <c:barDir val="col"/>
        <c:grouping val="clustered"/>
        <c:varyColors val="0"/>
        <c:ser>
          <c:idx val="0"/>
          <c:order val="0"/>
          <c:tx>
            <c:strRef>
              <c:f>Лист3!$C$6:$D$6</c:f>
              <c:strCache>
                <c:ptCount val="2"/>
                <c:pt idx="0">
                  <c:v>Необоротні активи</c:v>
                </c:pt>
                <c:pt idx="1">
                  <c:v>тис. грн</c:v>
                </c:pt>
              </c:strCache>
            </c:strRef>
          </c:tx>
          <c:spPr>
            <a:solidFill>
              <a:schemeClr val="accent1"/>
            </a:solidFill>
            <a:ln>
              <a:solidFill>
                <a:schemeClr val="tx1"/>
              </a:solidFill>
            </a:ln>
            <a:effectLst/>
          </c:spPr>
          <c:invertIfNegative val="0"/>
          <c:dLbls>
            <c:dLbl>
              <c:idx val="0"/>
              <c:layout>
                <c:manualLayout>
                  <c:x val="7.864028411973617E-2"/>
                  <c:y val="-2.480158730158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0-4C59-8CE2-B3EE3B66C297}"/>
                </c:ext>
              </c:extLst>
            </c:dLbl>
            <c:dLbl>
              <c:idx val="1"/>
              <c:layout>
                <c:manualLayout>
                  <c:x val="7.3566717402333837E-2"/>
                  <c:y val="-3.4722222222222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0-4C59-8CE2-B3EE3B66C297}"/>
                </c:ext>
              </c:extLst>
            </c:dLbl>
            <c:dLbl>
              <c:idx val="2"/>
              <c:layout>
                <c:manualLayout>
                  <c:x val="-7.7864467854760255E-2"/>
                  <c:y val="-4.75331208598926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D0-4C59-8CE2-B3EE3B66C2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Лист3!$E$3:$G$4</c:f>
              <c:strCache>
                <c:ptCount val="3"/>
                <c:pt idx="0">
                  <c:v>2020</c:v>
                </c:pt>
                <c:pt idx="1">
                  <c:v>2021</c:v>
                </c:pt>
                <c:pt idx="2">
                  <c:v>2022</c:v>
                </c:pt>
              </c:strCache>
            </c:strRef>
          </c:cat>
          <c:val>
            <c:numRef>
              <c:f>Лист3!$E$6:$G$6</c:f>
              <c:numCache>
                <c:formatCode>#,##0</c:formatCode>
                <c:ptCount val="3"/>
                <c:pt idx="0">
                  <c:v>58303758</c:v>
                </c:pt>
                <c:pt idx="1">
                  <c:v>60187446</c:v>
                </c:pt>
                <c:pt idx="2">
                  <c:v>22979342</c:v>
                </c:pt>
              </c:numCache>
            </c:numRef>
          </c:val>
          <c:extLst>
            <c:ext xmlns:c16="http://schemas.microsoft.com/office/drawing/2014/chart" uri="{C3380CC4-5D6E-409C-BE32-E72D297353CC}">
              <c16:uniqueId val="{00000003-91D0-4C59-8CE2-B3EE3B66C297}"/>
            </c:ext>
          </c:extLst>
        </c:ser>
        <c:ser>
          <c:idx val="1"/>
          <c:order val="1"/>
          <c:tx>
            <c:strRef>
              <c:f>Лист3!$C$8:$D$8</c:f>
              <c:strCache>
                <c:ptCount val="2"/>
                <c:pt idx="0">
                  <c:v>Оборотні активи</c:v>
                </c:pt>
                <c:pt idx="1">
                  <c:v>тис. грн</c:v>
                </c:pt>
              </c:strCache>
            </c:strRef>
          </c:tx>
          <c:spPr>
            <a:solidFill>
              <a:srgbClr val="FFFF00"/>
            </a:solidFill>
            <a:ln>
              <a:solidFill>
                <a:schemeClr val="tx1"/>
              </a:solidFill>
            </a:ln>
            <a:effectLst/>
          </c:spPr>
          <c:invertIfNegative val="0"/>
          <c:dLbls>
            <c:dLbl>
              <c:idx val="0"/>
              <c:layout>
                <c:manualLayout>
                  <c:x val="7.3751483119404548E-2"/>
                  <c:y val="-3.07383452068491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0-4C59-8CE2-B3EE3B66C297}"/>
                </c:ext>
              </c:extLst>
            </c:dLbl>
            <c:dLbl>
              <c:idx val="1"/>
              <c:layout>
                <c:manualLayout>
                  <c:x val="7.8344658972422973E-2"/>
                  <c:y val="-4.44866266716660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D0-4C59-8CE2-B3EE3B66C297}"/>
                </c:ext>
              </c:extLst>
            </c:dLbl>
            <c:dLbl>
              <c:idx val="2"/>
              <c:layout>
                <c:manualLayout>
                  <c:x val="-7.7679702137689405E-2"/>
                  <c:y val="-9.02621547306587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0-4C59-8CE2-B3EE3B66C2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Лист3!$E$3:$G$4</c:f>
              <c:strCache>
                <c:ptCount val="3"/>
                <c:pt idx="0">
                  <c:v>2020</c:v>
                </c:pt>
                <c:pt idx="1">
                  <c:v>2021</c:v>
                </c:pt>
                <c:pt idx="2">
                  <c:v>2022</c:v>
                </c:pt>
              </c:strCache>
            </c:strRef>
          </c:cat>
          <c:val>
            <c:numRef>
              <c:f>Лист3!$E$8:$G$8</c:f>
              <c:numCache>
                <c:formatCode>#,##0</c:formatCode>
                <c:ptCount val="3"/>
                <c:pt idx="0">
                  <c:v>30045798</c:v>
                </c:pt>
                <c:pt idx="1">
                  <c:v>45613529</c:v>
                </c:pt>
                <c:pt idx="2">
                  <c:v>29703419</c:v>
                </c:pt>
              </c:numCache>
            </c:numRef>
          </c:val>
          <c:extLst>
            <c:ext xmlns:c16="http://schemas.microsoft.com/office/drawing/2014/chart" uri="{C3380CC4-5D6E-409C-BE32-E72D297353CC}">
              <c16:uniqueId val="{00000007-91D0-4C59-8CE2-B3EE3B66C297}"/>
            </c:ext>
          </c:extLst>
        </c:ser>
        <c:dLbls>
          <c:dLblPos val="outEnd"/>
          <c:showLegendKey val="0"/>
          <c:showVal val="1"/>
          <c:showCatName val="0"/>
          <c:showSerName val="0"/>
          <c:showPercent val="0"/>
          <c:showBubbleSize val="0"/>
        </c:dLbls>
        <c:gapWidth val="219"/>
        <c:overlap val="-27"/>
        <c:axId val="414200656"/>
        <c:axId val="414201048"/>
      </c:barChart>
      <c:catAx>
        <c:axId val="414200656"/>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201048"/>
        <c:crosses val="autoZero"/>
        <c:auto val="1"/>
        <c:lblAlgn val="ctr"/>
        <c:lblOffset val="100"/>
        <c:tickMarkSkip val="1"/>
        <c:noMultiLvlLbl val="0"/>
      </c:catAx>
      <c:valAx>
        <c:axId val="414201048"/>
        <c:scaling>
          <c:orientation val="minMax"/>
        </c:scaling>
        <c:delete val="0"/>
        <c:axPos val="l"/>
        <c:majorGridlines>
          <c:spPr>
            <a:ln w="9525" cap="flat" cmpd="sng" algn="ctr">
              <a:noFill/>
              <a:round/>
            </a:ln>
            <a:effectLst/>
          </c:spPr>
        </c:majorGridlines>
        <c:numFmt formatCode="#,##0"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200656"/>
        <c:crosses val="autoZero"/>
        <c:crossBetween val="between"/>
      </c:valAx>
      <c:spPr>
        <a:noFill/>
        <a:ln>
          <a:noFill/>
        </a:ln>
        <a:effectLst/>
      </c:spPr>
    </c:plotArea>
    <c:legend>
      <c:legendPos val="b"/>
      <c:layout>
        <c:manualLayout>
          <c:xMode val="edge"/>
          <c:yMode val="edge"/>
          <c:x val="8.4676885049562986E-2"/>
          <c:y val="0.90326850922158219"/>
          <c:w val="0.83795050618672662"/>
          <c:h val="9.54594123388006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17311916709246E-2"/>
          <c:y val="2.834467120181406E-2"/>
          <c:w val="0.85121101750800288"/>
          <c:h val="0.7580668487867589"/>
        </c:manualLayout>
      </c:layout>
      <c:barChart>
        <c:barDir val="bar"/>
        <c:grouping val="percentStacked"/>
        <c:varyColors val="0"/>
        <c:ser>
          <c:idx val="0"/>
          <c:order val="0"/>
          <c:tx>
            <c:strRef>
              <c:f>Лист3!$C$16:$D$16</c:f>
              <c:strCache>
                <c:ptCount val="2"/>
                <c:pt idx="0">
                  <c:v>Власний капітал</c:v>
                </c:pt>
                <c:pt idx="1">
                  <c:v>тис. грн</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Лист3!$E$3:$G$4</c:f>
              <c:strCache>
                <c:ptCount val="3"/>
                <c:pt idx="0">
                  <c:v>2020</c:v>
                </c:pt>
                <c:pt idx="1">
                  <c:v>2021</c:v>
                </c:pt>
                <c:pt idx="2">
                  <c:v>2022</c:v>
                </c:pt>
              </c:strCache>
            </c:strRef>
          </c:cat>
          <c:val>
            <c:numRef>
              <c:f>Лист3!$N$19:$P$19</c:f>
              <c:numCache>
                <c:formatCode>0.00%</c:formatCode>
                <c:ptCount val="3"/>
                <c:pt idx="0">
                  <c:v>0.6890729139600883</c:v>
                </c:pt>
                <c:pt idx="1">
                  <c:v>0.72354720738632139</c:v>
                </c:pt>
                <c:pt idx="2">
                  <c:v>0.5355250648309795</c:v>
                </c:pt>
              </c:numCache>
            </c:numRef>
          </c:val>
          <c:extLst>
            <c:ext xmlns:c16="http://schemas.microsoft.com/office/drawing/2014/chart" uri="{C3380CC4-5D6E-409C-BE32-E72D297353CC}">
              <c16:uniqueId val="{00000000-7E1F-4099-8810-71120A03CDC7}"/>
            </c:ext>
          </c:extLst>
        </c:ser>
        <c:ser>
          <c:idx val="1"/>
          <c:order val="1"/>
          <c:tx>
            <c:v>Залучений капітал</c:v>
          </c:tx>
          <c:spPr>
            <a:solidFill>
              <a:srgbClr val="FFFF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Лист3!$E$3:$G$4</c:f>
              <c:strCache>
                <c:ptCount val="3"/>
                <c:pt idx="0">
                  <c:v>2020</c:v>
                </c:pt>
                <c:pt idx="1">
                  <c:v>2021</c:v>
                </c:pt>
                <c:pt idx="2">
                  <c:v>2022</c:v>
                </c:pt>
              </c:strCache>
            </c:strRef>
          </c:cat>
          <c:val>
            <c:numRef>
              <c:f>Лист3!$N$18:$P$18</c:f>
              <c:numCache>
                <c:formatCode>0.00%</c:formatCode>
                <c:ptCount val="3"/>
                <c:pt idx="0">
                  <c:v>0.31092708603991176</c:v>
                </c:pt>
                <c:pt idx="1">
                  <c:v>0.27645279261367867</c:v>
                </c:pt>
                <c:pt idx="2">
                  <c:v>0.46447493516902044</c:v>
                </c:pt>
              </c:numCache>
            </c:numRef>
          </c:val>
          <c:extLst>
            <c:ext xmlns:c16="http://schemas.microsoft.com/office/drawing/2014/chart" uri="{C3380CC4-5D6E-409C-BE32-E72D297353CC}">
              <c16:uniqueId val="{00000001-7E1F-4099-8810-71120A03CDC7}"/>
            </c:ext>
          </c:extLst>
        </c:ser>
        <c:dLbls>
          <c:dLblPos val="ctr"/>
          <c:showLegendKey val="0"/>
          <c:showVal val="1"/>
          <c:showCatName val="0"/>
          <c:showSerName val="0"/>
          <c:showPercent val="0"/>
          <c:showBubbleSize val="0"/>
        </c:dLbls>
        <c:gapWidth val="100"/>
        <c:overlap val="100"/>
        <c:axId val="414201440"/>
        <c:axId val="423874808"/>
      </c:barChart>
      <c:catAx>
        <c:axId val="414201440"/>
        <c:scaling>
          <c:orientation val="minMax"/>
        </c:scaling>
        <c:delete val="0"/>
        <c:axPos val="l"/>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23874808"/>
        <c:crosses val="autoZero"/>
        <c:auto val="1"/>
        <c:lblAlgn val="ctr"/>
        <c:lblOffset val="100"/>
        <c:noMultiLvlLbl val="0"/>
      </c:catAx>
      <c:valAx>
        <c:axId val="423874808"/>
        <c:scaling>
          <c:orientation val="minMax"/>
        </c:scaling>
        <c:delete val="0"/>
        <c:axPos val="b"/>
        <c:majorGridlines>
          <c:spPr>
            <a:ln w="9525" cap="flat" cmpd="sng" algn="ctr">
              <a:noFill/>
              <a:round/>
            </a:ln>
            <a:effectLst/>
          </c:spPr>
        </c:majorGridlines>
        <c:numFmt formatCode="0%"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14201440"/>
        <c:crosses val="autoZero"/>
        <c:crossBetween val="between"/>
      </c:valAx>
      <c:spPr>
        <a:noFill/>
        <a:ln>
          <a:noFill/>
        </a:ln>
        <a:effectLst/>
      </c:spPr>
    </c:plotArea>
    <c:legend>
      <c:legendPos val="b"/>
      <c:layout>
        <c:manualLayout>
          <c:xMode val="edge"/>
          <c:yMode val="edge"/>
          <c:x val="0.19294985173442339"/>
          <c:y val="0.91006034959915727"/>
          <c:w val="0.61410007817242473"/>
          <c:h val="8.99396504008427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591668566346145E-2"/>
          <c:y val="4.8052892844916123E-2"/>
          <c:w val="0.85312907870951926"/>
          <c:h val="0.69430916923428054"/>
        </c:manualLayout>
      </c:layout>
      <c:barChart>
        <c:barDir val="col"/>
        <c:grouping val="clustered"/>
        <c:varyColors val="0"/>
        <c:ser>
          <c:idx val="1"/>
          <c:order val="0"/>
          <c:tx>
            <c:strRef>
              <c:f>Sheet1!$A$2</c:f>
              <c:strCache>
                <c:ptCount val="1"/>
                <c:pt idx="0">
                  <c:v>Залищок на кінець звітнього періоду 2023 р., млрд.грн.</c:v>
                </c:pt>
              </c:strCache>
            </c:strRef>
          </c:tx>
          <c:spPr>
            <a:ln w="25400">
              <a:solidFill>
                <a:sysClr val="windowText" lastClr="000000"/>
              </a:solidFill>
              <a:prstDash val="solid"/>
            </a:ln>
          </c:spPr>
          <c:invertIfNegative val="0"/>
          <c:dLbls>
            <c:dLbl>
              <c:idx val="0"/>
              <c:layout>
                <c:manualLayout>
                  <c:x val="-4.7460856765503736E-3"/>
                  <c:y val="0.198263652957085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37-4B23-BCDE-1CC0E5D739BD}"/>
                </c:ext>
              </c:extLst>
            </c:dLbl>
            <c:dLbl>
              <c:idx val="1"/>
              <c:layout>
                <c:manualLayout>
                  <c:x val="-3.8244259160307016E-3"/>
                  <c:y val="0.140145822508226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37-4B23-BCDE-1CC0E5D739BD}"/>
                </c:ext>
              </c:extLst>
            </c:dLbl>
            <c:dLbl>
              <c:idx val="2"/>
              <c:layout>
                <c:manualLayout>
                  <c:x val="-2.1684629370112346E-3"/>
                  <c:y val="0.106005768948932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37-4B23-BCDE-1CC0E5D739BD}"/>
                </c:ext>
              </c:extLst>
            </c:dLbl>
            <c:dLbl>
              <c:idx val="3"/>
              <c:layout>
                <c:manualLayout>
                  <c:x val="-1.9293523008727623E-3"/>
                  <c:y val="0.125960936355036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737-4B23-BCDE-1CC0E5D739BD}"/>
                </c:ext>
              </c:extLst>
            </c:dLbl>
            <c:spPr>
              <a:noFill/>
              <a:ln w="19044">
                <a:noFill/>
              </a:ln>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E7E6E6">
                          <a:lumMod val="90000"/>
                        </a:srgbClr>
                      </a:solidFill>
                    </a:ln>
                  </c:spPr>
                </c15:leaderLines>
              </c:ext>
            </c:extLst>
          </c:dLbls>
          <c:cat>
            <c:strRef>
              <c:f>Sheet1!$B$1:$M$1</c:f>
              <c:strCache>
                <c:ptCount val="4"/>
                <c:pt idx="0">
                  <c:v>1 квартал</c:v>
                </c:pt>
                <c:pt idx="1">
                  <c:v>2 квартал</c:v>
                </c:pt>
                <c:pt idx="2">
                  <c:v>3 квартал</c:v>
                </c:pt>
                <c:pt idx="3">
                  <c:v>4 квартал</c:v>
                </c:pt>
              </c:strCache>
              <c:extLst/>
            </c:strRef>
          </c:cat>
          <c:val>
            <c:numRef>
              <c:f>Sheet1!$B$2:$L$2</c:f>
              <c:numCache>
                <c:formatCode>0.00</c:formatCode>
                <c:ptCount val="4"/>
                <c:pt idx="0">
                  <c:v>2.7421889999999998</c:v>
                </c:pt>
                <c:pt idx="1">
                  <c:v>2.3504490000000002</c:v>
                </c:pt>
                <c:pt idx="2">
                  <c:v>1.958709</c:v>
                </c:pt>
                <c:pt idx="3">
                  <c:v>1.5669690000000001</c:v>
                </c:pt>
              </c:numCache>
              <c:extLst/>
            </c:numRef>
          </c:val>
          <c:extLst>
            <c:ext xmlns:c16="http://schemas.microsoft.com/office/drawing/2014/chart" uri="{C3380CC4-5D6E-409C-BE32-E72D297353CC}">
              <c16:uniqueId val="{00000004-8737-4B23-BCDE-1CC0E5D739BD}"/>
            </c:ext>
          </c:extLst>
        </c:ser>
        <c:ser>
          <c:idx val="2"/>
          <c:order val="1"/>
          <c:tx>
            <c:strRef>
              <c:f>Sheet1!$A$3</c:f>
              <c:strCache>
                <c:ptCount val="1"/>
                <c:pt idx="0">
                  <c:v>Залищок на кінець звітнього періоду 2024 р., млрд.грн.</c:v>
                </c:pt>
              </c:strCache>
            </c:strRef>
          </c:tx>
          <c:spPr>
            <a:ln w="25400">
              <a:solidFill>
                <a:sysClr val="windowText" lastClr="000000"/>
              </a:solidFill>
            </a:ln>
          </c:spPr>
          <c:invertIfNegative val="0"/>
          <c:dLbls>
            <c:dLbl>
              <c:idx val="0"/>
              <c:layout>
                <c:manualLayout>
                  <c:x val="-6.9632781177640885E-4"/>
                  <c:y val="0.1227650319090823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37-4B23-BCDE-1CC0E5D739BD}"/>
                </c:ext>
              </c:extLst>
            </c:dLbl>
            <c:dLbl>
              <c:idx val="1"/>
              <c:layout>
                <c:manualLayout>
                  <c:x val="-2.9916554924872547E-3"/>
                  <c:y val="9.0784670317225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37-4B23-BCDE-1CC0E5D739BD}"/>
                </c:ext>
              </c:extLst>
            </c:dLbl>
            <c:dLbl>
              <c:idx val="2"/>
              <c:layout>
                <c:manualLayout>
                  <c:x val="5.2015721146252289E-2"/>
                  <c:y val="-5.5072145169671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37-4B23-BCDE-1CC0E5D739BD}"/>
                </c:ext>
              </c:extLst>
            </c:dLbl>
            <c:dLbl>
              <c:idx val="3"/>
              <c:layout>
                <c:manualLayout>
                  <c:x val="4.8362856691569124E-2"/>
                  <c:y val="-0.112090477903460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737-4B23-BCDE-1CC0E5D739BD}"/>
                </c:ext>
              </c:extLst>
            </c:dLbl>
            <c:numFmt formatCode="0.0" sourceLinked="0"/>
            <c:spPr>
              <a:noFill/>
              <a:ln w="19044">
                <a:noFill/>
              </a:ln>
            </c:sp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rgbClr val="E7E6E6">
                          <a:lumMod val="90000"/>
                        </a:srgbClr>
                      </a:solidFill>
                    </a:ln>
                  </c:spPr>
                </c15:leaderLines>
              </c:ext>
            </c:extLst>
          </c:dLbls>
          <c:cat>
            <c:strRef>
              <c:f>Sheet1!$B$1:$M$1</c:f>
              <c:strCache>
                <c:ptCount val="4"/>
                <c:pt idx="0">
                  <c:v>1 квартал</c:v>
                </c:pt>
                <c:pt idx="1">
                  <c:v>2 квартал</c:v>
                </c:pt>
                <c:pt idx="2">
                  <c:v>3 квартал</c:v>
                </c:pt>
                <c:pt idx="3">
                  <c:v>4 квартал</c:v>
                </c:pt>
              </c:strCache>
              <c:extLst/>
            </c:strRef>
          </c:cat>
          <c:val>
            <c:numRef>
              <c:f>Sheet1!$B$3:$L$3</c:f>
              <c:numCache>
                <c:formatCode>0.00</c:formatCode>
                <c:ptCount val="4"/>
                <c:pt idx="0">
                  <c:v>1.1752290000000001</c:v>
                </c:pt>
                <c:pt idx="1">
                  <c:v>0.78348899999999999</c:v>
                </c:pt>
                <c:pt idx="2">
                  <c:v>0.39174900000000001</c:v>
                </c:pt>
                <c:pt idx="3">
                  <c:v>0</c:v>
                </c:pt>
              </c:numCache>
              <c:extLst/>
            </c:numRef>
          </c:val>
          <c:extLst>
            <c:ext xmlns:c16="http://schemas.microsoft.com/office/drawing/2014/chart" uri="{C3380CC4-5D6E-409C-BE32-E72D297353CC}">
              <c16:uniqueId val="{00000009-8737-4B23-BCDE-1CC0E5D739BD}"/>
            </c:ext>
          </c:extLst>
        </c:ser>
        <c:dLbls>
          <c:showLegendKey val="0"/>
          <c:showVal val="0"/>
          <c:showCatName val="0"/>
          <c:showSerName val="0"/>
          <c:showPercent val="0"/>
          <c:showBubbleSize val="0"/>
        </c:dLbls>
        <c:gapWidth val="150"/>
        <c:axId val="333910424"/>
        <c:axId val="333909640"/>
      </c:barChart>
      <c:catAx>
        <c:axId val="333910424"/>
        <c:scaling>
          <c:orientation val="minMax"/>
        </c:scaling>
        <c:delete val="0"/>
        <c:axPos val="b"/>
        <c:numFmt formatCode="General" sourceLinked="1"/>
        <c:majorTickMark val="out"/>
        <c:minorTickMark val="none"/>
        <c:tickLblPos val="nextTo"/>
        <c:spPr>
          <a:ln w="9525">
            <a:solidFill>
              <a:sysClr val="windowText" lastClr="000000"/>
            </a:solidFill>
            <a:prstDash val="solid"/>
          </a:ln>
        </c:spPr>
        <c:txPr>
          <a:bodyPr rot="-2700000" vert="horz"/>
          <a:lstStyle/>
          <a:p>
            <a:pPr>
              <a:defRPr/>
            </a:pPr>
            <a:endParaRPr lang="uk-UA"/>
          </a:p>
        </c:txPr>
        <c:crossAx val="333909640"/>
        <c:crosses val="autoZero"/>
        <c:auto val="1"/>
        <c:lblAlgn val="ctr"/>
        <c:lblOffset val="0"/>
        <c:noMultiLvlLbl val="0"/>
      </c:catAx>
      <c:valAx>
        <c:axId val="333909640"/>
        <c:scaling>
          <c:orientation val="minMax"/>
          <c:max val="5"/>
          <c:min val="0"/>
        </c:scaling>
        <c:delete val="0"/>
        <c:axPos val="l"/>
        <c:numFmt formatCode="0" sourceLinked="0"/>
        <c:majorTickMark val="out"/>
        <c:minorTickMark val="none"/>
        <c:tickLblPos val="nextTo"/>
        <c:spPr>
          <a:ln w="9525">
            <a:solidFill>
              <a:sysClr val="windowText" lastClr="000000"/>
            </a:solidFill>
            <a:prstDash val="solid"/>
          </a:ln>
        </c:spPr>
        <c:txPr>
          <a:bodyPr rot="0" vert="horz"/>
          <a:lstStyle/>
          <a:p>
            <a:pPr>
              <a:defRPr/>
            </a:pPr>
            <a:endParaRPr lang="uk-UA"/>
          </a:p>
        </c:txPr>
        <c:crossAx val="333910424"/>
        <c:crosses val="autoZero"/>
        <c:crossBetween val="between"/>
        <c:majorUnit val="1"/>
      </c:valAx>
      <c:spPr>
        <a:noFill/>
        <a:ln w="19044">
          <a:noFill/>
        </a:ln>
      </c:spPr>
    </c:plotArea>
    <c:legend>
      <c:legendPos val="b"/>
      <c:layout>
        <c:manualLayout>
          <c:xMode val="edge"/>
          <c:yMode val="edge"/>
          <c:x val="0"/>
          <c:y val="0.9144328426338012"/>
          <c:w val="0.98719147014353881"/>
          <c:h val="6.7112327964080634E-2"/>
        </c:manualLayout>
      </c:layout>
      <c:overlay val="0"/>
      <c:spPr>
        <a:noFill/>
        <a:ln w="2381">
          <a:noFill/>
        </a:ln>
      </c:spPr>
    </c:legend>
    <c:plotVisOnly val="1"/>
    <c:dispBlanksAs val="gap"/>
    <c:showDLblsOverMax val="0"/>
  </c:chart>
  <c:spPr>
    <a:solidFill>
      <a:srgbClr val="FFFFFF"/>
    </a:solidFill>
    <a:ln>
      <a:noFill/>
    </a:ln>
  </c:spPr>
  <c:txPr>
    <a:bodyPr/>
    <a:lstStyle/>
    <a:p>
      <a:pPr algn="just">
        <a:defRPr sz="9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05E1-C4C3-4EBD-AFBB-735FDD2F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101998</Words>
  <Characters>58140</Characters>
  <Application>Microsoft Office Word</Application>
  <DocSecurity>0</DocSecurity>
  <Lines>484</Lines>
  <Paragraphs>319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Kocherga Serega</dc:creator>
  <cp:keywords/>
  <dc:description/>
  <cp:lastModifiedBy>admin</cp:lastModifiedBy>
  <cp:revision>2</cp:revision>
  <dcterms:created xsi:type="dcterms:W3CDTF">2023-12-13T13:35:00Z</dcterms:created>
  <dcterms:modified xsi:type="dcterms:W3CDTF">2023-12-13T13:35:00Z</dcterms:modified>
</cp:coreProperties>
</file>