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4455" w14:textId="77777777" w:rsidR="007D647D" w:rsidRPr="00A41B49" w:rsidRDefault="007D647D" w:rsidP="007D647D">
      <w:pPr>
        <w:spacing w:after="0" w:line="240" w:lineRule="auto"/>
        <w:ind w:firstLine="709"/>
        <w:jc w:val="center"/>
        <w:rPr>
          <w:rFonts w:ascii="Times New Roman" w:eastAsia="Calibri" w:hAnsi="Times New Roman" w:cs="Times New Roman"/>
          <w:sz w:val="28"/>
          <w:szCs w:val="28"/>
          <w:lang w:val="uk-UA"/>
        </w:rPr>
      </w:pPr>
      <w:bookmarkStart w:id="0" w:name="_GoBack"/>
      <w:bookmarkEnd w:id="0"/>
      <w:r w:rsidRPr="00A41B49">
        <w:rPr>
          <w:rFonts w:ascii="Times New Roman" w:eastAsia="Calibri" w:hAnsi="Times New Roman" w:cs="Times New Roman"/>
          <w:sz w:val="28"/>
          <w:szCs w:val="28"/>
          <w:lang w:val="uk-UA"/>
        </w:rPr>
        <w:t>МІНІСТЕРСТВО ОСВІТИ І НАУКИ УКРАЇНИ</w:t>
      </w:r>
    </w:p>
    <w:p w14:paraId="77126E3B" w14:textId="03BE91DF" w:rsidR="007D647D" w:rsidRPr="00A41B49" w:rsidRDefault="00A41B49" w:rsidP="007D647D">
      <w:pPr>
        <w:spacing w:after="0" w:line="240" w:lineRule="auto"/>
        <w:jc w:val="center"/>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ДОНЕЦЬКИЙ НАЦІОНАЛЬНИЙ УНІВЕРСИТЕТ ЕКОНОМІКИ І ТОРГІВЛІ</w:t>
      </w:r>
    </w:p>
    <w:p w14:paraId="191BC94B" w14:textId="212CECAD" w:rsidR="007D647D" w:rsidRPr="00A41B49" w:rsidRDefault="00A41B49" w:rsidP="007D647D">
      <w:pPr>
        <w:spacing w:after="0" w:line="240" w:lineRule="auto"/>
        <w:jc w:val="center"/>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ІМЕНІ МИХАЙЛА ТУГАН-БАРАНОВСЬКОГО</w:t>
      </w:r>
    </w:p>
    <w:p w14:paraId="5A05FF76" w14:textId="77777777" w:rsidR="007D647D" w:rsidRPr="00A41B49" w:rsidRDefault="007D647D" w:rsidP="007D647D">
      <w:pPr>
        <w:spacing w:after="0" w:line="240" w:lineRule="auto"/>
        <w:jc w:val="center"/>
        <w:rPr>
          <w:rFonts w:ascii="Times New Roman" w:eastAsia="Calibri" w:hAnsi="Times New Roman" w:cs="Times New Roman"/>
          <w:b/>
          <w:sz w:val="16"/>
          <w:szCs w:val="16"/>
          <w:lang w:val="uk-UA"/>
        </w:rPr>
      </w:pPr>
    </w:p>
    <w:p w14:paraId="33263B11" w14:textId="77777777" w:rsidR="007D647D" w:rsidRPr="00A41B49" w:rsidRDefault="007D647D" w:rsidP="007D647D">
      <w:pPr>
        <w:tabs>
          <w:tab w:val="left" w:pos="3402"/>
          <w:tab w:val="left" w:pos="4111"/>
        </w:tabs>
        <w:spacing w:after="0" w:line="240" w:lineRule="auto"/>
        <w:jc w:val="center"/>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Навчально-науковий інститут економіки, управління та адміністрування</w:t>
      </w:r>
    </w:p>
    <w:p w14:paraId="5CB4D5EA" w14:textId="77777777" w:rsidR="007D647D" w:rsidRPr="00A41B49" w:rsidRDefault="007D647D" w:rsidP="007D647D">
      <w:pPr>
        <w:tabs>
          <w:tab w:val="left" w:pos="3402"/>
          <w:tab w:val="left" w:pos="4111"/>
        </w:tabs>
        <w:spacing w:after="0" w:line="240" w:lineRule="auto"/>
        <w:jc w:val="center"/>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Кафедра маркетингу, менеджменту та публічного адміністрування</w:t>
      </w:r>
    </w:p>
    <w:p w14:paraId="207F4A93" w14:textId="77777777" w:rsidR="007D647D" w:rsidRPr="00A41B49" w:rsidRDefault="007D647D" w:rsidP="007D647D">
      <w:pPr>
        <w:spacing w:after="0" w:line="240" w:lineRule="auto"/>
        <w:jc w:val="right"/>
        <w:rPr>
          <w:rFonts w:ascii="Times New Roman" w:eastAsia="Calibri" w:hAnsi="Times New Roman" w:cs="Times New Roman"/>
          <w:sz w:val="28"/>
          <w:szCs w:val="28"/>
          <w:lang w:val="uk-UA"/>
        </w:rPr>
      </w:pPr>
    </w:p>
    <w:p w14:paraId="4E5CB7B4" w14:textId="77777777" w:rsidR="007D647D" w:rsidRPr="00A41B49" w:rsidRDefault="007D647D" w:rsidP="007D647D">
      <w:pPr>
        <w:spacing w:after="0" w:line="240" w:lineRule="auto"/>
        <w:jc w:val="right"/>
        <w:rPr>
          <w:rFonts w:ascii="Times New Roman" w:eastAsia="Calibri" w:hAnsi="Times New Roman" w:cs="Times New Roman"/>
          <w:sz w:val="28"/>
          <w:szCs w:val="28"/>
          <w:lang w:val="uk-UA"/>
        </w:rPr>
      </w:pPr>
    </w:p>
    <w:tbl>
      <w:tblPr>
        <w:tblW w:w="9531" w:type="dxa"/>
        <w:tblInd w:w="108" w:type="dxa"/>
        <w:tblLook w:val="04A0" w:firstRow="1" w:lastRow="0" w:firstColumn="1" w:lastColumn="0" w:noHBand="0" w:noVBand="1"/>
      </w:tblPr>
      <w:tblGrid>
        <w:gridCol w:w="4712"/>
        <w:gridCol w:w="4819"/>
      </w:tblGrid>
      <w:tr w:rsidR="007D647D" w:rsidRPr="00A41B49" w14:paraId="7E3EE183" w14:textId="77777777" w:rsidTr="007D647D">
        <w:tc>
          <w:tcPr>
            <w:tcW w:w="4712" w:type="dxa"/>
            <w:shd w:val="clear" w:color="auto" w:fill="auto"/>
          </w:tcPr>
          <w:p w14:paraId="5600471C" w14:textId="77777777" w:rsidR="007D647D" w:rsidRPr="00A41B49" w:rsidRDefault="007D647D" w:rsidP="007D647D">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rPr>
            </w:pPr>
          </w:p>
        </w:tc>
        <w:tc>
          <w:tcPr>
            <w:tcW w:w="4819" w:type="dxa"/>
            <w:shd w:val="clear" w:color="auto" w:fill="auto"/>
            <w:hideMark/>
          </w:tcPr>
          <w:p w14:paraId="63B4EB64" w14:textId="77777777" w:rsidR="007D647D" w:rsidRPr="00A41B49" w:rsidRDefault="007D647D" w:rsidP="007D647D">
            <w:pPr>
              <w:widowControl w:val="0"/>
              <w:autoSpaceDE w:val="0"/>
              <w:autoSpaceDN w:val="0"/>
              <w:adjustRightInd w:val="0"/>
              <w:spacing w:after="0" w:line="240" w:lineRule="auto"/>
              <w:rPr>
                <w:rFonts w:ascii="Times New Roman" w:eastAsia="Times New Roman" w:hAnsi="Times New Roman" w:cs="Times New Roman"/>
                <w:sz w:val="28"/>
                <w:szCs w:val="28"/>
                <w:lang w:val="uk-UA"/>
              </w:rPr>
            </w:pPr>
            <w:r w:rsidRPr="00A41B49">
              <w:rPr>
                <w:rFonts w:ascii="Times New Roman" w:eastAsia="Times New Roman" w:hAnsi="Times New Roman" w:cs="Times New Roman"/>
                <w:sz w:val="28"/>
                <w:szCs w:val="28"/>
                <w:lang w:val="uk-UA"/>
              </w:rPr>
              <w:t>ДОПУСКАЮ ДО ЗАХИСТУ</w:t>
            </w:r>
          </w:p>
          <w:p w14:paraId="2EB73C96" w14:textId="77777777" w:rsidR="007D647D" w:rsidRPr="00A41B49" w:rsidRDefault="007D647D" w:rsidP="007D647D">
            <w:pPr>
              <w:widowControl w:val="0"/>
              <w:autoSpaceDE w:val="0"/>
              <w:autoSpaceDN w:val="0"/>
              <w:adjustRightInd w:val="0"/>
              <w:spacing w:after="0" w:line="240" w:lineRule="auto"/>
              <w:rPr>
                <w:rFonts w:ascii="Times New Roman" w:eastAsia="Times New Roman" w:hAnsi="Times New Roman" w:cs="Times New Roman"/>
                <w:sz w:val="40"/>
                <w:szCs w:val="40"/>
                <w:vertAlign w:val="superscript"/>
                <w:lang w:val="uk-UA"/>
              </w:rPr>
            </w:pPr>
            <w:r w:rsidRPr="00A41B49">
              <w:rPr>
                <w:rFonts w:ascii="Times New Roman" w:eastAsia="Times New Roman" w:hAnsi="Times New Roman" w:cs="Times New Roman"/>
                <w:sz w:val="40"/>
                <w:szCs w:val="40"/>
                <w:vertAlign w:val="superscript"/>
                <w:lang w:val="uk-UA"/>
              </w:rPr>
              <w:t>Гарант освітньої програми</w:t>
            </w:r>
          </w:p>
          <w:p w14:paraId="469C177D" w14:textId="77777777" w:rsidR="007D647D" w:rsidRPr="00A41B49" w:rsidRDefault="007D647D" w:rsidP="007D647D">
            <w:pPr>
              <w:jc w:val="both"/>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 xml:space="preserve">___________  </w:t>
            </w:r>
            <w:r w:rsidR="00FF69BE" w:rsidRPr="00A41B49">
              <w:rPr>
                <w:rFonts w:ascii="Times New Roman" w:eastAsia="Calibri" w:hAnsi="Times New Roman" w:cs="Times New Roman"/>
                <w:sz w:val="28"/>
                <w:szCs w:val="28"/>
                <w:lang w:val="uk-UA"/>
              </w:rPr>
              <w:t>Бочарова Ю.Г.</w:t>
            </w:r>
          </w:p>
          <w:p w14:paraId="6D3DFDCF" w14:textId="77777777" w:rsidR="007D647D" w:rsidRPr="00A41B49" w:rsidRDefault="007D647D" w:rsidP="009C19F5">
            <w:pPr>
              <w:widowControl w:val="0"/>
              <w:autoSpaceDE w:val="0"/>
              <w:autoSpaceDN w:val="0"/>
              <w:adjustRightInd w:val="0"/>
              <w:spacing w:after="0" w:line="240" w:lineRule="auto"/>
              <w:rPr>
                <w:rFonts w:ascii="Times New Roman" w:eastAsia="Times New Roman" w:hAnsi="Times New Roman" w:cs="Times New Roman"/>
                <w:sz w:val="28"/>
                <w:szCs w:val="28"/>
                <w:lang w:val="uk-UA"/>
              </w:rPr>
            </w:pPr>
            <w:r w:rsidRPr="00A41B49">
              <w:rPr>
                <w:rFonts w:ascii="Times New Roman" w:eastAsia="Times New Roman" w:hAnsi="Times New Roman" w:cs="Times New Roman"/>
                <w:sz w:val="28"/>
                <w:szCs w:val="28"/>
                <w:lang w:val="uk-UA"/>
              </w:rPr>
              <w:t xml:space="preserve"> «____» _____________ 202</w:t>
            </w:r>
            <w:r w:rsidR="009C19F5" w:rsidRPr="00A41B49">
              <w:rPr>
                <w:rFonts w:ascii="Times New Roman" w:eastAsia="Times New Roman" w:hAnsi="Times New Roman" w:cs="Times New Roman"/>
                <w:sz w:val="28"/>
                <w:szCs w:val="28"/>
                <w:lang w:val="uk-UA"/>
              </w:rPr>
              <w:t>3</w:t>
            </w:r>
            <w:r w:rsidRPr="00A41B49">
              <w:rPr>
                <w:rFonts w:ascii="Times New Roman" w:eastAsia="Times New Roman" w:hAnsi="Times New Roman" w:cs="Times New Roman"/>
                <w:sz w:val="28"/>
                <w:szCs w:val="28"/>
                <w:lang w:val="uk-UA"/>
              </w:rPr>
              <w:t xml:space="preserve"> року</w:t>
            </w:r>
          </w:p>
        </w:tc>
      </w:tr>
    </w:tbl>
    <w:p w14:paraId="4D5E4D69" w14:textId="77777777" w:rsidR="007D647D" w:rsidRPr="00A41B49" w:rsidRDefault="007D647D" w:rsidP="007D647D">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p>
    <w:p w14:paraId="35CC817F" w14:textId="77777777" w:rsidR="007D647D" w:rsidRPr="00A41B49" w:rsidRDefault="007D647D" w:rsidP="007D647D">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A41B49">
        <w:rPr>
          <w:rFonts w:ascii="Times New Roman" w:eastAsia="Times New Roman" w:hAnsi="Times New Roman" w:cs="Times New Roman"/>
          <w:b/>
          <w:sz w:val="28"/>
          <w:szCs w:val="28"/>
          <w:lang w:val="uk-UA" w:eastAsia="ru-RU"/>
        </w:rPr>
        <w:t>КВАЛІФІКАЦІЙНА РОБОТА</w:t>
      </w:r>
    </w:p>
    <w:p w14:paraId="0190C280" w14:textId="77777777" w:rsidR="007D647D" w:rsidRPr="00A41B49" w:rsidRDefault="007D647D" w:rsidP="007D647D">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на здобуття ступеня вищої освіти «</w:t>
      </w:r>
      <w:r w:rsidR="00833DAE" w:rsidRPr="00A41B49">
        <w:rPr>
          <w:rFonts w:ascii="Times New Roman" w:eastAsia="Times New Roman" w:hAnsi="Times New Roman" w:cs="Times New Roman"/>
          <w:sz w:val="28"/>
          <w:szCs w:val="28"/>
          <w:lang w:val="uk-UA" w:eastAsia="ru-RU"/>
        </w:rPr>
        <w:t>Магістр</w:t>
      </w:r>
      <w:r w:rsidRPr="00A41B49">
        <w:rPr>
          <w:rFonts w:ascii="Times New Roman" w:eastAsia="Times New Roman" w:hAnsi="Times New Roman" w:cs="Times New Roman"/>
          <w:sz w:val="28"/>
          <w:szCs w:val="28"/>
          <w:lang w:val="uk-UA" w:eastAsia="ru-RU"/>
        </w:rPr>
        <w:t>»</w:t>
      </w:r>
    </w:p>
    <w:p w14:paraId="2982686A" w14:textId="77777777" w:rsidR="007D647D" w:rsidRPr="00A41B49" w:rsidRDefault="007D647D" w:rsidP="007D647D">
      <w:pPr>
        <w:autoSpaceDE w:val="0"/>
        <w:autoSpaceDN w:val="0"/>
        <w:adjustRightInd w:val="0"/>
        <w:spacing w:after="0" w:line="240" w:lineRule="auto"/>
        <w:jc w:val="center"/>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зі спеціальності 281 «Публічне управління та адміністрування»</w:t>
      </w:r>
    </w:p>
    <w:p w14:paraId="0AEC8207" w14:textId="77777777" w:rsidR="007D647D" w:rsidRPr="00A41B49" w:rsidRDefault="007D647D" w:rsidP="007D647D">
      <w:pPr>
        <w:autoSpaceDE w:val="0"/>
        <w:autoSpaceDN w:val="0"/>
        <w:adjustRightInd w:val="0"/>
        <w:spacing w:after="0" w:line="240" w:lineRule="auto"/>
        <w:jc w:val="center"/>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освітньої програми «Публічне управління та адміністрування»</w:t>
      </w:r>
    </w:p>
    <w:p w14:paraId="2E450B84" w14:textId="77777777" w:rsidR="007D647D" w:rsidRPr="00A41B49" w:rsidRDefault="007D647D" w:rsidP="007D647D">
      <w:pPr>
        <w:autoSpaceDE w:val="0"/>
        <w:autoSpaceDN w:val="0"/>
        <w:adjustRightInd w:val="0"/>
        <w:spacing w:after="0" w:line="240" w:lineRule="auto"/>
        <w:rPr>
          <w:rFonts w:ascii="Times New Roman" w:eastAsia="Calibri" w:hAnsi="Times New Roman" w:cs="Times New Roman"/>
          <w:sz w:val="28"/>
          <w:szCs w:val="28"/>
          <w:vertAlign w:val="superscript"/>
          <w:lang w:val="uk-UA"/>
        </w:rPr>
      </w:pPr>
    </w:p>
    <w:p w14:paraId="29D7954B" w14:textId="77777777" w:rsidR="007D647D" w:rsidRPr="00A41B49" w:rsidRDefault="007D647D" w:rsidP="007D647D">
      <w:pPr>
        <w:autoSpaceDE w:val="0"/>
        <w:autoSpaceDN w:val="0"/>
        <w:adjustRightInd w:val="0"/>
        <w:spacing w:after="0" w:line="240" w:lineRule="auto"/>
        <w:jc w:val="center"/>
        <w:rPr>
          <w:rFonts w:ascii="Times New Roman" w:eastAsia="Calibri" w:hAnsi="Times New Roman" w:cs="Times New Roman"/>
          <w:b/>
          <w:sz w:val="28"/>
          <w:szCs w:val="28"/>
          <w:shd w:val="clear" w:color="auto" w:fill="FFFFFF"/>
          <w:lang w:val="uk-UA"/>
        </w:rPr>
      </w:pPr>
      <w:r w:rsidRPr="00A41B49">
        <w:rPr>
          <w:rFonts w:ascii="Times New Roman" w:eastAsia="Calibri" w:hAnsi="Times New Roman" w:cs="Times New Roman"/>
          <w:sz w:val="28"/>
          <w:szCs w:val="28"/>
          <w:lang w:val="uk-UA"/>
        </w:rPr>
        <w:t xml:space="preserve">на тему: </w:t>
      </w:r>
      <w:r w:rsidRPr="00A41B49">
        <w:rPr>
          <w:rFonts w:ascii="Times New Roman" w:eastAsia="Calibri" w:hAnsi="Times New Roman" w:cs="Times New Roman"/>
          <w:b/>
          <w:sz w:val="28"/>
          <w:szCs w:val="28"/>
          <w:lang w:val="uk-UA"/>
        </w:rPr>
        <w:t>«</w:t>
      </w:r>
      <w:r w:rsidR="001F4D0A" w:rsidRPr="00A41B49">
        <w:rPr>
          <w:rFonts w:ascii="Times New Roman" w:eastAsia="Calibri" w:hAnsi="Times New Roman" w:cs="Times New Roman"/>
          <w:b/>
          <w:sz w:val="28"/>
          <w:szCs w:val="28"/>
          <w:lang w:val="uk-UA"/>
        </w:rPr>
        <w:t>ФОРМУВАННЯ ІНВЕСТИЦІЙНОЇ ПРИВАБЛИВОСТІ МІСТА (НА ПРИКЛАДІ МІСТА КРИВИЙ РІГ)</w:t>
      </w:r>
      <w:r w:rsidR="001F4D0A" w:rsidRPr="00A41B49">
        <w:rPr>
          <w:rFonts w:ascii="Times New Roman" w:eastAsia="Calibri" w:hAnsi="Times New Roman" w:cs="Times New Roman"/>
          <w:b/>
          <w:sz w:val="28"/>
          <w:szCs w:val="28"/>
          <w:shd w:val="clear" w:color="auto" w:fill="FFFFFF"/>
          <w:lang w:val="uk-UA"/>
        </w:rPr>
        <w:t>»</w:t>
      </w:r>
    </w:p>
    <w:p w14:paraId="4E872145" w14:textId="77777777" w:rsidR="007D647D" w:rsidRPr="00A41B49" w:rsidRDefault="007D647D" w:rsidP="007D647D">
      <w:pPr>
        <w:autoSpaceDE w:val="0"/>
        <w:autoSpaceDN w:val="0"/>
        <w:adjustRightInd w:val="0"/>
        <w:spacing w:after="0" w:line="240" w:lineRule="auto"/>
        <w:jc w:val="center"/>
        <w:rPr>
          <w:rFonts w:ascii="Times New Roman" w:eastAsia="Calibri" w:hAnsi="Times New Roman" w:cs="Times New Roman"/>
          <w:b/>
          <w:sz w:val="28"/>
          <w:szCs w:val="28"/>
          <w:shd w:val="clear" w:color="auto" w:fill="FFFFFF"/>
          <w:lang w:val="uk-UA"/>
        </w:rPr>
      </w:pPr>
    </w:p>
    <w:tbl>
      <w:tblPr>
        <w:tblW w:w="9552" w:type="dxa"/>
        <w:tblInd w:w="108" w:type="dxa"/>
        <w:tblLook w:val="04A0" w:firstRow="1" w:lastRow="0" w:firstColumn="1" w:lastColumn="0" w:noHBand="0" w:noVBand="1"/>
      </w:tblPr>
      <w:tblGrid>
        <w:gridCol w:w="1445"/>
        <w:gridCol w:w="3409"/>
        <w:gridCol w:w="3013"/>
        <w:gridCol w:w="1678"/>
        <w:gridCol w:w="7"/>
      </w:tblGrid>
      <w:tr w:rsidR="00A41B49" w:rsidRPr="00A41B49" w14:paraId="63D707FF" w14:textId="77777777" w:rsidTr="007D647D">
        <w:tc>
          <w:tcPr>
            <w:tcW w:w="7867" w:type="dxa"/>
            <w:gridSpan w:val="3"/>
            <w:shd w:val="clear" w:color="auto" w:fill="auto"/>
          </w:tcPr>
          <w:p w14:paraId="31142D0C" w14:textId="77777777" w:rsidR="007D647D" w:rsidRPr="00A41B49" w:rsidRDefault="007D647D" w:rsidP="007D647D">
            <w:pPr>
              <w:spacing w:after="0" w:line="240" w:lineRule="auto"/>
              <w:rPr>
                <w:rFonts w:ascii="Times New Roman" w:eastAsia="Calibri" w:hAnsi="Times New Roman" w:cs="Times New Roman"/>
                <w:sz w:val="28"/>
                <w:szCs w:val="28"/>
                <w:lang w:val="uk-UA"/>
              </w:rPr>
            </w:pPr>
          </w:p>
          <w:p w14:paraId="6E10E066" w14:textId="77777777" w:rsidR="007D647D" w:rsidRPr="00A41B49" w:rsidRDefault="007D647D" w:rsidP="007D647D">
            <w:pPr>
              <w:spacing w:after="0" w:line="240" w:lineRule="auto"/>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Виконав:</w:t>
            </w:r>
          </w:p>
          <w:p w14:paraId="187DAE5B" w14:textId="77777777" w:rsidR="007D647D" w:rsidRPr="00A41B49" w:rsidRDefault="007D647D" w:rsidP="007D647D">
            <w:pPr>
              <w:spacing w:after="0" w:line="240" w:lineRule="auto"/>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 xml:space="preserve">здобувач вищої освіти  </w:t>
            </w:r>
          </w:p>
          <w:p w14:paraId="289691EE" w14:textId="77777777" w:rsidR="007D647D" w:rsidRPr="00A41B49" w:rsidRDefault="00FF69BE" w:rsidP="007D647D">
            <w:pPr>
              <w:spacing w:after="0" w:line="240" w:lineRule="auto"/>
              <w:ind w:left="1452"/>
              <w:rPr>
                <w:rFonts w:ascii="Times New Roman" w:eastAsia="Calibri" w:hAnsi="Times New Roman" w:cs="Times New Roman"/>
                <w:sz w:val="28"/>
                <w:szCs w:val="28"/>
                <w:vertAlign w:val="superscript"/>
                <w:lang w:val="uk-UA"/>
              </w:rPr>
            </w:pPr>
            <w:r w:rsidRPr="00A41B49">
              <w:rPr>
                <w:rFonts w:ascii="Times New Roman" w:eastAsia="Calibri" w:hAnsi="Times New Roman" w:cs="Times New Roman"/>
                <w:sz w:val="28"/>
                <w:szCs w:val="28"/>
                <w:u w:val="single"/>
                <w:lang w:val="uk-UA"/>
              </w:rPr>
              <w:t>Гришечко Андрій Іванович</w:t>
            </w:r>
          </w:p>
          <w:p w14:paraId="33692C22" w14:textId="77777777" w:rsidR="007D647D" w:rsidRPr="00A41B49" w:rsidRDefault="007D647D" w:rsidP="007D647D">
            <w:pPr>
              <w:spacing w:after="0" w:line="240" w:lineRule="auto"/>
              <w:rPr>
                <w:rFonts w:ascii="Times New Roman" w:eastAsia="Calibri" w:hAnsi="Times New Roman" w:cs="Times New Roman"/>
                <w:sz w:val="28"/>
                <w:szCs w:val="28"/>
                <w:vertAlign w:val="superscript"/>
                <w:lang w:val="uk-UA"/>
              </w:rPr>
            </w:pPr>
          </w:p>
        </w:tc>
        <w:tc>
          <w:tcPr>
            <w:tcW w:w="1685" w:type="dxa"/>
            <w:gridSpan w:val="2"/>
            <w:shd w:val="clear" w:color="auto" w:fill="auto"/>
          </w:tcPr>
          <w:p w14:paraId="64CED191" w14:textId="77777777" w:rsidR="007D647D" w:rsidRPr="00A41B49" w:rsidRDefault="007D647D" w:rsidP="007D647D">
            <w:pPr>
              <w:suppressAutoHyphens/>
              <w:spacing w:after="0" w:line="240" w:lineRule="auto"/>
              <w:jc w:val="center"/>
              <w:rPr>
                <w:rFonts w:ascii="Times New Roman" w:eastAsia="Calibri" w:hAnsi="Times New Roman" w:cs="Times New Roman"/>
                <w:sz w:val="28"/>
                <w:szCs w:val="28"/>
                <w:lang w:val="uk-UA"/>
              </w:rPr>
            </w:pPr>
          </w:p>
          <w:p w14:paraId="6D4A90DF" w14:textId="77777777" w:rsidR="007D647D" w:rsidRPr="00A41B49" w:rsidRDefault="007D647D" w:rsidP="007D647D">
            <w:pPr>
              <w:suppressAutoHyphens/>
              <w:spacing w:after="0" w:line="240" w:lineRule="auto"/>
              <w:jc w:val="center"/>
              <w:rPr>
                <w:rFonts w:ascii="Times New Roman" w:eastAsia="Calibri" w:hAnsi="Times New Roman" w:cs="Times New Roman"/>
                <w:sz w:val="28"/>
                <w:szCs w:val="28"/>
                <w:lang w:val="uk-UA"/>
              </w:rPr>
            </w:pPr>
          </w:p>
          <w:p w14:paraId="60A4BC1D" w14:textId="77777777" w:rsidR="007D647D" w:rsidRPr="00A41B49" w:rsidRDefault="007D647D" w:rsidP="007D647D">
            <w:pPr>
              <w:suppressAutoHyphens/>
              <w:spacing w:after="0" w:line="240" w:lineRule="auto"/>
              <w:jc w:val="center"/>
              <w:rPr>
                <w:rFonts w:ascii="Times New Roman" w:eastAsia="Calibri" w:hAnsi="Times New Roman" w:cs="Times New Roman"/>
                <w:sz w:val="28"/>
                <w:szCs w:val="28"/>
                <w:lang w:val="uk-UA"/>
              </w:rPr>
            </w:pPr>
          </w:p>
          <w:p w14:paraId="2AD17D2D" w14:textId="77777777" w:rsidR="007D647D" w:rsidRPr="00A41B49" w:rsidRDefault="007D647D" w:rsidP="007D647D">
            <w:pPr>
              <w:suppressAutoHyphens/>
              <w:spacing w:after="0" w:line="240" w:lineRule="auto"/>
              <w:jc w:val="center"/>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_________</w:t>
            </w:r>
          </w:p>
          <w:p w14:paraId="41BBFC9E" w14:textId="77777777" w:rsidR="007D647D" w:rsidRPr="00A41B49" w:rsidRDefault="007D647D" w:rsidP="007D647D">
            <w:pPr>
              <w:suppressAutoHyphens/>
              <w:spacing w:after="0" w:line="240" w:lineRule="auto"/>
              <w:jc w:val="center"/>
              <w:rPr>
                <w:rFonts w:ascii="Times New Roman" w:eastAsia="Calibri" w:hAnsi="Times New Roman" w:cs="Times New Roman"/>
                <w:sz w:val="28"/>
                <w:szCs w:val="28"/>
                <w:vertAlign w:val="superscript"/>
                <w:lang w:val="uk-UA"/>
              </w:rPr>
            </w:pPr>
            <w:r w:rsidRPr="00A41B49">
              <w:rPr>
                <w:rFonts w:ascii="Times New Roman" w:eastAsia="Calibri" w:hAnsi="Times New Roman" w:cs="Times New Roman"/>
                <w:sz w:val="28"/>
                <w:szCs w:val="28"/>
                <w:vertAlign w:val="superscript"/>
                <w:lang w:val="uk-UA"/>
              </w:rPr>
              <w:t>(підпис)</w:t>
            </w:r>
          </w:p>
        </w:tc>
      </w:tr>
      <w:tr w:rsidR="00A41B49" w:rsidRPr="00A41B49" w14:paraId="4D80866C" w14:textId="77777777" w:rsidTr="007D647D">
        <w:tc>
          <w:tcPr>
            <w:tcW w:w="1445" w:type="dxa"/>
            <w:shd w:val="clear" w:color="auto" w:fill="auto"/>
            <w:hideMark/>
          </w:tcPr>
          <w:p w14:paraId="4B5AB03B" w14:textId="77777777" w:rsidR="007D647D" w:rsidRPr="00A41B49" w:rsidRDefault="007D647D" w:rsidP="007D647D">
            <w:pPr>
              <w:suppressAutoHyphens/>
              <w:spacing w:after="0" w:line="240" w:lineRule="auto"/>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Керівник:</w:t>
            </w:r>
          </w:p>
        </w:tc>
        <w:tc>
          <w:tcPr>
            <w:tcW w:w="6422" w:type="dxa"/>
            <w:gridSpan w:val="2"/>
            <w:shd w:val="clear" w:color="auto" w:fill="auto"/>
            <w:hideMark/>
          </w:tcPr>
          <w:p w14:paraId="7127A52B" w14:textId="77777777" w:rsidR="007D647D" w:rsidRPr="00A41B49" w:rsidRDefault="007D647D" w:rsidP="007D647D">
            <w:pPr>
              <w:spacing w:after="0" w:line="240" w:lineRule="auto"/>
              <w:rPr>
                <w:rFonts w:ascii="Times New Roman" w:eastAsia="Calibri" w:hAnsi="Times New Roman" w:cs="Times New Roman"/>
                <w:sz w:val="28"/>
                <w:szCs w:val="28"/>
                <w:u w:val="single"/>
                <w:lang w:val="uk-UA"/>
              </w:rPr>
            </w:pPr>
          </w:p>
          <w:p w14:paraId="18F84561" w14:textId="77777777" w:rsidR="007D647D" w:rsidRPr="00A41B49" w:rsidRDefault="00FF69BE" w:rsidP="007D647D">
            <w:pPr>
              <w:spacing w:after="0" w:line="240" w:lineRule="auto"/>
              <w:rPr>
                <w:rFonts w:ascii="Times New Roman" w:eastAsia="Calibri" w:hAnsi="Times New Roman" w:cs="Times New Roman"/>
                <w:sz w:val="28"/>
                <w:szCs w:val="28"/>
                <w:u w:val="single"/>
                <w:lang w:val="uk-UA"/>
              </w:rPr>
            </w:pPr>
            <w:r w:rsidRPr="00A41B49">
              <w:rPr>
                <w:rFonts w:ascii="Times New Roman" w:eastAsia="Calibri" w:hAnsi="Times New Roman" w:cs="Times New Roman"/>
                <w:sz w:val="28"/>
                <w:szCs w:val="28"/>
                <w:u w:val="single"/>
                <w:lang w:val="uk-UA"/>
              </w:rPr>
              <w:t>к.е.н., доцент</w:t>
            </w:r>
            <w:r w:rsidR="007D647D" w:rsidRPr="00A41B49">
              <w:rPr>
                <w:rFonts w:ascii="Times New Roman" w:eastAsia="Calibri" w:hAnsi="Times New Roman" w:cs="Times New Roman"/>
                <w:sz w:val="28"/>
                <w:szCs w:val="28"/>
                <w:u w:val="single"/>
                <w:lang w:val="uk-UA"/>
              </w:rPr>
              <w:t xml:space="preserve"> </w:t>
            </w:r>
          </w:p>
          <w:p w14:paraId="078A5D4E" w14:textId="77777777" w:rsidR="007D647D" w:rsidRPr="00A41B49" w:rsidRDefault="00FF69BE" w:rsidP="007D647D">
            <w:pPr>
              <w:spacing w:after="0" w:line="240" w:lineRule="auto"/>
              <w:rPr>
                <w:rFonts w:ascii="Times New Roman" w:eastAsia="Calibri" w:hAnsi="Times New Roman" w:cs="Times New Roman"/>
                <w:sz w:val="28"/>
                <w:szCs w:val="28"/>
                <w:u w:val="single"/>
                <w:lang w:val="uk-UA"/>
              </w:rPr>
            </w:pPr>
            <w:r w:rsidRPr="00A41B49">
              <w:rPr>
                <w:rFonts w:ascii="Times New Roman" w:eastAsia="Calibri" w:hAnsi="Times New Roman" w:cs="Times New Roman"/>
                <w:sz w:val="28"/>
                <w:szCs w:val="28"/>
                <w:u w:val="single"/>
                <w:lang w:val="uk-UA"/>
              </w:rPr>
              <w:t>Нєізвєстна Олена Володимирівна</w:t>
            </w:r>
          </w:p>
          <w:p w14:paraId="622A1C40" w14:textId="77777777" w:rsidR="007D647D" w:rsidRPr="00A41B49" w:rsidRDefault="007D647D" w:rsidP="007D647D">
            <w:pPr>
              <w:spacing w:after="0" w:line="240" w:lineRule="auto"/>
              <w:rPr>
                <w:rFonts w:ascii="Times New Roman" w:eastAsia="Calibri" w:hAnsi="Times New Roman" w:cs="Times New Roman"/>
                <w:sz w:val="28"/>
                <w:szCs w:val="28"/>
                <w:vertAlign w:val="superscript"/>
                <w:lang w:val="uk-UA"/>
              </w:rPr>
            </w:pPr>
          </w:p>
        </w:tc>
        <w:tc>
          <w:tcPr>
            <w:tcW w:w="1685" w:type="dxa"/>
            <w:gridSpan w:val="2"/>
            <w:shd w:val="clear" w:color="auto" w:fill="auto"/>
            <w:hideMark/>
          </w:tcPr>
          <w:p w14:paraId="048AB5D2" w14:textId="77777777" w:rsidR="007D647D" w:rsidRPr="00A41B49" w:rsidRDefault="007D647D" w:rsidP="007D647D">
            <w:pPr>
              <w:suppressAutoHyphens/>
              <w:spacing w:after="0" w:line="240" w:lineRule="auto"/>
              <w:jc w:val="center"/>
              <w:rPr>
                <w:rFonts w:ascii="Times New Roman" w:eastAsia="Calibri" w:hAnsi="Times New Roman" w:cs="Times New Roman"/>
                <w:sz w:val="28"/>
                <w:szCs w:val="28"/>
                <w:lang w:val="uk-UA"/>
              </w:rPr>
            </w:pPr>
          </w:p>
          <w:p w14:paraId="586DE259" w14:textId="77777777" w:rsidR="007D647D" w:rsidRPr="00A41B49" w:rsidRDefault="007D647D" w:rsidP="007D647D">
            <w:pPr>
              <w:suppressAutoHyphens/>
              <w:spacing w:after="0" w:line="240" w:lineRule="auto"/>
              <w:jc w:val="center"/>
              <w:rPr>
                <w:rFonts w:ascii="Times New Roman" w:eastAsia="Calibri" w:hAnsi="Times New Roman" w:cs="Times New Roman"/>
                <w:sz w:val="28"/>
                <w:szCs w:val="28"/>
                <w:lang w:val="uk-UA"/>
              </w:rPr>
            </w:pPr>
          </w:p>
          <w:p w14:paraId="0A915EDB" w14:textId="77777777" w:rsidR="007D647D" w:rsidRPr="00A41B49" w:rsidRDefault="007D647D" w:rsidP="007D647D">
            <w:pPr>
              <w:suppressAutoHyphens/>
              <w:spacing w:after="0" w:line="240" w:lineRule="auto"/>
              <w:jc w:val="center"/>
              <w:rPr>
                <w:rFonts w:ascii="Times New Roman" w:eastAsia="Calibri" w:hAnsi="Times New Roman" w:cs="Times New Roman"/>
                <w:sz w:val="28"/>
                <w:szCs w:val="28"/>
                <w:lang w:val="uk-UA"/>
              </w:rPr>
            </w:pPr>
          </w:p>
          <w:p w14:paraId="05F0A7F7" w14:textId="77777777" w:rsidR="007D647D" w:rsidRPr="00A41B49" w:rsidRDefault="007D647D" w:rsidP="007D647D">
            <w:pPr>
              <w:suppressAutoHyphens/>
              <w:spacing w:after="0" w:line="240" w:lineRule="auto"/>
              <w:jc w:val="center"/>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_________</w:t>
            </w:r>
          </w:p>
          <w:p w14:paraId="7C686F3E" w14:textId="77777777" w:rsidR="007D647D" w:rsidRPr="00A41B49" w:rsidRDefault="007D647D" w:rsidP="007D647D">
            <w:pPr>
              <w:suppressAutoHyphens/>
              <w:spacing w:after="0" w:line="240" w:lineRule="auto"/>
              <w:jc w:val="center"/>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vertAlign w:val="superscript"/>
                <w:lang w:val="uk-UA"/>
              </w:rPr>
              <w:t>(підпис)</w:t>
            </w:r>
          </w:p>
        </w:tc>
      </w:tr>
      <w:tr w:rsidR="007D647D" w:rsidRPr="00A41B49" w14:paraId="606AC0C8" w14:textId="77777777" w:rsidTr="007D647D">
        <w:trPr>
          <w:gridAfter w:val="1"/>
          <w:wAfter w:w="7" w:type="dxa"/>
        </w:trPr>
        <w:tc>
          <w:tcPr>
            <w:tcW w:w="4854" w:type="dxa"/>
            <w:gridSpan w:val="2"/>
            <w:shd w:val="clear" w:color="auto" w:fill="auto"/>
          </w:tcPr>
          <w:p w14:paraId="56B1C276" w14:textId="77777777" w:rsidR="007D647D" w:rsidRPr="00A41B49" w:rsidRDefault="007D647D" w:rsidP="007D647D">
            <w:pPr>
              <w:spacing w:after="0" w:line="240" w:lineRule="auto"/>
              <w:rPr>
                <w:rFonts w:ascii="Times New Roman" w:eastAsia="Calibri" w:hAnsi="Times New Roman" w:cs="Times New Roman"/>
                <w:sz w:val="28"/>
                <w:szCs w:val="28"/>
                <w:lang w:val="uk-UA"/>
              </w:rPr>
            </w:pPr>
          </w:p>
        </w:tc>
        <w:tc>
          <w:tcPr>
            <w:tcW w:w="4691" w:type="dxa"/>
            <w:gridSpan w:val="2"/>
            <w:shd w:val="clear" w:color="auto" w:fill="auto"/>
          </w:tcPr>
          <w:p w14:paraId="7C7E11EA" w14:textId="77777777" w:rsidR="007D647D" w:rsidRPr="00A41B49" w:rsidRDefault="007D647D" w:rsidP="007D647D">
            <w:pPr>
              <w:autoSpaceDE w:val="0"/>
              <w:autoSpaceDN w:val="0"/>
              <w:adjustRightInd w:val="0"/>
              <w:spacing w:after="0" w:line="240" w:lineRule="auto"/>
              <w:jc w:val="both"/>
              <w:rPr>
                <w:rFonts w:ascii="Times New Roman" w:eastAsia="Calibri" w:hAnsi="Times New Roman" w:cs="Times New Roman"/>
                <w:sz w:val="28"/>
                <w:szCs w:val="28"/>
                <w:lang w:val="uk-UA"/>
              </w:rPr>
            </w:pPr>
          </w:p>
          <w:p w14:paraId="0B82312D" w14:textId="77777777" w:rsidR="007D647D" w:rsidRPr="00A41B49" w:rsidRDefault="007D647D" w:rsidP="007D647D">
            <w:pPr>
              <w:autoSpaceDE w:val="0"/>
              <w:autoSpaceDN w:val="0"/>
              <w:adjustRightInd w:val="0"/>
              <w:spacing w:after="0" w:line="240" w:lineRule="auto"/>
              <w:jc w:val="both"/>
              <w:rPr>
                <w:rFonts w:ascii="Times New Roman" w:eastAsia="Calibri" w:hAnsi="Times New Roman" w:cs="Times New Roman"/>
                <w:sz w:val="28"/>
                <w:szCs w:val="28"/>
                <w:lang w:val="uk-UA"/>
              </w:rPr>
            </w:pPr>
          </w:p>
          <w:p w14:paraId="1CA545DE" w14:textId="77777777" w:rsidR="007D647D" w:rsidRPr="00A41B49" w:rsidRDefault="007D647D" w:rsidP="007D647D">
            <w:pPr>
              <w:autoSpaceDE w:val="0"/>
              <w:autoSpaceDN w:val="0"/>
              <w:adjustRightInd w:val="0"/>
              <w:spacing w:after="0" w:line="240" w:lineRule="auto"/>
              <w:jc w:val="both"/>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Засвідчую, що у кваліфікаційній роботі немає запозичень з праць інших авторів без відповідних посилань</w:t>
            </w:r>
          </w:p>
          <w:p w14:paraId="0B762A2C" w14:textId="77777777" w:rsidR="007D647D" w:rsidRPr="00A41B49" w:rsidRDefault="007D647D" w:rsidP="007D647D">
            <w:pPr>
              <w:autoSpaceDE w:val="0"/>
              <w:autoSpaceDN w:val="0"/>
              <w:adjustRightInd w:val="0"/>
              <w:spacing w:after="0" w:line="240" w:lineRule="auto"/>
              <w:jc w:val="both"/>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Здобувач вищої освіти  ___________</w:t>
            </w:r>
          </w:p>
          <w:p w14:paraId="4F3C8943" w14:textId="77777777" w:rsidR="007D647D" w:rsidRPr="00A41B49" w:rsidRDefault="007D647D" w:rsidP="007D647D">
            <w:pPr>
              <w:autoSpaceDE w:val="0"/>
              <w:autoSpaceDN w:val="0"/>
              <w:adjustRightInd w:val="0"/>
              <w:spacing w:after="0" w:line="240" w:lineRule="auto"/>
              <w:jc w:val="both"/>
              <w:rPr>
                <w:rFonts w:ascii="Times New Roman" w:eastAsia="Calibri" w:hAnsi="Times New Roman" w:cs="Times New Roman"/>
                <w:sz w:val="28"/>
                <w:szCs w:val="28"/>
                <w:vertAlign w:val="superscript"/>
                <w:lang w:val="uk-UA"/>
              </w:rPr>
            </w:pPr>
            <w:r w:rsidRPr="00A41B49">
              <w:rPr>
                <w:rFonts w:ascii="Times New Roman" w:eastAsia="Calibri" w:hAnsi="Times New Roman" w:cs="Times New Roman"/>
                <w:sz w:val="28"/>
                <w:szCs w:val="28"/>
                <w:vertAlign w:val="superscript"/>
                <w:lang w:val="uk-UA"/>
              </w:rPr>
              <w:t xml:space="preserve">                                                                          (підпис)</w:t>
            </w:r>
          </w:p>
        </w:tc>
      </w:tr>
    </w:tbl>
    <w:p w14:paraId="7A7292A4" w14:textId="77777777" w:rsidR="007D647D" w:rsidRPr="00A41B49" w:rsidRDefault="007D647D" w:rsidP="007D647D">
      <w:pPr>
        <w:suppressAutoHyphens/>
        <w:spacing w:after="0" w:line="240" w:lineRule="auto"/>
        <w:rPr>
          <w:rFonts w:ascii="Times New Roman" w:eastAsia="Calibri" w:hAnsi="Times New Roman" w:cs="Times New Roman"/>
          <w:sz w:val="28"/>
          <w:szCs w:val="28"/>
          <w:lang w:val="uk-UA"/>
        </w:rPr>
      </w:pPr>
    </w:p>
    <w:p w14:paraId="1870A38D" w14:textId="77777777" w:rsidR="007D647D" w:rsidRPr="00A41B49" w:rsidRDefault="007D647D" w:rsidP="007D647D">
      <w:pPr>
        <w:suppressAutoHyphens/>
        <w:spacing w:after="0" w:line="240" w:lineRule="auto"/>
        <w:rPr>
          <w:rFonts w:ascii="Times New Roman" w:eastAsia="Calibri" w:hAnsi="Times New Roman" w:cs="Times New Roman"/>
          <w:sz w:val="28"/>
          <w:szCs w:val="28"/>
          <w:lang w:val="uk-UA"/>
        </w:rPr>
      </w:pPr>
    </w:p>
    <w:p w14:paraId="343F295F" w14:textId="77777777" w:rsidR="007D647D" w:rsidRPr="00A41B49" w:rsidRDefault="007D647D" w:rsidP="007D647D">
      <w:pPr>
        <w:suppressAutoHyphens/>
        <w:spacing w:after="0" w:line="240" w:lineRule="auto"/>
        <w:rPr>
          <w:rFonts w:ascii="Times New Roman" w:eastAsia="Calibri" w:hAnsi="Times New Roman" w:cs="Times New Roman"/>
          <w:sz w:val="28"/>
          <w:szCs w:val="28"/>
          <w:lang w:val="uk-UA"/>
        </w:rPr>
      </w:pPr>
    </w:p>
    <w:p w14:paraId="7622F07C" w14:textId="77777777" w:rsidR="007D647D" w:rsidRPr="00A41B49" w:rsidRDefault="007D647D" w:rsidP="007D647D">
      <w:pPr>
        <w:suppressAutoHyphens/>
        <w:spacing w:after="0" w:line="240" w:lineRule="auto"/>
        <w:jc w:val="center"/>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Кривий Ріг</w:t>
      </w:r>
    </w:p>
    <w:p w14:paraId="3570B01F" w14:textId="77777777" w:rsidR="007D647D" w:rsidRPr="00A41B49" w:rsidRDefault="007D647D" w:rsidP="007D647D">
      <w:pPr>
        <w:spacing w:after="0" w:line="240" w:lineRule="auto"/>
        <w:jc w:val="center"/>
        <w:rPr>
          <w:rFonts w:ascii="Times New Roman" w:eastAsia="Times New Roman" w:hAnsi="Times New Roman" w:cs="Times New Roman"/>
          <w:sz w:val="28"/>
          <w:szCs w:val="28"/>
          <w:lang w:val="uk-UA" w:eastAsia="ru-RU"/>
        </w:rPr>
      </w:pPr>
      <w:r w:rsidRPr="00A41B49">
        <w:rPr>
          <w:rFonts w:ascii="Times New Roman" w:eastAsia="Calibri" w:hAnsi="Times New Roman" w:cs="Times New Roman"/>
          <w:sz w:val="28"/>
          <w:szCs w:val="28"/>
          <w:lang w:val="uk-UA"/>
        </w:rPr>
        <w:t>202</w:t>
      </w:r>
      <w:r w:rsidR="001F4D0A" w:rsidRPr="00A41B49">
        <w:rPr>
          <w:rFonts w:ascii="Times New Roman" w:eastAsia="Calibri" w:hAnsi="Times New Roman" w:cs="Times New Roman"/>
          <w:sz w:val="28"/>
          <w:szCs w:val="28"/>
          <w:lang w:val="uk-UA"/>
        </w:rPr>
        <w:t>3</w:t>
      </w:r>
      <w:r w:rsidRPr="00A41B49">
        <w:rPr>
          <w:rFonts w:ascii="Times New Roman" w:eastAsia="Calibri" w:hAnsi="Times New Roman" w:cs="Times New Roman"/>
          <w:b/>
          <w:sz w:val="28"/>
          <w:szCs w:val="28"/>
          <w:lang w:val="uk-UA"/>
        </w:rPr>
        <w:br w:type="page"/>
      </w:r>
      <w:r w:rsidRPr="00A41B49">
        <w:rPr>
          <w:rFonts w:ascii="Times New Roman" w:eastAsia="Times New Roman" w:hAnsi="Times New Roman" w:cs="Times New Roman"/>
          <w:sz w:val="28"/>
          <w:szCs w:val="28"/>
          <w:lang w:val="uk-UA" w:eastAsia="ru-RU"/>
        </w:rPr>
        <w:lastRenderedPageBreak/>
        <w:t>МІНІСТЕРСТВО ОСВІТИ І НАУКИ УКРАЇНИ</w:t>
      </w:r>
    </w:p>
    <w:p w14:paraId="3F215E78" w14:textId="77777777" w:rsidR="007D647D" w:rsidRPr="00A41B49" w:rsidRDefault="007D647D" w:rsidP="007D647D">
      <w:pPr>
        <w:spacing w:after="0" w:line="240" w:lineRule="auto"/>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ДОНЕЦЬКИЙ НАЦІОНАЛЬНИЙ УНІВЕРСИТЕТ ЕКОНОМІКИ І ТОРГІВЛІ</w:t>
      </w:r>
    </w:p>
    <w:p w14:paraId="7E31E6D3" w14:textId="77777777" w:rsidR="007D647D" w:rsidRPr="00A41B49" w:rsidRDefault="007D647D" w:rsidP="007D647D">
      <w:pPr>
        <w:spacing w:after="0" w:line="240" w:lineRule="auto"/>
        <w:jc w:val="center"/>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 xml:space="preserve">імені Михайла </w:t>
      </w:r>
      <w:r w:rsidRPr="00A41B49">
        <w:rPr>
          <w:rFonts w:ascii="Times New Roman" w:eastAsia="Times New Roman" w:hAnsi="Times New Roman" w:cs="Times New Roman"/>
          <w:spacing w:val="2"/>
          <w:sz w:val="28"/>
          <w:szCs w:val="28"/>
          <w:lang w:val="uk-UA" w:eastAsia="ru-RU"/>
        </w:rPr>
        <w:t>Туган</w:t>
      </w:r>
      <w:r w:rsidRPr="00A41B49">
        <w:rPr>
          <w:rFonts w:ascii="Times New Roman" w:eastAsia="Times New Roman" w:hAnsi="Times New Roman" w:cs="Times New Roman"/>
          <w:sz w:val="28"/>
          <w:szCs w:val="28"/>
          <w:lang w:val="uk-UA" w:eastAsia="ru-RU"/>
        </w:rPr>
        <w:t>-Барановського</w:t>
      </w:r>
    </w:p>
    <w:p w14:paraId="5B71268F" w14:textId="77777777" w:rsidR="007D647D" w:rsidRPr="00A41B49" w:rsidRDefault="007D647D" w:rsidP="007D647D">
      <w:pPr>
        <w:spacing w:after="0" w:line="240" w:lineRule="auto"/>
        <w:jc w:val="both"/>
        <w:rPr>
          <w:rFonts w:ascii="Times New Roman" w:eastAsia="Times New Roman" w:hAnsi="Times New Roman" w:cs="Times New Roman"/>
          <w:sz w:val="28"/>
          <w:szCs w:val="28"/>
          <w:lang w:val="uk-UA" w:eastAsia="ru-RU"/>
        </w:rPr>
      </w:pPr>
    </w:p>
    <w:p w14:paraId="1EE12A2C" w14:textId="77777777" w:rsidR="007D647D" w:rsidRPr="00A41B49" w:rsidRDefault="007D647D" w:rsidP="007D647D">
      <w:pPr>
        <w:spacing w:after="0" w:line="360" w:lineRule="auto"/>
        <w:ind w:left="567"/>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 xml:space="preserve">Навчально-науковий інститут </w:t>
      </w:r>
      <w:r w:rsidRPr="00A41B49">
        <w:rPr>
          <w:rFonts w:ascii="Times New Roman" w:eastAsia="Calibri" w:hAnsi="Times New Roman" w:cs="Times New Roman"/>
          <w:sz w:val="28"/>
          <w:szCs w:val="28"/>
          <w:u w:val="single"/>
          <w:lang w:val="uk-UA"/>
        </w:rPr>
        <w:t>економіки, управління та адміністрування</w:t>
      </w:r>
    </w:p>
    <w:p w14:paraId="3F1B94E1" w14:textId="77777777" w:rsidR="007D647D" w:rsidRPr="00A41B49" w:rsidRDefault="007D647D" w:rsidP="007D647D">
      <w:pPr>
        <w:tabs>
          <w:tab w:val="left" w:pos="3402"/>
          <w:tab w:val="left" w:pos="4111"/>
        </w:tabs>
        <w:spacing w:after="0" w:line="360" w:lineRule="auto"/>
        <w:ind w:left="567"/>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 xml:space="preserve">Кафедра  </w:t>
      </w:r>
      <w:r w:rsidRPr="00A41B49">
        <w:rPr>
          <w:rFonts w:ascii="Times New Roman" w:eastAsia="Calibri" w:hAnsi="Times New Roman" w:cs="Times New Roman"/>
          <w:sz w:val="28"/>
          <w:szCs w:val="28"/>
          <w:u w:val="single"/>
          <w:lang w:val="uk-UA"/>
        </w:rPr>
        <w:t xml:space="preserve"> маркетингу, менеджменту та публічного адміністрування </w:t>
      </w:r>
    </w:p>
    <w:p w14:paraId="202B4CBD" w14:textId="77777777" w:rsidR="007D647D" w:rsidRPr="00A41B49" w:rsidRDefault="007D647D" w:rsidP="007D647D">
      <w:pPr>
        <w:spacing w:after="0" w:line="360" w:lineRule="auto"/>
        <w:ind w:left="567"/>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 xml:space="preserve">Форма здобуття вищої освіти  _____________ </w:t>
      </w:r>
      <w:r w:rsidRPr="00A41B49">
        <w:rPr>
          <w:rFonts w:ascii="Times New Roman" w:eastAsia="Calibri" w:hAnsi="Times New Roman" w:cs="Times New Roman"/>
          <w:sz w:val="28"/>
          <w:szCs w:val="28"/>
          <w:u w:val="single"/>
          <w:lang w:val="uk-UA"/>
        </w:rPr>
        <w:t>заочна</w:t>
      </w:r>
      <w:r w:rsidRPr="00A41B49">
        <w:rPr>
          <w:rFonts w:ascii="Times New Roman" w:eastAsia="Calibri" w:hAnsi="Times New Roman" w:cs="Times New Roman"/>
          <w:sz w:val="28"/>
          <w:szCs w:val="28"/>
          <w:lang w:val="uk-UA"/>
        </w:rPr>
        <w:t xml:space="preserve"> _______________</w:t>
      </w:r>
    </w:p>
    <w:p w14:paraId="382BAFB3" w14:textId="77777777" w:rsidR="007D647D" w:rsidRPr="00A41B49" w:rsidRDefault="007D647D" w:rsidP="007D647D">
      <w:pPr>
        <w:spacing w:after="0" w:line="360" w:lineRule="auto"/>
        <w:ind w:left="567"/>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Ступінь ______</w:t>
      </w:r>
      <w:r w:rsidRPr="00A41B49">
        <w:rPr>
          <w:rFonts w:ascii="Times New Roman" w:eastAsia="Calibri" w:hAnsi="Times New Roman" w:cs="Times New Roman"/>
          <w:sz w:val="28"/>
          <w:szCs w:val="28"/>
          <w:u w:val="single"/>
          <w:lang w:val="uk-UA"/>
        </w:rPr>
        <w:t>магістр</w:t>
      </w:r>
      <w:r w:rsidRPr="00A41B49">
        <w:rPr>
          <w:rFonts w:ascii="Times New Roman" w:eastAsia="Calibri" w:hAnsi="Times New Roman" w:cs="Times New Roman"/>
          <w:sz w:val="28"/>
          <w:szCs w:val="28"/>
          <w:lang w:val="uk-UA"/>
        </w:rPr>
        <w:t>________________________________________</w:t>
      </w:r>
    </w:p>
    <w:p w14:paraId="7F0032FA" w14:textId="77777777" w:rsidR="007D647D" w:rsidRPr="00A41B49" w:rsidRDefault="007D647D" w:rsidP="007D647D">
      <w:pPr>
        <w:spacing w:after="0" w:line="360" w:lineRule="auto"/>
        <w:ind w:left="567"/>
        <w:rPr>
          <w:rFonts w:ascii="Times New Roman" w:eastAsia="Calibri" w:hAnsi="Times New Roman" w:cs="Times New Roman"/>
          <w:sz w:val="28"/>
          <w:szCs w:val="28"/>
          <w:u w:val="single"/>
          <w:lang w:val="uk-UA"/>
        </w:rPr>
      </w:pPr>
      <w:r w:rsidRPr="00A41B49">
        <w:rPr>
          <w:rFonts w:ascii="Times New Roman" w:eastAsia="Calibri" w:hAnsi="Times New Roman" w:cs="Times New Roman"/>
          <w:sz w:val="28"/>
          <w:szCs w:val="28"/>
          <w:lang w:val="uk-UA"/>
        </w:rPr>
        <w:t xml:space="preserve">Галузь знань </w:t>
      </w:r>
      <w:r w:rsidRPr="00A41B49">
        <w:rPr>
          <w:rFonts w:ascii="Times New Roman" w:eastAsia="Calibri" w:hAnsi="Times New Roman" w:cs="Times New Roman"/>
          <w:sz w:val="28"/>
          <w:szCs w:val="28"/>
          <w:u w:val="single"/>
          <w:lang w:val="uk-UA"/>
        </w:rPr>
        <w:t>28 «Публічне управління та адміністрування»</w:t>
      </w:r>
    </w:p>
    <w:p w14:paraId="45B08F90" w14:textId="77777777" w:rsidR="007D647D" w:rsidRPr="00A41B49" w:rsidRDefault="007D647D" w:rsidP="007D647D">
      <w:pPr>
        <w:spacing w:after="0" w:line="360" w:lineRule="auto"/>
        <w:ind w:left="567"/>
        <w:rPr>
          <w:rFonts w:ascii="Times New Roman" w:eastAsia="Calibri" w:hAnsi="Times New Roman" w:cs="Times New Roman"/>
          <w:sz w:val="28"/>
          <w:szCs w:val="28"/>
          <w:lang w:val="uk-UA"/>
        </w:rPr>
      </w:pPr>
      <w:r w:rsidRPr="00A41B49">
        <w:rPr>
          <w:rFonts w:ascii="Times New Roman" w:eastAsia="Calibri" w:hAnsi="Times New Roman" w:cs="Times New Roman"/>
          <w:bCs/>
          <w:sz w:val="28"/>
          <w:szCs w:val="28"/>
          <w:lang w:val="uk-UA"/>
        </w:rPr>
        <w:t xml:space="preserve">Освітня програма     </w:t>
      </w:r>
      <w:r w:rsidRPr="00A41B49">
        <w:rPr>
          <w:rFonts w:ascii="Times New Roman" w:eastAsia="Calibri" w:hAnsi="Times New Roman" w:cs="Times New Roman"/>
          <w:bCs/>
          <w:sz w:val="28"/>
          <w:szCs w:val="28"/>
          <w:u w:val="single"/>
          <w:lang w:val="uk-UA"/>
        </w:rPr>
        <w:t xml:space="preserve"> «Публічне управління та адміністрування»</w:t>
      </w:r>
      <w:r w:rsidRPr="00A41B49">
        <w:rPr>
          <w:rFonts w:ascii="Times New Roman" w:eastAsia="Calibri" w:hAnsi="Times New Roman" w:cs="Times New Roman"/>
          <w:bCs/>
          <w:sz w:val="28"/>
          <w:szCs w:val="28"/>
          <w:lang w:val="uk-UA"/>
        </w:rPr>
        <w:t>_______</w:t>
      </w:r>
    </w:p>
    <w:p w14:paraId="21807323" w14:textId="77777777" w:rsidR="007D647D" w:rsidRPr="00A41B49" w:rsidRDefault="007D647D" w:rsidP="007D647D">
      <w:pPr>
        <w:spacing w:after="0" w:line="240" w:lineRule="auto"/>
        <w:jc w:val="center"/>
        <w:rPr>
          <w:rFonts w:ascii="Times New Roman" w:eastAsia="Calibri" w:hAnsi="Times New Roman" w:cs="Times New Roman"/>
          <w:sz w:val="28"/>
          <w:szCs w:val="28"/>
          <w:lang w:val="uk-UA"/>
        </w:rPr>
      </w:pPr>
    </w:p>
    <w:p w14:paraId="57CDC7CD" w14:textId="77777777" w:rsidR="007D647D" w:rsidRPr="00A41B49" w:rsidRDefault="007D647D" w:rsidP="007D647D">
      <w:pPr>
        <w:spacing w:after="0" w:line="240" w:lineRule="auto"/>
        <w:jc w:val="center"/>
        <w:rPr>
          <w:rFonts w:ascii="Times New Roman" w:eastAsia="Times New Roman" w:hAnsi="Times New Roman" w:cs="Times New Roman"/>
          <w:sz w:val="28"/>
          <w:szCs w:val="28"/>
          <w:lang w:val="uk-UA" w:eastAsia="ru-RU"/>
        </w:rPr>
      </w:pPr>
    </w:p>
    <w:tbl>
      <w:tblPr>
        <w:tblW w:w="5499" w:type="dxa"/>
        <w:tblInd w:w="4390" w:type="dxa"/>
        <w:tblLook w:val="04A0" w:firstRow="1" w:lastRow="0" w:firstColumn="1" w:lastColumn="0" w:noHBand="0" w:noVBand="1"/>
      </w:tblPr>
      <w:tblGrid>
        <w:gridCol w:w="5499"/>
      </w:tblGrid>
      <w:tr w:rsidR="007D647D" w:rsidRPr="00A41B49" w14:paraId="31035A20" w14:textId="77777777" w:rsidTr="007D647D">
        <w:trPr>
          <w:trHeight w:val="1534"/>
        </w:trPr>
        <w:tc>
          <w:tcPr>
            <w:tcW w:w="5499" w:type="dxa"/>
            <w:hideMark/>
          </w:tcPr>
          <w:p w14:paraId="0C76E542" w14:textId="77777777" w:rsidR="007D647D" w:rsidRPr="00A41B49" w:rsidRDefault="007D647D" w:rsidP="007D647D">
            <w:pPr>
              <w:tabs>
                <w:tab w:val="left" w:pos="4111"/>
              </w:tabs>
              <w:spacing w:after="0" w:line="360" w:lineRule="auto"/>
              <w:jc w:val="both"/>
              <w:rPr>
                <w:rFonts w:ascii="Times New Roman" w:eastAsia="Times New Roman" w:hAnsi="Times New Roman" w:cs="Times New Roman"/>
                <w:sz w:val="28"/>
                <w:szCs w:val="28"/>
                <w:lang w:val="uk-UA"/>
              </w:rPr>
            </w:pPr>
            <w:r w:rsidRPr="00A41B49">
              <w:rPr>
                <w:rFonts w:ascii="Times New Roman" w:eastAsia="Times New Roman" w:hAnsi="Times New Roman" w:cs="Times New Roman"/>
                <w:sz w:val="28"/>
                <w:szCs w:val="28"/>
                <w:lang w:val="uk-UA"/>
              </w:rPr>
              <w:t>ЗАТВЕРДЖУЮ:</w:t>
            </w:r>
          </w:p>
          <w:p w14:paraId="4845CA07" w14:textId="77777777" w:rsidR="007D647D" w:rsidRPr="00A41B49" w:rsidRDefault="007D647D" w:rsidP="007D647D">
            <w:pPr>
              <w:tabs>
                <w:tab w:val="left" w:pos="4111"/>
              </w:tabs>
              <w:spacing w:after="0" w:line="360" w:lineRule="auto"/>
              <w:jc w:val="both"/>
              <w:rPr>
                <w:rFonts w:ascii="Times New Roman" w:eastAsia="Times New Roman" w:hAnsi="Times New Roman" w:cs="Times New Roman"/>
                <w:sz w:val="28"/>
                <w:szCs w:val="28"/>
                <w:lang w:val="uk-UA"/>
              </w:rPr>
            </w:pPr>
            <w:r w:rsidRPr="00A41B49">
              <w:rPr>
                <w:rFonts w:ascii="Times New Roman" w:eastAsia="Times New Roman" w:hAnsi="Times New Roman" w:cs="Times New Roman"/>
                <w:sz w:val="28"/>
                <w:szCs w:val="28"/>
                <w:lang w:val="uk-UA"/>
              </w:rPr>
              <w:t xml:space="preserve">Гарант освітньої програми </w:t>
            </w:r>
          </w:p>
          <w:p w14:paraId="38643919" w14:textId="77777777" w:rsidR="007D647D" w:rsidRPr="00A41B49" w:rsidRDefault="007D647D" w:rsidP="007D647D">
            <w:pPr>
              <w:tabs>
                <w:tab w:val="left" w:pos="4111"/>
              </w:tabs>
              <w:spacing w:after="0" w:line="240" w:lineRule="auto"/>
              <w:jc w:val="center"/>
              <w:rPr>
                <w:rFonts w:ascii="Times New Roman" w:eastAsia="Times New Roman" w:hAnsi="Times New Roman" w:cs="Times New Roman"/>
                <w:sz w:val="28"/>
                <w:szCs w:val="28"/>
                <w:vertAlign w:val="superscript"/>
                <w:lang w:val="uk-UA"/>
              </w:rPr>
            </w:pPr>
            <w:r w:rsidRPr="00A41B49">
              <w:rPr>
                <w:rFonts w:ascii="Times New Roman" w:eastAsia="Times New Roman" w:hAnsi="Times New Roman" w:cs="Times New Roman"/>
                <w:sz w:val="28"/>
                <w:szCs w:val="28"/>
                <w:lang w:val="uk-UA"/>
              </w:rPr>
              <w:t xml:space="preserve">________________________ </w:t>
            </w:r>
            <w:r w:rsidR="00461EF9" w:rsidRPr="00A41B49">
              <w:rPr>
                <w:rFonts w:ascii="Times New Roman" w:eastAsia="Calibri" w:hAnsi="Times New Roman" w:cs="Times New Roman"/>
                <w:sz w:val="28"/>
                <w:szCs w:val="28"/>
                <w:lang w:val="uk-UA"/>
              </w:rPr>
              <w:t>Бочарова Ю.Г.</w:t>
            </w:r>
            <w:r w:rsidR="00C2654A" w:rsidRPr="00A41B49">
              <w:rPr>
                <w:rFonts w:ascii="Times New Roman" w:eastAsia="Calibri" w:hAnsi="Times New Roman" w:cs="Times New Roman"/>
                <w:sz w:val="28"/>
                <w:szCs w:val="28"/>
                <w:lang w:val="uk-UA"/>
              </w:rPr>
              <w:t xml:space="preserve"> </w:t>
            </w:r>
            <w:r w:rsidRPr="00A41B49">
              <w:rPr>
                <w:rFonts w:ascii="Times New Roman" w:eastAsia="Times New Roman" w:hAnsi="Times New Roman" w:cs="Times New Roman"/>
                <w:sz w:val="28"/>
                <w:szCs w:val="28"/>
                <w:vertAlign w:val="superscript"/>
                <w:lang w:val="uk-UA"/>
              </w:rPr>
              <w:t>підпис</w:t>
            </w:r>
          </w:p>
          <w:p w14:paraId="77EF43A7" w14:textId="77777777" w:rsidR="007D647D" w:rsidRPr="00A41B49" w:rsidRDefault="007D647D" w:rsidP="009C19F5">
            <w:pPr>
              <w:spacing w:after="0" w:line="360" w:lineRule="auto"/>
              <w:jc w:val="both"/>
              <w:rPr>
                <w:rFonts w:ascii="Times New Roman" w:eastAsia="Times New Roman" w:hAnsi="Times New Roman" w:cs="Times New Roman"/>
                <w:sz w:val="28"/>
                <w:szCs w:val="28"/>
                <w:lang w:val="uk-UA"/>
              </w:rPr>
            </w:pPr>
            <w:r w:rsidRPr="00A41B49">
              <w:rPr>
                <w:rFonts w:ascii="Times New Roman" w:eastAsia="Times New Roman" w:hAnsi="Times New Roman" w:cs="Times New Roman"/>
                <w:sz w:val="28"/>
                <w:szCs w:val="28"/>
                <w:lang w:val="uk-UA"/>
              </w:rPr>
              <w:t>«_____» ________________ 202</w:t>
            </w:r>
            <w:r w:rsidR="009C19F5" w:rsidRPr="00A41B49">
              <w:rPr>
                <w:rFonts w:ascii="Times New Roman" w:eastAsia="Times New Roman" w:hAnsi="Times New Roman" w:cs="Times New Roman"/>
                <w:sz w:val="28"/>
                <w:szCs w:val="28"/>
                <w:lang w:val="uk-UA"/>
              </w:rPr>
              <w:t>3</w:t>
            </w:r>
            <w:r w:rsidRPr="00A41B49">
              <w:rPr>
                <w:rFonts w:ascii="Times New Roman" w:eastAsia="Times New Roman" w:hAnsi="Times New Roman" w:cs="Times New Roman"/>
                <w:sz w:val="28"/>
                <w:szCs w:val="28"/>
                <w:lang w:val="uk-UA"/>
              </w:rPr>
              <w:t xml:space="preserve"> р.</w:t>
            </w:r>
          </w:p>
        </w:tc>
      </w:tr>
    </w:tbl>
    <w:p w14:paraId="68A54C39" w14:textId="77777777" w:rsidR="007D647D" w:rsidRPr="00A41B49" w:rsidRDefault="007D647D" w:rsidP="007D647D">
      <w:pPr>
        <w:keepNext/>
        <w:autoSpaceDE w:val="0"/>
        <w:autoSpaceDN w:val="0"/>
        <w:adjustRightInd w:val="0"/>
        <w:spacing w:after="0" w:line="240" w:lineRule="auto"/>
        <w:jc w:val="right"/>
        <w:rPr>
          <w:rFonts w:ascii="Times New Roman" w:eastAsia="Times New Roman" w:hAnsi="Times New Roman" w:cs="Times New Roman"/>
          <w:sz w:val="28"/>
          <w:szCs w:val="28"/>
          <w:lang w:val="uk-UA" w:eastAsia="ru-RU"/>
        </w:rPr>
      </w:pPr>
    </w:p>
    <w:p w14:paraId="286A154E" w14:textId="77777777" w:rsidR="007D647D" w:rsidRPr="00A41B49" w:rsidRDefault="007D647D" w:rsidP="007D647D">
      <w:pPr>
        <w:spacing w:after="0" w:line="240" w:lineRule="auto"/>
        <w:jc w:val="center"/>
        <w:outlineLvl w:val="0"/>
        <w:rPr>
          <w:rFonts w:ascii="Times New Roman" w:eastAsia="Times New Roman" w:hAnsi="Times New Roman" w:cs="Times New Roman"/>
          <w:b/>
          <w:bCs/>
          <w:caps/>
          <w:kern w:val="36"/>
          <w:sz w:val="28"/>
          <w:szCs w:val="48"/>
          <w:lang w:val="uk-UA" w:eastAsia="ru-RU"/>
        </w:rPr>
      </w:pPr>
      <w:r w:rsidRPr="00A41B49">
        <w:rPr>
          <w:rFonts w:ascii="Times New Roman" w:eastAsia="Times New Roman" w:hAnsi="Times New Roman" w:cs="Times New Roman"/>
          <w:b/>
          <w:bCs/>
          <w:caps/>
          <w:kern w:val="36"/>
          <w:sz w:val="28"/>
          <w:szCs w:val="48"/>
          <w:lang w:val="uk-UA" w:eastAsia="ru-RU"/>
        </w:rPr>
        <w:t>Завдання</w:t>
      </w:r>
    </w:p>
    <w:p w14:paraId="08C008B6" w14:textId="77777777" w:rsidR="007D647D" w:rsidRPr="00A41B49" w:rsidRDefault="007D647D" w:rsidP="007D647D">
      <w:pPr>
        <w:keepNext/>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A41B49">
        <w:rPr>
          <w:rFonts w:ascii="Times New Roman" w:eastAsia="Times New Roman" w:hAnsi="Times New Roman" w:cs="Times New Roman"/>
          <w:b/>
          <w:bCs/>
          <w:sz w:val="28"/>
          <w:szCs w:val="28"/>
          <w:lang w:val="uk-UA" w:eastAsia="ru-RU"/>
        </w:rPr>
        <w:t>НА КВАЛІФІКАЦІЙНУ РОБОТУ ЗДОБУВАЧУ ВИЩОЇ ОСВІТИ</w:t>
      </w:r>
    </w:p>
    <w:p w14:paraId="4A1AEA82" w14:textId="77777777" w:rsidR="007D647D" w:rsidRPr="00A41B49" w:rsidRDefault="00461EF9" w:rsidP="007D647D">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val="uk-UA" w:eastAsia="ru-RU"/>
        </w:rPr>
      </w:pPr>
      <w:r w:rsidRPr="00A41B49">
        <w:rPr>
          <w:rFonts w:ascii="Times New Roman" w:eastAsia="Calibri" w:hAnsi="Times New Roman" w:cs="Times New Roman"/>
          <w:sz w:val="28"/>
          <w:szCs w:val="28"/>
          <w:u w:val="single"/>
          <w:lang w:val="uk-UA"/>
        </w:rPr>
        <w:t>Гришечко Андрій Іванович</w:t>
      </w:r>
      <w:r w:rsidR="007D647D" w:rsidRPr="00A41B49">
        <w:rPr>
          <w:rFonts w:ascii="Times New Roman" w:eastAsia="Times New Roman" w:hAnsi="Times New Roman" w:cs="Times New Roman"/>
          <w:sz w:val="28"/>
          <w:szCs w:val="28"/>
          <w:u w:val="single"/>
          <w:lang w:val="uk-UA" w:eastAsia="ru-RU"/>
        </w:rPr>
        <w:t xml:space="preserve">                                                                                              </w:t>
      </w:r>
      <w:r w:rsidR="007D647D" w:rsidRPr="00A41B49">
        <w:rPr>
          <w:rFonts w:ascii="Times New Roman" w:eastAsia="Times New Roman" w:hAnsi="Times New Roman" w:cs="Times New Roman"/>
          <w:sz w:val="28"/>
          <w:szCs w:val="28"/>
          <w:vertAlign w:val="superscript"/>
          <w:lang w:val="uk-UA" w:eastAsia="ru-RU"/>
        </w:rPr>
        <w:t>прізвище, ім’я, по батькові</w:t>
      </w:r>
    </w:p>
    <w:p w14:paraId="05A36681" w14:textId="77777777" w:rsidR="007D647D" w:rsidRPr="00A41B49" w:rsidRDefault="007D647D" w:rsidP="007D647D">
      <w:pPr>
        <w:autoSpaceDE w:val="0"/>
        <w:autoSpaceDN w:val="0"/>
        <w:adjustRightInd w:val="0"/>
        <w:spacing w:after="0" w:line="240" w:lineRule="auto"/>
        <w:jc w:val="center"/>
        <w:rPr>
          <w:rFonts w:ascii="Times New Roman" w:eastAsia="Times New Roman" w:hAnsi="Times New Roman" w:cs="Times New Roman"/>
          <w:b/>
          <w:sz w:val="28"/>
          <w:szCs w:val="28"/>
          <w:u w:val="single"/>
          <w:vertAlign w:val="superscript"/>
          <w:lang w:val="uk-UA" w:eastAsia="ru-RU"/>
        </w:rPr>
      </w:pPr>
    </w:p>
    <w:p w14:paraId="68A01E34" w14:textId="77777777" w:rsidR="007D647D" w:rsidRPr="00A41B49" w:rsidRDefault="007D647D" w:rsidP="007D647D">
      <w:pPr>
        <w:spacing w:after="0" w:line="360" w:lineRule="auto"/>
        <w:contextualSpacing/>
        <w:jc w:val="both"/>
        <w:rPr>
          <w:rFonts w:ascii="Times New Roman" w:eastAsia="Times New Roman" w:hAnsi="Times New Roman" w:cs="Times New Roman"/>
          <w:b/>
          <w:sz w:val="28"/>
          <w:lang w:val="uk-UA" w:eastAsia="ru-RU"/>
        </w:rPr>
      </w:pPr>
      <w:r w:rsidRPr="00A41B49">
        <w:rPr>
          <w:rFonts w:ascii="Times New Roman" w:eastAsia="Times New Roman" w:hAnsi="Times New Roman" w:cs="Times New Roman"/>
          <w:sz w:val="28"/>
          <w:szCs w:val="28"/>
          <w:lang w:val="uk-UA" w:eastAsia="ru-RU"/>
        </w:rPr>
        <w:t xml:space="preserve">1.Тема роботи: </w:t>
      </w:r>
      <w:r w:rsidRPr="00A41B49">
        <w:rPr>
          <w:rFonts w:ascii="Times New Roman" w:eastAsia="Times New Roman" w:hAnsi="Times New Roman" w:cs="Times New Roman"/>
          <w:sz w:val="28"/>
          <w:szCs w:val="28"/>
          <w:u w:val="single"/>
          <w:lang w:val="uk-UA" w:eastAsia="ru-RU"/>
        </w:rPr>
        <w:t>«</w:t>
      </w:r>
      <w:r w:rsidR="009C19F5" w:rsidRPr="00A41B49">
        <w:rPr>
          <w:rFonts w:ascii="Times New Roman" w:eastAsia="Times New Roman" w:hAnsi="Times New Roman" w:cs="Times New Roman"/>
          <w:sz w:val="28"/>
          <w:szCs w:val="28"/>
          <w:u w:val="single"/>
          <w:lang w:val="uk-UA" w:eastAsia="ru-RU"/>
        </w:rPr>
        <w:t>Формування інвестиційної привабливості міста (на прикладі міста Кривий Ріг)</w:t>
      </w:r>
      <w:r w:rsidRPr="00A41B49">
        <w:rPr>
          <w:rFonts w:ascii="Times New Roman" w:eastAsia="Times New Roman" w:hAnsi="Times New Roman" w:cs="Times New Roman"/>
          <w:sz w:val="28"/>
          <w:szCs w:val="28"/>
          <w:u w:val="single"/>
          <w:lang w:val="uk-UA" w:eastAsia="ru-RU"/>
        </w:rPr>
        <w:t>»</w:t>
      </w:r>
    </w:p>
    <w:p w14:paraId="61B3ABB2" w14:textId="77777777" w:rsidR="007D647D" w:rsidRPr="00A41B49" w:rsidRDefault="007D647D" w:rsidP="007D647D">
      <w:pPr>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 xml:space="preserve">Керівник роботи  </w:t>
      </w:r>
      <w:r w:rsidR="00461EF9" w:rsidRPr="00A41B49">
        <w:rPr>
          <w:rFonts w:ascii="Times New Roman" w:eastAsia="Times New Roman" w:hAnsi="Times New Roman" w:cs="Times New Roman"/>
          <w:sz w:val="28"/>
          <w:szCs w:val="28"/>
          <w:u w:val="single"/>
          <w:lang w:val="uk-UA" w:eastAsia="ru-RU"/>
        </w:rPr>
        <w:t>к</w:t>
      </w:r>
      <w:r w:rsidRPr="00A41B49">
        <w:rPr>
          <w:rFonts w:ascii="Times New Roman" w:eastAsia="Times New Roman" w:hAnsi="Times New Roman" w:cs="Times New Roman"/>
          <w:sz w:val="28"/>
          <w:szCs w:val="28"/>
          <w:u w:val="single"/>
          <w:lang w:val="uk-UA" w:eastAsia="ru-RU"/>
        </w:rPr>
        <w:t xml:space="preserve">.е.н., доцент </w:t>
      </w:r>
      <w:r w:rsidR="00461EF9" w:rsidRPr="00A41B49">
        <w:rPr>
          <w:rFonts w:ascii="Times New Roman" w:eastAsia="Times New Roman" w:hAnsi="Times New Roman" w:cs="Times New Roman"/>
          <w:sz w:val="28"/>
          <w:szCs w:val="28"/>
          <w:u w:val="single"/>
          <w:lang w:val="uk-UA" w:eastAsia="ru-RU"/>
        </w:rPr>
        <w:t>Нєізвєстна О.В.</w:t>
      </w:r>
    </w:p>
    <w:p w14:paraId="44CEC0B4" w14:textId="77777777" w:rsidR="007D647D" w:rsidRPr="00A41B49" w:rsidRDefault="007D647D" w:rsidP="007D647D">
      <w:pPr>
        <w:tabs>
          <w:tab w:val="left" w:pos="9781"/>
        </w:tabs>
        <w:spacing w:after="0" w:line="360" w:lineRule="auto"/>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 xml:space="preserve">Затверджені наказом ДонНУЕТ імені Михайла Туган-Барановського </w:t>
      </w:r>
    </w:p>
    <w:p w14:paraId="4AC38897" w14:textId="77777777" w:rsidR="007D647D" w:rsidRPr="00A41B49" w:rsidRDefault="007D647D" w:rsidP="007D647D">
      <w:pPr>
        <w:tabs>
          <w:tab w:val="left" w:pos="9781"/>
        </w:tabs>
        <w:spacing w:after="0" w:line="360" w:lineRule="auto"/>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від  “____” ________202</w:t>
      </w:r>
      <w:r w:rsidR="009C19F5" w:rsidRPr="00A41B49">
        <w:rPr>
          <w:rFonts w:ascii="Times New Roman" w:eastAsia="Times New Roman" w:hAnsi="Times New Roman" w:cs="Times New Roman"/>
          <w:sz w:val="28"/>
          <w:szCs w:val="28"/>
          <w:lang w:val="uk-UA" w:eastAsia="ru-RU"/>
        </w:rPr>
        <w:t>3</w:t>
      </w:r>
      <w:r w:rsidRPr="00A41B49">
        <w:rPr>
          <w:rFonts w:ascii="Times New Roman" w:eastAsia="Times New Roman" w:hAnsi="Times New Roman" w:cs="Times New Roman"/>
          <w:sz w:val="28"/>
          <w:szCs w:val="28"/>
          <w:lang w:val="uk-UA" w:eastAsia="ru-RU"/>
        </w:rPr>
        <w:t xml:space="preserve"> р. № ______</w:t>
      </w:r>
    </w:p>
    <w:p w14:paraId="4A5BE278" w14:textId="77777777" w:rsidR="007D647D" w:rsidRPr="00A41B49" w:rsidRDefault="007D647D" w:rsidP="007D647D">
      <w:pPr>
        <w:spacing w:after="0" w:line="360" w:lineRule="auto"/>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2. Строк подання здобувачем ВО роботи “_____” ________________ 202</w:t>
      </w:r>
      <w:r w:rsidR="009C19F5" w:rsidRPr="00A41B49">
        <w:rPr>
          <w:rFonts w:ascii="Times New Roman" w:eastAsia="Times New Roman" w:hAnsi="Times New Roman" w:cs="Times New Roman"/>
          <w:sz w:val="28"/>
          <w:szCs w:val="28"/>
          <w:lang w:val="uk-UA" w:eastAsia="ru-RU"/>
        </w:rPr>
        <w:t>3</w:t>
      </w:r>
      <w:r w:rsidRPr="00A41B49">
        <w:rPr>
          <w:rFonts w:ascii="Times New Roman" w:eastAsia="Times New Roman" w:hAnsi="Times New Roman" w:cs="Times New Roman"/>
          <w:sz w:val="28"/>
          <w:szCs w:val="28"/>
          <w:lang w:val="uk-UA" w:eastAsia="ru-RU"/>
        </w:rPr>
        <w:t xml:space="preserve"> р.</w:t>
      </w:r>
    </w:p>
    <w:p w14:paraId="420BF8B9" w14:textId="77777777" w:rsidR="007D647D" w:rsidRPr="00A41B49" w:rsidRDefault="007D647D" w:rsidP="00DA3BEB">
      <w:pPr>
        <w:pStyle w:val="ac"/>
        <w:jc w:val="both"/>
        <w:rPr>
          <w:rFonts w:ascii="Times New Roman" w:eastAsia="Times New Roman" w:hAnsi="Times New Roman" w:cs="Times New Roman"/>
          <w:sz w:val="28"/>
          <w:szCs w:val="28"/>
          <w:lang w:eastAsia="ru-RU"/>
        </w:rPr>
      </w:pPr>
      <w:r w:rsidRPr="00A41B49">
        <w:rPr>
          <w:rFonts w:ascii="Times New Roman" w:eastAsia="Times New Roman" w:hAnsi="Times New Roman" w:cs="Times New Roman"/>
          <w:sz w:val="28"/>
          <w:szCs w:val="28"/>
          <w:lang w:eastAsia="ru-RU"/>
        </w:rPr>
        <w:t xml:space="preserve">3. Вихідні дані до роботи: </w:t>
      </w:r>
      <w:r w:rsidRPr="00A41B49">
        <w:rPr>
          <w:rFonts w:ascii="Times New Roman" w:eastAsia="Times New Roman" w:hAnsi="Times New Roman" w:cs="Times New Roman"/>
          <w:sz w:val="28"/>
          <w:szCs w:val="28"/>
          <w:u w:val="single"/>
          <w:lang w:eastAsia="ru-RU"/>
        </w:rPr>
        <w:t xml:space="preserve">наукові статті, тези доповідей на наукові конференції, наукова література, офіційна статистика міжнародних </w:t>
      </w:r>
      <w:r w:rsidR="009C19F5" w:rsidRPr="00A41B49">
        <w:rPr>
          <w:rFonts w:ascii="Times New Roman" w:eastAsia="Times New Roman" w:hAnsi="Times New Roman" w:cs="Times New Roman"/>
          <w:sz w:val="28"/>
          <w:szCs w:val="28"/>
          <w:u w:val="single"/>
          <w:lang w:eastAsia="ru-RU"/>
        </w:rPr>
        <w:t>рейтингових агентств, Держа</w:t>
      </w:r>
      <w:r w:rsidR="00461EF9" w:rsidRPr="00A41B49">
        <w:rPr>
          <w:rFonts w:ascii="Times New Roman" w:eastAsia="Times New Roman" w:hAnsi="Times New Roman" w:cs="Times New Roman"/>
          <w:sz w:val="28"/>
          <w:szCs w:val="28"/>
          <w:u w:val="single"/>
          <w:lang w:eastAsia="ru-RU"/>
        </w:rPr>
        <w:t>вної служби статистики України</w:t>
      </w:r>
      <w:r w:rsidR="00DA3BEB" w:rsidRPr="00A41B49">
        <w:rPr>
          <w:rFonts w:ascii="Times New Roman" w:eastAsia="Times New Roman" w:hAnsi="Times New Roman" w:cs="Times New Roman"/>
          <w:sz w:val="28"/>
          <w:szCs w:val="28"/>
          <w:u w:val="single"/>
          <w:lang w:eastAsia="ru-RU"/>
        </w:rPr>
        <w:t xml:space="preserve">, </w:t>
      </w:r>
      <w:r w:rsidR="00DA3BEB" w:rsidRPr="00A41B49">
        <w:rPr>
          <w:rFonts w:ascii="Times New Roman" w:hAnsi="Times New Roman" w:cs="Times New Roman"/>
          <w:sz w:val="28"/>
          <w:szCs w:val="28"/>
          <w:u w:val="single"/>
        </w:rPr>
        <w:t>нормативно-правові акти, звіти з виконання програми економічного та соціального розвитку м. Кривого Рогу, показники бюджету Криворізької міської територіальної громади Дніпропетровської області  тощо.</w:t>
      </w:r>
    </w:p>
    <w:p w14:paraId="6051B6F5" w14:textId="77777777" w:rsidR="007D647D" w:rsidRPr="00A41B49" w:rsidRDefault="007D647D" w:rsidP="007D647D">
      <w:pPr>
        <w:spacing w:after="0" w:line="240" w:lineRule="auto"/>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4. Зміст (</w:t>
      </w:r>
      <w:r w:rsidRPr="00A41B49">
        <w:rPr>
          <w:rFonts w:ascii="Times New Roman" w:eastAsia="Times New Roman" w:hAnsi="Times New Roman" w:cs="Times New Roman"/>
          <w:sz w:val="24"/>
          <w:szCs w:val="24"/>
          <w:lang w:val="uk-UA" w:eastAsia="ru-RU"/>
        </w:rPr>
        <w:t>перелік питань, які потрібно розробити</w:t>
      </w:r>
      <w:r w:rsidRPr="00A41B49">
        <w:rPr>
          <w:rFonts w:ascii="Times New Roman" w:eastAsia="Times New Roman" w:hAnsi="Times New Roman" w:cs="Times New Roman"/>
          <w:sz w:val="28"/>
          <w:szCs w:val="28"/>
          <w:lang w:val="uk-UA" w:eastAsia="ru-RU"/>
        </w:rPr>
        <w:t>):</w:t>
      </w:r>
    </w:p>
    <w:p w14:paraId="39E4C878" w14:textId="77777777" w:rsidR="007D647D" w:rsidRPr="00A41B49" w:rsidRDefault="007D647D" w:rsidP="00BE2EA1">
      <w:pPr>
        <w:tabs>
          <w:tab w:val="left" w:pos="1584"/>
        </w:tabs>
        <w:spacing w:after="0" w:line="240" w:lineRule="auto"/>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Вступ</w:t>
      </w:r>
      <w:r w:rsidR="00BE2EA1" w:rsidRPr="00A41B49">
        <w:rPr>
          <w:rFonts w:ascii="Times New Roman" w:eastAsia="Times New Roman" w:hAnsi="Times New Roman" w:cs="Times New Roman"/>
          <w:sz w:val="28"/>
          <w:szCs w:val="28"/>
          <w:lang w:val="uk-UA" w:eastAsia="ru-RU"/>
        </w:rPr>
        <w:tab/>
      </w:r>
    </w:p>
    <w:p w14:paraId="18EB79EA" w14:textId="77777777" w:rsidR="002524A0" w:rsidRPr="00A41B49" w:rsidRDefault="002524A0" w:rsidP="002524A0">
      <w:pPr>
        <w:spacing w:after="0" w:line="240" w:lineRule="auto"/>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lastRenderedPageBreak/>
        <w:t>Розділ 1. Теоретико основи формування інвестиційної привабливості міста.</w:t>
      </w:r>
    </w:p>
    <w:p w14:paraId="1CB0C314" w14:textId="77777777" w:rsidR="002524A0" w:rsidRPr="00A41B49" w:rsidRDefault="002524A0" w:rsidP="002524A0">
      <w:pPr>
        <w:spacing w:after="0" w:line="240" w:lineRule="auto"/>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Розділ 2. Методичні основи дослідження інвестиційної привабливості міста.</w:t>
      </w:r>
    </w:p>
    <w:p w14:paraId="44388B2A" w14:textId="77777777" w:rsidR="002524A0" w:rsidRPr="00A41B49" w:rsidRDefault="002524A0" w:rsidP="002524A0">
      <w:pPr>
        <w:spacing w:after="0" w:line="240" w:lineRule="auto"/>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Розділ 3. Діагностика інвестиційної прива</w:t>
      </w:r>
      <w:r w:rsidR="00BE2EA1" w:rsidRPr="00A41B49">
        <w:rPr>
          <w:rFonts w:ascii="Times New Roman" w:eastAsia="Times New Roman" w:hAnsi="Times New Roman" w:cs="Times New Roman"/>
          <w:sz w:val="28"/>
          <w:szCs w:val="28"/>
          <w:lang w:val="uk-UA" w:eastAsia="ru-RU"/>
        </w:rPr>
        <w:t>бливості регіонів України та м. </w:t>
      </w:r>
      <w:r w:rsidRPr="00A41B49">
        <w:rPr>
          <w:rFonts w:ascii="Times New Roman" w:eastAsia="Times New Roman" w:hAnsi="Times New Roman" w:cs="Times New Roman"/>
          <w:sz w:val="28"/>
          <w:szCs w:val="28"/>
          <w:lang w:val="uk-UA" w:eastAsia="ru-RU"/>
        </w:rPr>
        <w:t xml:space="preserve">Кривий </w:t>
      </w:r>
      <w:r w:rsidR="00BE2EA1" w:rsidRPr="00A41B49">
        <w:rPr>
          <w:rFonts w:ascii="Times New Roman" w:eastAsia="Times New Roman" w:hAnsi="Times New Roman" w:cs="Times New Roman"/>
          <w:sz w:val="28"/>
          <w:szCs w:val="28"/>
          <w:lang w:val="uk-UA" w:eastAsia="ru-RU"/>
        </w:rPr>
        <w:t>Ріг</w:t>
      </w:r>
      <w:r w:rsidRPr="00A41B49">
        <w:rPr>
          <w:rFonts w:ascii="Times New Roman" w:eastAsia="Times New Roman" w:hAnsi="Times New Roman" w:cs="Times New Roman"/>
          <w:sz w:val="28"/>
          <w:szCs w:val="28"/>
          <w:lang w:val="uk-UA" w:eastAsia="ru-RU"/>
        </w:rPr>
        <w:t>.</w:t>
      </w:r>
    </w:p>
    <w:p w14:paraId="483FAD3D" w14:textId="77777777" w:rsidR="002524A0" w:rsidRPr="00A41B49" w:rsidRDefault="002524A0" w:rsidP="007D647D">
      <w:pPr>
        <w:spacing w:after="0" w:line="240" w:lineRule="auto"/>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Висновки та рекомендації.</w:t>
      </w:r>
    </w:p>
    <w:p w14:paraId="4DE5D4FA" w14:textId="77777777" w:rsidR="007D647D" w:rsidRPr="00A41B49" w:rsidRDefault="007D647D" w:rsidP="007D647D">
      <w:pPr>
        <w:spacing w:after="0" w:line="240" w:lineRule="auto"/>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Додатки</w:t>
      </w:r>
      <w:r w:rsidR="002524A0" w:rsidRPr="00A41B49">
        <w:rPr>
          <w:rFonts w:ascii="Times New Roman" w:eastAsia="Times New Roman" w:hAnsi="Times New Roman" w:cs="Times New Roman"/>
          <w:sz w:val="28"/>
          <w:szCs w:val="28"/>
          <w:lang w:val="uk-UA" w:eastAsia="ru-RU"/>
        </w:rPr>
        <w:t>.</w:t>
      </w:r>
    </w:p>
    <w:p w14:paraId="0528502B" w14:textId="77777777" w:rsidR="007D647D" w:rsidRPr="00A41B49" w:rsidRDefault="007D647D" w:rsidP="007D647D">
      <w:pPr>
        <w:spacing w:after="0" w:line="240" w:lineRule="auto"/>
        <w:jc w:val="both"/>
        <w:rPr>
          <w:rFonts w:ascii="Times New Roman" w:eastAsia="Times New Roman" w:hAnsi="Times New Roman" w:cs="Times New Roman"/>
          <w:sz w:val="28"/>
          <w:szCs w:val="28"/>
          <w:lang w:val="uk-UA" w:eastAsia="ru-RU"/>
        </w:rPr>
      </w:pPr>
    </w:p>
    <w:p w14:paraId="769830D3" w14:textId="77777777" w:rsidR="007D647D" w:rsidRPr="00A41B49" w:rsidRDefault="007D647D" w:rsidP="007D647D">
      <w:pPr>
        <w:spacing w:after="0" w:line="240" w:lineRule="auto"/>
        <w:jc w:val="both"/>
        <w:rPr>
          <w:rFonts w:ascii="Times New Roman" w:eastAsia="Calibri" w:hAnsi="Times New Roman" w:cs="Times New Roman"/>
          <w:sz w:val="24"/>
          <w:szCs w:val="24"/>
          <w:lang w:val="uk-UA"/>
        </w:rPr>
      </w:pPr>
      <w:r w:rsidRPr="00A41B49">
        <w:rPr>
          <w:rFonts w:ascii="Times New Roman" w:eastAsia="Times New Roman" w:hAnsi="Times New Roman" w:cs="Times New Roman"/>
          <w:sz w:val="28"/>
          <w:szCs w:val="28"/>
          <w:lang w:val="uk-UA" w:eastAsia="ru-RU"/>
        </w:rPr>
        <w:t xml:space="preserve">5. Перелік графічного матеріалу </w:t>
      </w:r>
      <w:r w:rsidRPr="00A41B49">
        <w:rPr>
          <w:rFonts w:ascii="Times New Roman" w:eastAsia="Calibri" w:hAnsi="Times New Roman" w:cs="Times New Roman"/>
          <w:sz w:val="28"/>
          <w:lang w:val="uk-UA"/>
        </w:rPr>
        <w:t>(</w:t>
      </w:r>
      <w:r w:rsidRPr="00A41B49">
        <w:rPr>
          <w:rFonts w:ascii="Times New Roman" w:eastAsia="Calibri" w:hAnsi="Times New Roman" w:cs="Times New Roman"/>
          <w:sz w:val="24"/>
          <w:szCs w:val="24"/>
          <w:lang w:val="uk-UA"/>
        </w:rPr>
        <w:t>з точним зазначенням обов’язкових креслень).</w:t>
      </w:r>
    </w:p>
    <w:p w14:paraId="4795F920" w14:textId="77777777" w:rsidR="007D647D" w:rsidRPr="00A41B49" w:rsidRDefault="007D647D" w:rsidP="007D647D">
      <w:pPr>
        <w:spacing w:after="0" w:line="240" w:lineRule="auto"/>
        <w:jc w:val="both"/>
        <w:rPr>
          <w:rFonts w:ascii="Times New Roman" w:eastAsia="Times New Roman" w:hAnsi="Times New Roman" w:cs="Times New Roman"/>
          <w:sz w:val="28"/>
          <w:szCs w:val="28"/>
          <w:lang w:val="uk-UA" w:eastAsia="ru-RU"/>
        </w:rPr>
      </w:pPr>
    </w:p>
    <w:p w14:paraId="5F831ECF" w14:textId="77777777" w:rsidR="007D647D" w:rsidRPr="00A41B49" w:rsidRDefault="007D647D" w:rsidP="007D647D">
      <w:pPr>
        <w:pBdr>
          <w:top w:val="single" w:sz="12" w:space="1" w:color="auto"/>
          <w:bottom w:val="single" w:sz="12" w:space="1" w:color="auto"/>
        </w:pBdr>
        <w:spacing w:after="0" w:line="240" w:lineRule="auto"/>
        <w:jc w:val="both"/>
        <w:rPr>
          <w:rFonts w:ascii="Times New Roman" w:eastAsia="Times New Roman" w:hAnsi="Times New Roman" w:cs="Times New Roman"/>
          <w:sz w:val="28"/>
          <w:szCs w:val="28"/>
          <w:lang w:val="uk-UA" w:eastAsia="ru-RU"/>
        </w:rPr>
      </w:pPr>
    </w:p>
    <w:p w14:paraId="4441D167" w14:textId="77777777" w:rsidR="007D647D" w:rsidRPr="00A41B49" w:rsidRDefault="007D647D" w:rsidP="007D647D">
      <w:pPr>
        <w:spacing w:after="0" w:line="240" w:lineRule="auto"/>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__________________________________________________________________</w:t>
      </w:r>
    </w:p>
    <w:p w14:paraId="2C0B2CF8" w14:textId="77777777" w:rsidR="007D647D" w:rsidRPr="00A41B49" w:rsidRDefault="007D647D" w:rsidP="007D647D">
      <w:pPr>
        <w:spacing w:after="0" w:line="240" w:lineRule="auto"/>
        <w:jc w:val="both"/>
        <w:rPr>
          <w:rFonts w:ascii="Times New Roman" w:eastAsia="Calibri" w:hAnsi="Times New Roman" w:cs="Times New Roman"/>
          <w:sz w:val="24"/>
          <w:szCs w:val="24"/>
          <w:lang w:val="uk-UA"/>
        </w:rPr>
      </w:pPr>
    </w:p>
    <w:p w14:paraId="43C8E3AF" w14:textId="77777777" w:rsidR="007D647D" w:rsidRPr="00A41B49" w:rsidRDefault="007D647D" w:rsidP="007D647D">
      <w:pPr>
        <w:spacing w:after="0" w:line="240" w:lineRule="auto"/>
        <w:jc w:val="both"/>
        <w:rPr>
          <w:rFonts w:ascii="Times New Roman" w:eastAsia="Times New Roman" w:hAnsi="Times New Roman" w:cs="Times New Roman"/>
          <w:sz w:val="28"/>
          <w:szCs w:val="28"/>
          <w:lang w:val="uk-UA" w:eastAsia="ru-RU"/>
        </w:rPr>
      </w:pPr>
      <w:r w:rsidRPr="00A41B49">
        <w:rPr>
          <w:rFonts w:ascii="Times New Roman" w:eastAsia="Calibri" w:hAnsi="Times New Roman" w:cs="Times New Roman"/>
          <w:sz w:val="24"/>
          <w:szCs w:val="24"/>
          <w:lang w:val="uk-UA"/>
        </w:rPr>
        <w:t>(За потреби зазначаються П.І. по Б. консультантів за розділами роботи</w:t>
      </w:r>
      <w:r w:rsidRPr="00A41B49">
        <w:rPr>
          <w:rFonts w:ascii="Times New Roman" w:eastAsia="Calibri" w:hAnsi="Times New Roman" w:cs="Times New Roman"/>
          <w:sz w:val="28"/>
          <w:lang w:val="uk-UA"/>
        </w:rPr>
        <w:t>)</w:t>
      </w:r>
    </w:p>
    <w:p w14:paraId="0CD39641" w14:textId="77777777" w:rsidR="007D647D" w:rsidRPr="00A41B49" w:rsidRDefault="007D647D" w:rsidP="007D647D">
      <w:pPr>
        <w:spacing w:after="0" w:line="240" w:lineRule="auto"/>
        <w:jc w:val="both"/>
        <w:rPr>
          <w:rFonts w:ascii="Times New Roman" w:eastAsia="Times New Roman" w:hAnsi="Times New Roman" w:cs="Times New Roman"/>
          <w:sz w:val="28"/>
          <w:szCs w:val="28"/>
          <w:lang w:val="uk-UA" w:eastAsia="ru-RU"/>
        </w:rPr>
      </w:pPr>
    </w:p>
    <w:p w14:paraId="2C3801BF" w14:textId="77777777" w:rsidR="007D647D" w:rsidRPr="00A41B49" w:rsidRDefault="007D647D" w:rsidP="007D647D">
      <w:pPr>
        <w:spacing w:after="0" w:line="240" w:lineRule="auto"/>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6. Дата видачі завдання: «______» _____________ 20____ р.</w:t>
      </w:r>
    </w:p>
    <w:p w14:paraId="7BA7D6D2" w14:textId="77777777" w:rsidR="007D647D" w:rsidRPr="00A41B49" w:rsidRDefault="007D647D" w:rsidP="007D647D">
      <w:pPr>
        <w:spacing w:after="0" w:line="240" w:lineRule="auto"/>
        <w:jc w:val="both"/>
        <w:rPr>
          <w:rFonts w:ascii="Times New Roman" w:eastAsia="Times New Roman" w:hAnsi="Times New Roman" w:cs="Times New Roman"/>
          <w:sz w:val="28"/>
          <w:szCs w:val="28"/>
          <w:lang w:val="uk-UA" w:eastAsia="ru-RU"/>
        </w:rPr>
      </w:pPr>
    </w:p>
    <w:p w14:paraId="70E93FB4" w14:textId="77777777" w:rsidR="007D647D" w:rsidRPr="00A41B49" w:rsidRDefault="007D647D" w:rsidP="007D647D">
      <w:pPr>
        <w:spacing w:after="0" w:line="240" w:lineRule="auto"/>
        <w:jc w:val="both"/>
        <w:rPr>
          <w:rFonts w:ascii="Times New Roman" w:eastAsia="Times New Roman" w:hAnsi="Times New Roman" w:cs="Times New Roman"/>
          <w:sz w:val="28"/>
          <w:szCs w:val="28"/>
          <w:u w:val="single"/>
          <w:lang w:val="uk-UA" w:eastAsia="ru-RU"/>
        </w:rPr>
      </w:pPr>
      <w:r w:rsidRPr="00A41B49">
        <w:rPr>
          <w:rFonts w:ascii="Times New Roman" w:eastAsia="Times New Roman" w:hAnsi="Times New Roman" w:cs="Times New Roman"/>
          <w:sz w:val="28"/>
          <w:szCs w:val="28"/>
          <w:lang w:val="uk-UA" w:eastAsia="ru-RU"/>
        </w:rPr>
        <w:t>7. Календарний план</w:t>
      </w:r>
    </w:p>
    <w:tbl>
      <w:tblPr>
        <w:tblW w:w="9528" w:type="dxa"/>
        <w:tblInd w:w="108" w:type="dxa"/>
        <w:tblLayout w:type="fixed"/>
        <w:tblLook w:val="04A0" w:firstRow="1" w:lastRow="0" w:firstColumn="1" w:lastColumn="0" w:noHBand="0" w:noVBand="1"/>
      </w:tblPr>
      <w:tblGrid>
        <w:gridCol w:w="567"/>
        <w:gridCol w:w="4708"/>
        <w:gridCol w:w="2552"/>
        <w:gridCol w:w="1701"/>
      </w:tblGrid>
      <w:tr w:rsidR="00A41B49" w:rsidRPr="00A41B49" w14:paraId="20BB763C" w14:textId="77777777" w:rsidTr="00A24020">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3DE1B0" w14:textId="77777777" w:rsidR="007D647D" w:rsidRPr="00A41B49" w:rsidRDefault="007D647D"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41B49">
              <w:rPr>
                <w:rFonts w:ascii="Times New Roman" w:eastAsia="Times New Roman" w:hAnsi="Times New Roman" w:cs="Times New Roman"/>
                <w:sz w:val="24"/>
                <w:szCs w:val="24"/>
                <w:lang w:val="uk-UA"/>
              </w:rPr>
              <w:t>№</w:t>
            </w:r>
          </w:p>
          <w:p w14:paraId="4407FC2C" w14:textId="77777777" w:rsidR="007D647D" w:rsidRPr="00A41B49" w:rsidRDefault="007D647D"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41B49">
              <w:rPr>
                <w:rFonts w:ascii="Times New Roman" w:eastAsia="Times New Roman" w:hAnsi="Times New Roman" w:cs="Times New Roman"/>
                <w:sz w:val="24"/>
                <w:szCs w:val="24"/>
                <w:lang w:val="uk-UA"/>
              </w:rPr>
              <w:t>з/п</w:t>
            </w:r>
          </w:p>
        </w:tc>
        <w:tc>
          <w:tcPr>
            <w:tcW w:w="4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61F8A8" w14:textId="77777777" w:rsidR="007D647D" w:rsidRPr="00A41B49" w:rsidRDefault="007D647D"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41B49">
              <w:rPr>
                <w:rFonts w:ascii="Times New Roman" w:eastAsia="Times New Roman" w:hAnsi="Times New Roman" w:cs="Times New Roman"/>
                <w:sz w:val="24"/>
                <w:szCs w:val="24"/>
                <w:lang w:val="uk-UA"/>
              </w:rPr>
              <w:t>Назва етапів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8D0240" w14:textId="77777777" w:rsidR="007D647D" w:rsidRPr="00A41B49" w:rsidRDefault="007D647D"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41B49">
              <w:rPr>
                <w:rFonts w:ascii="Times New Roman" w:eastAsia="Times New Roman" w:hAnsi="Times New Roman" w:cs="Times New Roman"/>
                <w:sz w:val="24"/>
                <w:szCs w:val="24"/>
                <w:lang w:val="uk-UA"/>
              </w:rPr>
              <w:t>Строк виконання етапів роботи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9C1417" w14:textId="77777777" w:rsidR="007D647D" w:rsidRPr="00A41B49" w:rsidRDefault="007D647D" w:rsidP="007D647D">
            <w:pPr>
              <w:keepNext/>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41B49">
              <w:rPr>
                <w:rFonts w:ascii="Times New Roman" w:eastAsia="Times New Roman" w:hAnsi="Times New Roman" w:cs="Times New Roman"/>
                <w:sz w:val="24"/>
                <w:szCs w:val="24"/>
                <w:lang w:val="uk-UA"/>
              </w:rPr>
              <w:t>Примітка</w:t>
            </w:r>
          </w:p>
        </w:tc>
      </w:tr>
      <w:tr w:rsidR="00A41B49" w:rsidRPr="00A41B49" w14:paraId="559AD13B" w14:textId="77777777" w:rsidTr="00A2402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39CA6"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41B49">
              <w:rPr>
                <w:rFonts w:ascii="Times New Roman" w:eastAsia="Times New Roman" w:hAnsi="Times New Roman" w:cs="Times New Roman"/>
                <w:sz w:val="24"/>
                <w:szCs w:val="24"/>
                <w:lang w:val="uk-UA"/>
              </w:rPr>
              <w:t>1</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4F8D5B04" w14:textId="77777777" w:rsidR="00A24020" w:rsidRPr="00A41B49" w:rsidRDefault="00A24020" w:rsidP="0034764D">
            <w:pPr>
              <w:spacing w:after="0" w:line="240" w:lineRule="auto"/>
              <w:jc w:val="both"/>
              <w:rPr>
                <w:rFonts w:ascii="Times New Roman" w:hAnsi="Times New Roman" w:cs="Times New Roman"/>
                <w:sz w:val="24"/>
                <w:szCs w:val="24"/>
                <w:bdr w:val="none" w:sz="0" w:space="0" w:color="auto" w:frame="1"/>
              </w:rPr>
            </w:pPr>
            <w:r w:rsidRPr="00A41B49">
              <w:rPr>
                <w:rFonts w:ascii="Times New Roman" w:hAnsi="Times New Roman" w:cs="Times New Roman"/>
                <w:sz w:val="24"/>
                <w:szCs w:val="24"/>
                <w:lang w:val="uk-UA"/>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98E5A" w14:textId="77777777" w:rsidR="00A24020" w:rsidRPr="00A41B49" w:rsidRDefault="00A24020" w:rsidP="0034764D">
            <w:pPr>
              <w:spacing w:after="0" w:line="240" w:lineRule="auto"/>
              <w:jc w:val="center"/>
              <w:rPr>
                <w:rFonts w:ascii="Times New Roman" w:hAnsi="Times New Roman" w:cs="Times New Roman"/>
                <w:sz w:val="24"/>
                <w:szCs w:val="24"/>
                <w:bdr w:val="none" w:sz="0" w:space="0" w:color="auto" w:frame="1"/>
              </w:rPr>
            </w:pPr>
            <w:r w:rsidRPr="00A41B49">
              <w:rPr>
                <w:rFonts w:ascii="Times New Roman" w:eastAsia="Times New Roman" w:hAnsi="Times New Roman" w:cs="Times New Roman"/>
                <w:sz w:val="24"/>
                <w:szCs w:val="24"/>
                <w:lang w:val="uk-UA"/>
              </w:rPr>
              <w:t>до 01.09.2023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7071419"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A41B49" w:rsidRPr="00A41B49" w14:paraId="4E0F0615" w14:textId="77777777" w:rsidTr="00A24020">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59AF95"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41B49">
              <w:rPr>
                <w:rFonts w:ascii="Times New Roman" w:eastAsia="Times New Roman" w:hAnsi="Times New Roman" w:cs="Times New Roman"/>
                <w:sz w:val="24"/>
                <w:szCs w:val="24"/>
                <w:lang w:val="uk-UA"/>
              </w:rPr>
              <w:t>2</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1EB1B73B" w14:textId="77777777" w:rsidR="00A24020" w:rsidRPr="00A41B49" w:rsidRDefault="00A24020" w:rsidP="0034764D">
            <w:pPr>
              <w:spacing w:after="0" w:line="240" w:lineRule="auto"/>
              <w:jc w:val="both"/>
              <w:rPr>
                <w:rFonts w:ascii="Times New Roman" w:hAnsi="Times New Roman" w:cs="Times New Roman"/>
                <w:sz w:val="24"/>
                <w:szCs w:val="24"/>
                <w:bdr w:val="none" w:sz="0" w:space="0" w:color="auto" w:frame="1"/>
              </w:rPr>
            </w:pPr>
            <w:r w:rsidRPr="00A41B49">
              <w:rPr>
                <w:rFonts w:ascii="Times New Roman" w:hAnsi="Times New Roman" w:cs="Times New Roman"/>
                <w:sz w:val="24"/>
                <w:szCs w:val="24"/>
                <w:lang w:val="uk-UA"/>
              </w:rPr>
              <w:t>Аналіз та узагальнення теоретичних розробок теми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F0C94" w14:textId="77777777" w:rsidR="00A24020" w:rsidRPr="00A41B49" w:rsidRDefault="00A24020" w:rsidP="0034764D">
            <w:pPr>
              <w:spacing w:after="0" w:line="240" w:lineRule="auto"/>
              <w:jc w:val="center"/>
              <w:rPr>
                <w:rFonts w:ascii="Times New Roman" w:hAnsi="Times New Roman" w:cs="Times New Roman"/>
                <w:sz w:val="24"/>
                <w:szCs w:val="24"/>
                <w:bdr w:val="none" w:sz="0" w:space="0" w:color="auto" w:frame="1"/>
              </w:rPr>
            </w:pPr>
            <w:r w:rsidRPr="00A41B49">
              <w:rPr>
                <w:rFonts w:ascii="Times New Roman" w:eastAsia="Times New Roman" w:hAnsi="Times New Roman" w:cs="Times New Roman"/>
                <w:sz w:val="24"/>
                <w:szCs w:val="24"/>
                <w:lang w:val="uk-UA"/>
              </w:rPr>
              <w:t>до 09.09.2023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C2261CE"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A41B49" w:rsidRPr="00A41B49" w14:paraId="02F35D6B" w14:textId="77777777" w:rsidTr="00A2402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1694359"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41B49">
              <w:rPr>
                <w:rFonts w:ascii="Times New Roman" w:eastAsia="Times New Roman" w:hAnsi="Times New Roman" w:cs="Times New Roman"/>
                <w:sz w:val="24"/>
                <w:szCs w:val="24"/>
                <w:lang w:val="uk-UA"/>
              </w:rPr>
              <w:t>3</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2E498081" w14:textId="77777777" w:rsidR="00A24020" w:rsidRPr="00A41B49" w:rsidRDefault="00A24020" w:rsidP="0034764D">
            <w:pPr>
              <w:spacing w:after="0" w:line="240" w:lineRule="auto"/>
              <w:jc w:val="both"/>
              <w:rPr>
                <w:rFonts w:ascii="Times New Roman" w:hAnsi="Times New Roman" w:cs="Times New Roman"/>
                <w:sz w:val="24"/>
                <w:szCs w:val="24"/>
                <w:bdr w:val="none" w:sz="0" w:space="0" w:color="auto" w:frame="1"/>
              </w:rPr>
            </w:pPr>
            <w:r w:rsidRPr="00A41B49">
              <w:rPr>
                <w:rFonts w:ascii="Times New Roman" w:hAnsi="Times New Roman" w:cs="Times New Roman"/>
                <w:sz w:val="24"/>
                <w:szCs w:val="24"/>
                <w:lang w:val="uk-UA"/>
              </w:rPr>
              <w:t>Опис методики дослідження предмету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3A02A" w14:textId="77777777" w:rsidR="00A24020" w:rsidRPr="00A41B49" w:rsidRDefault="00A24020" w:rsidP="0034764D">
            <w:pPr>
              <w:spacing w:after="0" w:line="240" w:lineRule="auto"/>
              <w:jc w:val="center"/>
              <w:rPr>
                <w:rFonts w:ascii="Times New Roman" w:hAnsi="Times New Roman" w:cs="Times New Roman"/>
                <w:sz w:val="24"/>
                <w:szCs w:val="24"/>
                <w:bdr w:val="none" w:sz="0" w:space="0" w:color="auto" w:frame="1"/>
              </w:rPr>
            </w:pPr>
            <w:r w:rsidRPr="00A41B49">
              <w:rPr>
                <w:rFonts w:ascii="Times New Roman" w:eastAsia="Times New Roman" w:hAnsi="Times New Roman" w:cs="Times New Roman"/>
                <w:sz w:val="24"/>
                <w:szCs w:val="24"/>
                <w:lang w:val="uk-UA"/>
              </w:rPr>
              <w:t>до 02.10.2023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5B45A27"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A41B49" w:rsidRPr="00A41B49" w14:paraId="2CC6FFAD" w14:textId="77777777" w:rsidTr="00A2402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537DC7"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41B49">
              <w:rPr>
                <w:rFonts w:ascii="Times New Roman" w:eastAsia="Times New Roman" w:hAnsi="Times New Roman" w:cs="Times New Roman"/>
                <w:sz w:val="24"/>
                <w:szCs w:val="24"/>
                <w:lang w:val="uk-UA"/>
              </w:rPr>
              <w:t>4</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170D2612" w14:textId="77777777" w:rsidR="00A24020" w:rsidRPr="00A41B49" w:rsidRDefault="00A24020" w:rsidP="0034764D">
            <w:pPr>
              <w:spacing w:after="0" w:line="240" w:lineRule="auto"/>
              <w:jc w:val="both"/>
              <w:rPr>
                <w:rFonts w:ascii="Times New Roman" w:hAnsi="Times New Roman" w:cs="Times New Roman"/>
                <w:sz w:val="24"/>
                <w:szCs w:val="24"/>
                <w:bdr w:val="none" w:sz="0" w:space="0" w:color="auto" w:frame="1"/>
              </w:rPr>
            </w:pPr>
            <w:r w:rsidRPr="00A41B49">
              <w:rPr>
                <w:rFonts w:ascii="Times New Roman" w:hAnsi="Times New Roman" w:cs="Times New Roman"/>
                <w:sz w:val="24"/>
                <w:szCs w:val="24"/>
                <w:lang w:val="uk-UA"/>
              </w:rPr>
              <w:t>Апробація методики аналізу предмету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A44CC" w14:textId="77777777" w:rsidR="00A24020" w:rsidRPr="00A41B49" w:rsidRDefault="00A24020" w:rsidP="0034764D">
            <w:pPr>
              <w:spacing w:after="0" w:line="240" w:lineRule="auto"/>
              <w:jc w:val="center"/>
              <w:rPr>
                <w:rFonts w:ascii="Times New Roman" w:hAnsi="Times New Roman" w:cs="Times New Roman"/>
                <w:sz w:val="24"/>
                <w:szCs w:val="24"/>
                <w:bdr w:val="none" w:sz="0" w:space="0" w:color="auto" w:frame="1"/>
              </w:rPr>
            </w:pPr>
            <w:r w:rsidRPr="00A41B49">
              <w:rPr>
                <w:rFonts w:ascii="Times New Roman" w:eastAsia="Times New Roman" w:hAnsi="Times New Roman" w:cs="Times New Roman"/>
                <w:sz w:val="24"/>
                <w:szCs w:val="24"/>
                <w:lang w:val="uk-UA"/>
              </w:rPr>
              <w:t>до 21.10.2023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3AE3227"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A41B49" w:rsidRPr="00A41B49" w14:paraId="04878253" w14:textId="77777777" w:rsidTr="00A2402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4B4CD6"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41B49">
              <w:rPr>
                <w:rFonts w:ascii="Times New Roman" w:eastAsia="Times New Roman" w:hAnsi="Times New Roman" w:cs="Times New Roman"/>
                <w:sz w:val="24"/>
                <w:szCs w:val="24"/>
                <w:lang w:val="uk-UA"/>
              </w:rPr>
              <w:t>5</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08CFA867" w14:textId="77777777" w:rsidR="00A24020" w:rsidRPr="00A41B49" w:rsidRDefault="00A24020" w:rsidP="0034764D">
            <w:pPr>
              <w:spacing w:after="0" w:line="240" w:lineRule="auto"/>
              <w:jc w:val="both"/>
              <w:rPr>
                <w:rFonts w:ascii="Times New Roman" w:hAnsi="Times New Roman" w:cs="Times New Roman"/>
                <w:sz w:val="24"/>
                <w:szCs w:val="24"/>
                <w:bdr w:val="none" w:sz="0" w:space="0" w:color="auto" w:frame="1"/>
              </w:rPr>
            </w:pPr>
            <w:r w:rsidRPr="00A41B49">
              <w:rPr>
                <w:rFonts w:ascii="Times New Roman" w:hAnsi="Times New Roman" w:cs="Times New Roman"/>
                <w:sz w:val="24"/>
                <w:szCs w:val="24"/>
                <w:lang w:val="uk-UA"/>
              </w:rPr>
              <w:t>Формування висновків та рекомендацій щодо розв’язання проблеми, встановлених в результаті аналізу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C3829" w14:textId="77777777" w:rsidR="00A24020" w:rsidRPr="00A41B49" w:rsidRDefault="00A24020" w:rsidP="0034764D">
            <w:pPr>
              <w:spacing w:after="0" w:line="240" w:lineRule="auto"/>
              <w:jc w:val="center"/>
              <w:rPr>
                <w:rFonts w:ascii="Times New Roman" w:hAnsi="Times New Roman" w:cs="Times New Roman"/>
                <w:sz w:val="24"/>
                <w:szCs w:val="24"/>
                <w:bdr w:val="none" w:sz="0" w:space="0" w:color="auto" w:frame="1"/>
              </w:rPr>
            </w:pPr>
            <w:r w:rsidRPr="00A41B49">
              <w:rPr>
                <w:rFonts w:ascii="Times New Roman" w:eastAsia="Times New Roman" w:hAnsi="Times New Roman" w:cs="Times New Roman"/>
                <w:sz w:val="24"/>
                <w:szCs w:val="24"/>
                <w:lang w:val="uk-UA"/>
              </w:rPr>
              <w:t>до 31.10.2023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5832DF9"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A41B49" w:rsidRPr="00A41B49" w14:paraId="6FB2EC94" w14:textId="77777777" w:rsidTr="00A2402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9F6DF6"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41B49">
              <w:rPr>
                <w:rFonts w:ascii="Times New Roman" w:eastAsia="Times New Roman" w:hAnsi="Times New Roman" w:cs="Times New Roman"/>
                <w:sz w:val="24"/>
                <w:szCs w:val="24"/>
                <w:lang w:val="uk-UA"/>
              </w:rPr>
              <w:t>6</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484A5EF8" w14:textId="77777777" w:rsidR="00A24020" w:rsidRPr="00A41B49" w:rsidRDefault="00A24020" w:rsidP="0034764D">
            <w:pPr>
              <w:spacing w:after="0" w:line="240" w:lineRule="auto"/>
              <w:jc w:val="both"/>
              <w:rPr>
                <w:rFonts w:ascii="Times New Roman" w:hAnsi="Times New Roman" w:cs="Times New Roman"/>
                <w:sz w:val="24"/>
                <w:szCs w:val="24"/>
                <w:bdr w:val="none" w:sz="0" w:space="0" w:color="auto" w:frame="1"/>
              </w:rPr>
            </w:pPr>
            <w:r w:rsidRPr="00A41B49">
              <w:rPr>
                <w:rFonts w:ascii="Times New Roman" w:hAnsi="Times New Roman" w:cs="Times New Roman"/>
                <w:sz w:val="24"/>
                <w:szCs w:val="24"/>
                <w:lang w:val="uk-UA"/>
              </w:rPr>
              <w:t xml:space="preserve">Оформлення та представлення роботи на кафедру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A1972" w14:textId="77777777" w:rsidR="00A24020" w:rsidRPr="00A41B49" w:rsidRDefault="00A24020" w:rsidP="0034764D">
            <w:pPr>
              <w:spacing w:after="0" w:line="240" w:lineRule="auto"/>
              <w:jc w:val="center"/>
              <w:rPr>
                <w:rFonts w:ascii="Times New Roman" w:hAnsi="Times New Roman" w:cs="Times New Roman"/>
                <w:sz w:val="24"/>
                <w:szCs w:val="24"/>
                <w:bdr w:val="none" w:sz="0" w:space="0" w:color="auto" w:frame="1"/>
              </w:rPr>
            </w:pPr>
            <w:r w:rsidRPr="00A41B49">
              <w:rPr>
                <w:rFonts w:ascii="Times New Roman" w:eastAsia="Times New Roman" w:hAnsi="Times New Roman" w:cs="Times New Roman"/>
                <w:sz w:val="24"/>
                <w:szCs w:val="24"/>
                <w:lang w:val="uk-UA"/>
              </w:rPr>
              <w:t>до 25.11.2023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21F23F3"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A41B49" w:rsidRPr="00A41B49" w14:paraId="255DC3EE" w14:textId="77777777" w:rsidTr="00A2402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2AD8A9"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41B49">
              <w:rPr>
                <w:rFonts w:ascii="Times New Roman" w:eastAsia="Times New Roman" w:hAnsi="Times New Roman" w:cs="Times New Roman"/>
                <w:sz w:val="24"/>
                <w:szCs w:val="24"/>
                <w:lang w:val="uk-UA"/>
              </w:rPr>
              <w:t>7</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0CC69EA5" w14:textId="77777777" w:rsidR="00A24020" w:rsidRPr="00A41B49" w:rsidRDefault="00A24020" w:rsidP="0034764D">
            <w:pPr>
              <w:spacing w:after="0" w:line="240" w:lineRule="auto"/>
              <w:jc w:val="both"/>
              <w:rPr>
                <w:rFonts w:ascii="Times New Roman" w:hAnsi="Times New Roman" w:cs="Times New Roman"/>
                <w:sz w:val="24"/>
                <w:szCs w:val="24"/>
                <w:bdr w:val="none" w:sz="0" w:space="0" w:color="auto" w:frame="1"/>
              </w:rPr>
            </w:pPr>
            <w:r w:rsidRPr="00A41B49">
              <w:rPr>
                <w:rFonts w:ascii="Times New Roman" w:hAnsi="Times New Roman" w:cs="Times New Roman"/>
                <w:sz w:val="24"/>
                <w:szCs w:val="24"/>
                <w:lang w:val="uk-UA"/>
              </w:rPr>
              <w:t>Попередній захист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0CBDA" w14:textId="77777777" w:rsidR="00A24020" w:rsidRPr="00A41B49" w:rsidRDefault="00A24020" w:rsidP="0034764D">
            <w:pPr>
              <w:spacing w:after="0" w:line="240" w:lineRule="auto"/>
              <w:jc w:val="center"/>
              <w:rPr>
                <w:rFonts w:ascii="Times New Roman" w:hAnsi="Times New Roman" w:cs="Times New Roman"/>
                <w:sz w:val="24"/>
                <w:szCs w:val="24"/>
                <w:bdr w:val="none" w:sz="0" w:space="0" w:color="auto" w:frame="1"/>
              </w:rPr>
            </w:pPr>
            <w:r w:rsidRPr="00A41B49">
              <w:rPr>
                <w:rFonts w:ascii="Times New Roman" w:eastAsia="Times New Roman" w:hAnsi="Times New Roman" w:cs="Times New Roman"/>
                <w:sz w:val="24"/>
                <w:szCs w:val="24"/>
                <w:lang w:val="uk-UA"/>
              </w:rPr>
              <w:t>до 27.11.2023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1592E9C"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A41B49" w:rsidRPr="00A41B49" w14:paraId="685050F3" w14:textId="77777777" w:rsidTr="00A2402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325037"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41B49">
              <w:rPr>
                <w:rFonts w:ascii="Times New Roman" w:eastAsia="Times New Roman" w:hAnsi="Times New Roman" w:cs="Times New Roman"/>
                <w:sz w:val="24"/>
                <w:szCs w:val="24"/>
                <w:lang w:val="uk-UA"/>
              </w:rPr>
              <w:t>8</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3A3BFDC9" w14:textId="77777777" w:rsidR="00A24020" w:rsidRPr="00A41B49" w:rsidRDefault="00A24020" w:rsidP="0034764D">
            <w:pPr>
              <w:spacing w:after="0" w:line="240" w:lineRule="auto"/>
              <w:jc w:val="both"/>
              <w:rPr>
                <w:rFonts w:ascii="Times New Roman" w:hAnsi="Times New Roman" w:cs="Times New Roman"/>
                <w:sz w:val="24"/>
                <w:szCs w:val="24"/>
                <w:bdr w:val="none" w:sz="0" w:space="0" w:color="auto" w:frame="1"/>
              </w:rPr>
            </w:pPr>
            <w:r w:rsidRPr="00A41B49">
              <w:rPr>
                <w:rFonts w:ascii="Times New Roman" w:hAnsi="Times New Roman" w:cs="Times New Roman"/>
                <w:sz w:val="24"/>
                <w:szCs w:val="24"/>
                <w:lang w:val="uk-UA"/>
              </w:rPr>
              <w:t>Перевірка кваліфікаційної роботи на унікальність тексту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3DD84" w14:textId="77777777" w:rsidR="00A24020" w:rsidRPr="00A41B49" w:rsidRDefault="00A24020" w:rsidP="0034764D">
            <w:pPr>
              <w:spacing w:after="0" w:line="240" w:lineRule="auto"/>
              <w:jc w:val="center"/>
              <w:rPr>
                <w:rFonts w:ascii="Times New Roman" w:hAnsi="Times New Roman" w:cs="Times New Roman"/>
                <w:sz w:val="24"/>
                <w:szCs w:val="24"/>
                <w:bdr w:val="none" w:sz="0" w:space="0" w:color="auto" w:frame="1"/>
              </w:rPr>
            </w:pPr>
            <w:r w:rsidRPr="00A41B49">
              <w:rPr>
                <w:rFonts w:ascii="Times New Roman" w:eastAsia="Times New Roman" w:hAnsi="Times New Roman" w:cs="Times New Roman"/>
                <w:sz w:val="24"/>
                <w:szCs w:val="24"/>
                <w:lang w:val="uk-UA"/>
              </w:rPr>
              <w:t>до 28.11.2023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FD5CE19"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A41B49" w:rsidRPr="00A41B49" w14:paraId="202DD4CE" w14:textId="77777777" w:rsidTr="00A2402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E5922"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41B49">
              <w:rPr>
                <w:rFonts w:ascii="Times New Roman" w:eastAsia="Times New Roman" w:hAnsi="Times New Roman" w:cs="Times New Roman"/>
                <w:sz w:val="24"/>
                <w:szCs w:val="24"/>
                <w:lang w:val="uk-UA"/>
              </w:rPr>
              <w:t>9</w:t>
            </w:r>
          </w:p>
        </w:tc>
        <w:tc>
          <w:tcPr>
            <w:tcW w:w="4708" w:type="dxa"/>
            <w:tcBorders>
              <w:top w:val="single" w:sz="4" w:space="0" w:color="000000"/>
              <w:left w:val="single" w:sz="4" w:space="0" w:color="000000"/>
              <w:bottom w:val="single" w:sz="4" w:space="0" w:color="000000"/>
              <w:right w:val="single" w:sz="4" w:space="0" w:color="000000"/>
            </w:tcBorders>
            <w:shd w:val="clear" w:color="auto" w:fill="FFFFFF"/>
          </w:tcPr>
          <w:p w14:paraId="2EEE6BE8" w14:textId="77777777" w:rsidR="00A24020" w:rsidRPr="00A41B49" w:rsidRDefault="00A24020" w:rsidP="0034764D">
            <w:pPr>
              <w:spacing w:after="0" w:line="240" w:lineRule="auto"/>
              <w:jc w:val="both"/>
              <w:rPr>
                <w:rFonts w:ascii="Times New Roman" w:hAnsi="Times New Roman" w:cs="Times New Roman"/>
                <w:sz w:val="24"/>
                <w:szCs w:val="24"/>
                <w:bdr w:val="none" w:sz="0" w:space="0" w:color="auto" w:frame="1"/>
              </w:rPr>
            </w:pPr>
            <w:r w:rsidRPr="00A41B49">
              <w:rPr>
                <w:rFonts w:ascii="Times New Roman" w:hAnsi="Times New Roman" w:cs="Times New Roman"/>
                <w:sz w:val="24"/>
                <w:szCs w:val="24"/>
                <w:lang w:val="uk-UA"/>
              </w:rPr>
              <w:t xml:space="preserve">Оформлення презентаційних матеріалів, проходження нормоконтролю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E752E" w14:textId="77777777" w:rsidR="00A24020" w:rsidRPr="00A41B49" w:rsidRDefault="00A24020" w:rsidP="0034764D">
            <w:pPr>
              <w:spacing w:after="0" w:line="240" w:lineRule="auto"/>
              <w:jc w:val="center"/>
              <w:rPr>
                <w:rFonts w:ascii="Times New Roman" w:hAnsi="Times New Roman" w:cs="Times New Roman"/>
                <w:sz w:val="24"/>
                <w:szCs w:val="24"/>
                <w:bdr w:val="none" w:sz="0" w:space="0" w:color="auto" w:frame="1"/>
              </w:rPr>
            </w:pPr>
            <w:r w:rsidRPr="00A41B49">
              <w:rPr>
                <w:rFonts w:ascii="Times New Roman" w:eastAsia="Times New Roman" w:hAnsi="Times New Roman" w:cs="Times New Roman"/>
                <w:sz w:val="24"/>
                <w:szCs w:val="24"/>
                <w:lang w:val="uk-UA"/>
              </w:rPr>
              <w:t>до 04.12.2023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ED22DA4"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r w:rsidR="00A41B49" w:rsidRPr="00A41B49" w14:paraId="19DF681A" w14:textId="77777777" w:rsidTr="00A24020">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9AFB7"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A41B49">
              <w:rPr>
                <w:rFonts w:ascii="Times New Roman" w:eastAsia="Times New Roman" w:hAnsi="Times New Roman" w:cs="Times New Roman"/>
                <w:sz w:val="24"/>
                <w:szCs w:val="24"/>
                <w:lang w:val="uk-UA"/>
              </w:rPr>
              <w:t>10</w:t>
            </w:r>
          </w:p>
        </w:tc>
        <w:tc>
          <w:tcPr>
            <w:tcW w:w="4708" w:type="dxa"/>
            <w:tcBorders>
              <w:top w:val="single" w:sz="4" w:space="0" w:color="000000"/>
              <w:left w:val="single" w:sz="4" w:space="0" w:color="000000"/>
              <w:bottom w:val="single" w:sz="4" w:space="0" w:color="000000"/>
              <w:right w:val="single" w:sz="4" w:space="0" w:color="000000"/>
            </w:tcBorders>
            <w:shd w:val="clear" w:color="auto" w:fill="FFFFFF"/>
          </w:tcPr>
          <w:p w14:paraId="3AE6C0E5" w14:textId="77777777" w:rsidR="00A24020" w:rsidRPr="00A41B49" w:rsidRDefault="00A24020" w:rsidP="0034764D">
            <w:pPr>
              <w:spacing w:after="0" w:line="240" w:lineRule="auto"/>
              <w:jc w:val="both"/>
              <w:rPr>
                <w:rFonts w:ascii="Times New Roman" w:hAnsi="Times New Roman" w:cs="Times New Roman"/>
                <w:sz w:val="24"/>
                <w:szCs w:val="24"/>
                <w:bdr w:val="none" w:sz="0" w:space="0" w:color="auto" w:frame="1"/>
              </w:rPr>
            </w:pPr>
            <w:r w:rsidRPr="00A41B49">
              <w:rPr>
                <w:rFonts w:ascii="Times New Roman" w:hAnsi="Times New Roman" w:cs="Times New Roman"/>
                <w:sz w:val="24"/>
                <w:szCs w:val="24"/>
                <w:lang w:val="uk-UA"/>
              </w:rPr>
              <w:t>Захист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2DA9F" w14:textId="77777777" w:rsidR="00A24020" w:rsidRPr="00A41B49" w:rsidRDefault="00A24020" w:rsidP="0034764D">
            <w:pPr>
              <w:spacing w:after="0" w:line="240" w:lineRule="auto"/>
              <w:jc w:val="center"/>
              <w:rPr>
                <w:rFonts w:ascii="Times New Roman" w:hAnsi="Times New Roman" w:cs="Times New Roman"/>
                <w:sz w:val="24"/>
                <w:szCs w:val="24"/>
                <w:bdr w:val="none" w:sz="0" w:space="0" w:color="auto" w:frame="1"/>
              </w:rPr>
            </w:pPr>
            <w:r w:rsidRPr="00A41B49">
              <w:rPr>
                <w:rFonts w:ascii="Times New Roman" w:eastAsia="Times New Roman" w:hAnsi="Times New Roman" w:cs="Times New Roman"/>
                <w:sz w:val="24"/>
                <w:szCs w:val="24"/>
                <w:lang w:val="uk-UA"/>
              </w:rPr>
              <w:t>09. 12.2023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409DFE6" w14:textId="77777777" w:rsidR="00A24020" w:rsidRPr="00A41B49" w:rsidRDefault="00A24020" w:rsidP="007D647D">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r>
    </w:tbl>
    <w:p w14:paraId="2AA9765A" w14:textId="77777777" w:rsidR="007D647D" w:rsidRPr="00A41B49" w:rsidRDefault="007D647D" w:rsidP="007D647D">
      <w:pPr>
        <w:autoSpaceDE w:val="0"/>
        <w:autoSpaceDN w:val="0"/>
        <w:adjustRightInd w:val="0"/>
        <w:spacing w:after="0" w:line="240" w:lineRule="auto"/>
        <w:jc w:val="both"/>
        <w:rPr>
          <w:rFonts w:ascii="Times New Roman" w:eastAsia="Times New Roman" w:hAnsi="Times New Roman" w:cs="Times New Roman"/>
          <w:b/>
          <w:bCs/>
          <w:sz w:val="28"/>
          <w:szCs w:val="28"/>
          <w:lang w:val="uk-UA" w:eastAsia="ru-RU"/>
        </w:rPr>
      </w:pPr>
    </w:p>
    <w:p w14:paraId="422E2A6B" w14:textId="77777777" w:rsidR="007D647D" w:rsidRPr="00A41B49" w:rsidRDefault="007D647D" w:rsidP="007D647D">
      <w:pPr>
        <w:autoSpaceDE w:val="0"/>
        <w:autoSpaceDN w:val="0"/>
        <w:adjustRightInd w:val="0"/>
        <w:spacing w:after="0" w:line="240" w:lineRule="auto"/>
        <w:jc w:val="right"/>
        <w:rPr>
          <w:rFonts w:ascii="Times New Roman" w:eastAsia="Times New Roman" w:hAnsi="Times New Roman" w:cs="Times New Roman"/>
          <w:b/>
          <w:bCs/>
          <w:sz w:val="28"/>
          <w:szCs w:val="28"/>
          <w:lang w:val="uk-UA" w:eastAsia="ru-RU"/>
        </w:rPr>
      </w:pPr>
    </w:p>
    <w:p w14:paraId="001E2EE8" w14:textId="77777777" w:rsidR="007D647D" w:rsidRPr="00A41B49" w:rsidRDefault="007D647D" w:rsidP="007D647D">
      <w:pPr>
        <w:spacing w:after="0" w:line="240" w:lineRule="auto"/>
        <w:ind w:left="1452"/>
        <w:jc w:val="right"/>
        <w:rPr>
          <w:rFonts w:ascii="Times New Roman" w:eastAsia="Times New Roman" w:hAnsi="Times New Roman" w:cs="Times New Roman"/>
          <w:bCs/>
          <w:sz w:val="28"/>
          <w:szCs w:val="28"/>
          <w:lang w:val="uk-UA" w:eastAsia="ru-RU"/>
        </w:rPr>
      </w:pPr>
      <w:r w:rsidRPr="00A41B49">
        <w:rPr>
          <w:rFonts w:ascii="Times New Roman" w:eastAsia="Times New Roman" w:hAnsi="Times New Roman" w:cs="Times New Roman"/>
          <w:bCs/>
          <w:sz w:val="28"/>
          <w:szCs w:val="28"/>
          <w:lang w:val="uk-UA" w:eastAsia="ru-RU"/>
        </w:rPr>
        <w:t>Здобувач ВО</w:t>
      </w:r>
      <w:r w:rsidRPr="00A41B49">
        <w:rPr>
          <w:rFonts w:ascii="Times New Roman" w:eastAsia="Times New Roman" w:hAnsi="Times New Roman" w:cs="Times New Roman"/>
          <w:bCs/>
          <w:sz w:val="24"/>
          <w:szCs w:val="24"/>
          <w:lang w:val="uk-UA" w:eastAsia="ru-RU"/>
        </w:rPr>
        <w:t xml:space="preserve">   ____________________________</w:t>
      </w:r>
      <w:r w:rsidRPr="00A41B49">
        <w:rPr>
          <w:rFonts w:ascii="Times New Roman" w:eastAsia="Times New Roman" w:hAnsi="Times New Roman" w:cs="Times New Roman"/>
          <w:bCs/>
          <w:sz w:val="28"/>
          <w:szCs w:val="28"/>
          <w:lang w:val="uk-UA" w:eastAsia="ru-RU"/>
        </w:rPr>
        <w:t xml:space="preserve">  </w:t>
      </w:r>
      <w:r w:rsidR="00461EF9" w:rsidRPr="00A41B49">
        <w:rPr>
          <w:rFonts w:ascii="Times New Roman" w:eastAsia="Calibri" w:hAnsi="Times New Roman" w:cs="Times New Roman"/>
          <w:sz w:val="28"/>
          <w:szCs w:val="28"/>
          <w:lang w:val="uk-UA"/>
        </w:rPr>
        <w:t>Гришечко А.І.</w:t>
      </w:r>
    </w:p>
    <w:p w14:paraId="20FA1A34" w14:textId="77777777" w:rsidR="007D647D" w:rsidRPr="00A41B49" w:rsidRDefault="007D647D" w:rsidP="007D647D">
      <w:pPr>
        <w:autoSpaceDE w:val="0"/>
        <w:autoSpaceDN w:val="0"/>
        <w:adjustRightInd w:val="0"/>
        <w:spacing w:after="0" w:line="240" w:lineRule="auto"/>
        <w:jc w:val="center"/>
        <w:rPr>
          <w:rFonts w:ascii="Times New Roman" w:eastAsia="Times New Roman" w:hAnsi="Times New Roman" w:cs="Times New Roman"/>
          <w:bCs/>
          <w:sz w:val="28"/>
          <w:szCs w:val="28"/>
          <w:lang w:val="uk-UA" w:eastAsia="ru-RU"/>
        </w:rPr>
      </w:pPr>
      <w:r w:rsidRPr="00A41B49">
        <w:rPr>
          <w:rFonts w:ascii="Times New Roman" w:eastAsia="Calibri" w:hAnsi="Times New Roman" w:cs="Times New Roman"/>
          <w:bCs/>
          <w:szCs w:val="24"/>
          <w:vertAlign w:val="superscript"/>
          <w:lang w:val="uk-UA"/>
        </w:rPr>
        <w:t xml:space="preserve">                                                                   ( підпис )</w:t>
      </w:r>
    </w:p>
    <w:p w14:paraId="35CBFEE8" w14:textId="77777777" w:rsidR="007D647D" w:rsidRPr="00A41B49" w:rsidRDefault="007D647D" w:rsidP="007D647D">
      <w:pPr>
        <w:autoSpaceDE w:val="0"/>
        <w:autoSpaceDN w:val="0"/>
        <w:adjustRightInd w:val="0"/>
        <w:spacing w:after="0" w:line="240" w:lineRule="auto"/>
        <w:rPr>
          <w:rFonts w:ascii="Times New Roman" w:eastAsia="Times New Roman" w:hAnsi="Times New Roman" w:cs="Times New Roman"/>
          <w:bCs/>
          <w:sz w:val="28"/>
          <w:szCs w:val="28"/>
          <w:lang w:val="uk-UA" w:eastAsia="ru-RU"/>
        </w:rPr>
      </w:pPr>
    </w:p>
    <w:p w14:paraId="6DFECD1D" w14:textId="77777777" w:rsidR="007D647D" w:rsidRPr="00A41B49" w:rsidRDefault="007D647D" w:rsidP="007D647D">
      <w:pPr>
        <w:autoSpaceDE w:val="0"/>
        <w:autoSpaceDN w:val="0"/>
        <w:adjustRightInd w:val="0"/>
        <w:spacing w:after="0" w:line="240" w:lineRule="auto"/>
        <w:jc w:val="right"/>
        <w:rPr>
          <w:rFonts w:ascii="Times New Roman" w:eastAsia="Times New Roman" w:hAnsi="Times New Roman" w:cs="Times New Roman"/>
          <w:bCs/>
          <w:sz w:val="28"/>
          <w:szCs w:val="28"/>
          <w:lang w:val="uk-UA" w:eastAsia="ru-RU"/>
        </w:rPr>
      </w:pPr>
      <w:r w:rsidRPr="00A41B49">
        <w:rPr>
          <w:rFonts w:ascii="Times New Roman" w:eastAsia="Times New Roman" w:hAnsi="Times New Roman" w:cs="Times New Roman"/>
          <w:bCs/>
          <w:sz w:val="28"/>
          <w:szCs w:val="28"/>
          <w:lang w:val="uk-UA" w:eastAsia="ru-RU"/>
        </w:rPr>
        <w:t xml:space="preserve">Керівник роботи </w:t>
      </w:r>
      <w:r w:rsidRPr="00A41B49">
        <w:rPr>
          <w:rFonts w:ascii="Times New Roman" w:eastAsia="Times New Roman" w:hAnsi="Times New Roman" w:cs="Times New Roman"/>
          <w:bCs/>
          <w:sz w:val="24"/>
          <w:szCs w:val="24"/>
          <w:lang w:val="uk-UA" w:eastAsia="ru-RU"/>
        </w:rPr>
        <w:t xml:space="preserve">_________________________ </w:t>
      </w:r>
      <w:r w:rsidR="00461EF9" w:rsidRPr="00A41B49">
        <w:rPr>
          <w:rFonts w:ascii="Times New Roman" w:eastAsia="Times New Roman" w:hAnsi="Times New Roman" w:cs="Times New Roman"/>
          <w:bCs/>
          <w:sz w:val="28"/>
          <w:szCs w:val="28"/>
          <w:lang w:val="uk-UA" w:eastAsia="ru-RU"/>
        </w:rPr>
        <w:t>Нєізвєстна О.В.</w:t>
      </w:r>
    </w:p>
    <w:p w14:paraId="630FD2A3" w14:textId="77777777" w:rsidR="007D647D" w:rsidRPr="00A41B49" w:rsidRDefault="007D647D" w:rsidP="007D647D">
      <w:pPr>
        <w:autoSpaceDE w:val="0"/>
        <w:autoSpaceDN w:val="0"/>
        <w:adjustRightInd w:val="0"/>
        <w:spacing w:after="0" w:line="240" w:lineRule="auto"/>
        <w:jc w:val="center"/>
        <w:rPr>
          <w:rFonts w:ascii="Times New Roman" w:eastAsia="Calibri" w:hAnsi="Times New Roman" w:cs="Times New Roman"/>
          <w:b/>
          <w:sz w:val="28"/>
          <w:szCs w:val="28"/>
          <w:lang w:val="uk-UA"/>
        </w:rPr>
      </w:pPr>
      <w:r w:rsidRPr="00A41B49">
        <w:rPr>
          <w:rFonts w:ascii="Times New Roman" w:eastAsia="Calibri" w:hAnsi="Times New Roman" w:cs="Times New Roman"/>
          <w:bCs/>
          <w:szCs w:val="24"/>
          <w:vertAlign w:val="superscript"/>
          <w:lang w:val="uk-UA"/>
        </w:rPr>
        <w:t xml:space="preserve">                                                                         ( підпис )</w:t>
      </w:r>
    </w:p>
    <w:p w14:paraId="71108FDA" w14:textId="77777777" w:rsidR="007D647D" w:rsidRPr="00A41B49" w:rsidRDefault="007D647D" w:rsidP="00181591">
      <w:pPr>
        <w:keepNext/>
        <w:spacing w:after="0" w:line="240" w:lineRule="auto"/>
        <w:jc w:val="center"/>
        <w:outlineLvl w:val="3"/>
        <w:rPr>
          <w:rFonts w:ascii="Times New Roman" w:eastAsia="Calibri" w:hAnsi="Times New Roman" w:cs="Times New Roman"/>
          <w:b/>
          <w:spacing w:val="-6"/>
          <w:sz w:val="28"/>
          <w:szCs w:val="28"/>
          <w:lang w:val="uk-UA"/>
        </w:rPr>
      </w:pPr>
      <w:r w:rsidRPr="00A41B49">
        <w:rPr>
          <w:rFonts w:ascii="Times New Roman" w:eastAsia="Calibri" w:hAnsi="Times New Roman" w:cs="Times New Roman"/>
          <w:b/>
          <w:sz w:val="28"/>
          <w:szCs w:val="28"/>
          <w:lang w:val="uk-UA"/>
        </w:rPr>
        <w:br w:type="page"/>
      </w:r>
      <w:r w:rsidRPr="00A41B49">
        <w:rPr>
          <w:rFonts w:ascii="Times New Roman" w:eastAsia="Calibri" w:hAnsi="Times New Roman" w:cs="Times New Roman"/>
          <w:b/>
          <w:spacing w:val="-6"/>
          <w:sz w:val="28"/>
          <w:szCs w:val="28"/>
          <w:lang w:val="uk-UA"/>
        </w:rPr>
        <w:lastRenderedPageBreak/>
        <w:t>РЕФЕРАТ</w:t>
      </w:r>
    </w:p>
    <w:p w14:paraId="236B99D4" w14:textId="77777777" w:rsidR="00A24020" w:rsidRPr="00A41B49" w:rsidRDefault="00A24020" w:rsidP="00A24020">
      <w:pPr>
        <w:tabs>
          <w:tab w:val="center" w:pos="4819"/>
          <w:tab w:val="left" w:pos="8745"/>
        </w:tabs>
        <w:spacing w:after="0" w:line="240" w:lineRule="auto"/>
        <w:jc w:val="center"/>
        <w:rPr>
          <w:rFonts w:ascii="Times New Roman" w:eastAsia="Times New Roman" w:hAnsi="Times New Roman" w:cs="Times New Roman"/>
          <w:b/>
          <w:bCs/>
          <w:sz w:val="28"/>
          <w:szCs w:val="28"/>
          <w:lang w:val="uk-UA"/>
        </w:rPr>
      </w:pPr>
    </w:p>
    <w:p w14:paraId="71F928C3" w14:textId="77777777" w:rsidR="00A24020" w:rsidRPr="00A41B49" w:rsidRDefault="00A24020" w:rsidP="00BE2EA1">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Кваліфікаційна робота виконана на </w:t>
      </w:r>
      <w:r w:rsidR="002524A0" w:rsidRPr="00A41B49">
        <w:rPr>
          <w:rFonts w:ascii="Times New Roman" w:hAnsi="Times New Roman" w:cs="Times New Roman"/>
          <w:sz w:val="28"/>
          <w:szCs w:val="28"/>
          <w:lang w:val="uk-UA"/>
        </w:rPr>
        <w:t>60</w:t>
      </w:r>
      <w:r w:rsidRPr="00A41B49">
        <w:rPr>
          <w:rFonts w:ascii="Times New Roman" w:hAnsi="Times New Roman" w:cs="Times New Roman"/>
          <w:bCs/>
          <w:sz w:val="28"/>
          <w:szCs w:val="28"/>
          <w:lang w:val="uk-UA"/>
        </w:rPr>
        <w:t xml:space="preserve"> сторінках</w:t>
      </w:r>
      <w:r w:rsidRPr="00A41B49">
        <w:rPr>
          <w:rFonts w:ascii="Times New Roman" w:hAnsi="Times New Roman" w:cs="Times New Roman"/>
          <w:sz w:val="28"/>
          <w:szCs w:val="28"/>
          <w:lang w:val="uk-UA"/>
        </w:rPr>
        <w:t xml:space="preserve">, містить  10 таблиць, 5 рисунків, 1 додаток, </w:t>
      </w:r>
      <w:r w:rsidR="003A52BF" w:rsidRPr="00A41B49">
        <w:rPr>
          <w:rFonts w:ascii="Times New Roman" w:hAnsi="Times New Roman" w:cs="Times New Roman"/>
          <w:sz w:val="28"/>
          <w:szCs w:val="28"/>
          <w:lang w:val="uk-UA"/>
        </w:rPr>
        <w:t>3</w:t>
      </w:r>
      <w:r w:rsidR="002524A0" w:rsidRPr="00A41B49">
        <w:rPr>
          <w:rFonts w:ascii="Times New Roman" w:hAnsi="Times New Roman" w:cs="Times New Roman"/>
          <w:sz w:val="28"/>
          <w:szCs w:val="28"/>
          <w:lang w:val="uk-UA"/>
        </w:rPr>
        <w:t xml:space="preserve">9 </w:t>
      </w:r>
      <w:r w:rsidRPr="00A41B49">
        <w:rPr>
          <w:rFonts w:ascii="Times New Roman" w:hAnsi="Times New Roman" w:cs="Times New Roman"/>
          <w:sz w:val="28"/>
          <w:szCs w:val="28"/>
          <w:lang w:val="uk-UA"/>
        </w:rPr>
        <w:t>використаних джерел.</w:t>
      </w:r>
    </w:p>
    <w:p w14:paraId="7E9DBD5E" w14:textId="77777777" w:rsidR="003A52BF" w:rsidRPr="00A41B49" w:rsidRDefault="003A52BF" w:rsidP="00A24020">
      <w:pPr>
        <w:spacing w:after="0" w:line="240" w:lineRule="auto"/>
        <w:ind w:firstLine="709"/>
        <w:rPr>
          <w:rFonts w:ascii="Times New Roman" w:hAnsi="Times New Roman" w:cs="Times New Roman"/>
          <w:sz w:val="28"/>
          <w:szCs w:val="28"/>
          <w:lang w:val="uk-UA"/>
        </w:rPr>
      </w:pPr>
    </w:p>
    <w:tbl>
      <w:tblPr>
        <w:tblW w:w="9744" w:type="dxa"/>
        <w:tblLayout w:type="fixed"/>
        <w:tblLook w:val="04A0" w:firstRow="1" w:lastRow="0" w:firstColumn="1" w:lastColumn="0" w:noHBand="0" w:noVBand="1"/>
      </w:tblPr>
      <w:tblGrid>
        <w:gridCol w:w="2942"/>
        <w:gridCol w:w="6802"/>
      </w:tblGrid>
      <w:tr w:rsidR="00A41B49" w:rsidRPr="00A41B49" w14:paraId="6917F287" w14:textId="77777777" w:rsidTr="00084CB9">
        <w:tc>
          <w:tcPr>
            <w:tcW w:w="2942" w:type="dxa"/>
            <w:shd w:val="clear" w:color="auto" w:fill="auto"/>
            <w:hideMark/>
          </w:tcPr>
          <w:p w14:paraId="0476BB29" w14:textId="77777777" w:rsidR="007D647D" w:rsidRPr="00A41B49" w:rsidRDefault="007D647D" w:rsidP="00181591">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Об’єкт дослідження:</w:t>
            </w:r>
          </w:p>
        </w:tc>
        <w:tc>
          <w:tcPr>
            <w:tcW w:w="6802" w:type="dxa"/>
            <w:shd w:val="clear" w:color="auto" w:fill="auto"/>
            <w:hideMark/>
          </w:tcPr>
          <w:p w14:paraId="59F6B8AF" w14:textId="77777777" w:rsidR="007D647D" w:rsidRPr="00A41B49" w:rsidRDefault="00351342" w:rsidP="00181591">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Times New Roman" w:hAnsi="Times New Roman" w:cs="Times New Roman"/>
                <w:spacing w:val="-6"/>
                <w:sz w:val="28"/>
                <w:szCs w:val="28"/>
                <w:lang w:val="uk-UA" w:eastAsia="ru-RU"/>
              </w:rPr>
              <w:t>і</w:t>
            </w:r>
            <w:r w:rsidR="008A6384" w:rsidRPr="00A41B49">
              <w:rPr>
                <w:rFonts w:ascii="Times New Roman" w:eastAsia="Times New Roman" w:hAnsi="Times New Roman" w:cs="Times New Roman"/>
                <w:spacing w:val="-6"/>
                <w:sz w:val="28"/>
                <w:szCs w:val="28"/>
                <w:lang w:val="uk-UA" w:eastAsia="ru-RU"/>
              </w:rPr>
              <w:t>нвестиційна діяльність</w:t>
            </w:r>
            <w:r w:rsidRPr="00A41B49">
              <w:rPr>
                <w:rFonts w:ascii="Times New Roman" w:eastAsia="Times New Roman" w:hAnsi="Times New Roman" w:cs="Times New Roman"/>
                <w:spacing w:val="-6"/>
                <w:sz w:val="28"/>
                <w:szCs w:val="28"/>
                <w:lang w:val="uk-UA" w:eastAsia="ru-RU"/>
              </w:rPr>
              <w:t xml:space="preserve"> різнорівневих соціально-економічних систем.</w:t>
            </w:r>
          </w:p>
        </w:tc>
      </w:tr>
      <w:tr w:rsidR="00A41B49" w:rsidRPr="00A41B49" w14:paraId="4D3F67EF" w14:textId="77777777" w:rsidTr="00084CB9">
        <w:tc>
          <w:tcPr>
            <w:tcW w:w="2942" w:type="dxa"/>
            <w:shd w:val="clear" w:color="auto" w:fill="auto"/>
            <w:hideMark/>
          </w:tcPr>
          <w:p w14:paraId="56C026E5" w14:textId="77777777" w:rsidR="007D647D" w:rsidRPr="00A41B49" w:rsidRDefault="007D647D" w:rsidP="00181591">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Предмет дослідження:</w:t>
            </w:r>
          </w:p>
        </w:tc>
        <w:tc>
          <w:tcPr>
            <w:tcW w:w="6802" w:type="dxa"/>
            <w:shd w:val="clear" w:color="auto" w:fill="auto"/>
            <w:hideMark/>
          </w:tcPr>
          <w:p w14:paraId="24A0F0B7" w14:textId="77777777" w:rsidR="007D647D" w:rsidRPr="00A41B49" w:rsidRDefault="007D647D" w:rsidP="00181591">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 xml:space="preserve">теоретичні, методичні та практичні аспекти </w:t>
            </w:r>
            <w:r w:rsidR="008A6384" w:rsidRPr="00A41B49">
              <w:rPr>
                <w:rFonts w:ascii="Times New Roman" w:eastAsia="Calibri" w:hAnsi="Times New Roman" w:cs="Times New Roman"/>
                <w:spacing w:val="-6"/>
                <w:sz w:val="28"/>
                <w:szCs w:val="28"/>
                <w:lang w:val="uk-UA"/>
              </w:rPr>
              <w:t>формування інвестиційної привабливості міста Кривий Ріг.</w:t>
            </w:r>
          </w:p>
        </w:tc>
      </w:tr>
      <w:tr w:rsidR="00A41B49" w:rsidRPr="00A41B49" w14:paraId="51347445" w14:textId="77777777" w:rsidTr="00084CB9">
        <w:tc>
          <w:tcPr>
            <w:tcW w:w="2942" w:type="dxa"/>
            <w:shd w:val="clear" w:color="auto" w:fill="auto"/>
            <w:hideMark/>
          </w:tcPr>
          <w:p w14:paraId="1483124B" w14:textId="77777777" w:rsidR="007D647D" w:rsidRPr="00A41B49" w:rsidRDefault="007D647D" w:rsidP="00181591">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Мета дослідження:</w:t>
            </w:r>
          </w:p>
        </w:tc>
        <w:tc>
          <w:tcPr>
            <w:tcW w:w="6802" w:type="dxa"/>
            <w:shd w:val="clear" w:color="auto" w:fill="auto"/>
            <w:hideMark/>
          </w:tcPr>
          <w:p w14:paraId="03619241" w14:textId="77777777" w:rsidR="007D647D" w:rsidRPr="00A41B49" w:rsidRDefault="000E3CCF" w:rsidP="006E58A2">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 xml:space="preserve">обґрунтування теоретичних засад, діагностика </w:t>
            </w:r>
            <w:r w:rsidR="006E58A2" w:rsidRPr="00A41B49">
              <w:rPr>
                <w:rFonts w:ascii="Times New Roman" w:eastAsia="Calibri" w:hAnsi="Times New Roman" w:cs="Times New Roman"/>
                <w:spacing w:val="-6"/>
                <w:sz w:val="28"/>
                <w:szCs w:val="28"/>
                <w:lang w:val="uk-UA"/>
              </w:rPr>
              <w:t xml:space="preserve">стану </w:t>
            </w:r>
            <w:r w:rsidRPr="00A41B49">
              <w:rPr>
                <w:rFonts w:ascii="Times New Roman" w:eastAsia="Calibri" w:hAnsi="Times New Roman" w:cs="Times New Roman"/>
                <w:spacing w:val="-6"/>
                <w:sz w:val="28"/>
                <w:szCs w:val="28"/>
                <w:lang w:val="uk-UA"/>
              </w:rPr>
              <w:t>та визначення напрямів інвестиційної привабливості м.</w:t>
            </w:r>
            <w:r w:rsidR="006E58A2" w:rsidRPr="00A41B49">
              <w:rPr>
                <w:rFonts w:ascii="Times New Roman" w:eastAsia="Calibri" w:hAnsi="Times New Roman" w:cs="Times New Roman"/>
                <w:spacing w:val="-6"/>
                <w:sz w:val="28"/>
                <w:szCs w:val="28"/>
                <w:lang w:val="uk-UA"/>
              </w:rPr>
              <w:t> </w:t>
            </w:r>
            <w:r w:rsidRPr="00A41B49">
              <w:rPr>
                <w:rFonts w:ascii="Times New Roman" w:eastAsia="Calibri" w:hAnsi="Times New Roman" w:cs="Times New Roman"/>
                <w:spacing w:val="-6"/>
                <w:sz w:val="28"/>
                <w:szCs w:val="28"/>
                <w:lang w:val="uk-UA"/>
              </w:rPr>
              <w:t>Кривий Ріг.</w:t>
            </w:r>
          </w:p>
        </w:tc>
      </w:tr>
      <w:tr w:rsidR="00A41B49" w:rsidRPr="00A41B49" w14:paraId="48321899" w14:textId="77777777" w:rsidTr="00084CB9">
        <w:tc>
          <w:tcPr>
            <w:tcW w:w="2942" w:type="dxa"/>
            <w:shd w:val="clear" w:color="auto" w:fill="auto"/>
            <w:hideMark/>
          </w:tcPr>
          <w:p w14:paraId="645D5ECB" w14:textId="77777777" w:rsidR="007D647D" w:rsidRPr="00A41B49" w:rsidRDefault="007D647D" w:rsidP="00181591">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Методи дослідження:</w:t>
            </w:r>
          </w:p>
        </w:tc>
        <w:tc>
          <w:tcPr>
            <w:tcW w:w="6802" w:type="dxa"/>
            <w:shd w:val="clear" w:color="auto" w:fill="auto"/>
            <w:hideMark/>
          </w:tcPr>
          <w:p w14:paraId="6D0A88E1" w14:textId="77777777" w:rsidR="007D647D" w:rsidRPr="00A41B49" w:rsidRDefault="007D647D" w:rsidP="00181591">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 xml:space="preserve">аналіз та синтез; узагальнення; порівняння; </w:t>
            </w:r>
            <w:r w:rsidR="00905F8F" w:rsidRPr="00A41B49">
              <w:rPr>
                <w:rFonts w:ascii="Times New Roman" w:eastAsia="Calibri" w:hAnsi="Times New Roman" w:cs="Times New Roman"/>
                <w:spacing w:val="-6"/>
                <w:sz w:val="28"/>
                <w:szCs w:val="28"/>
                <w:lang w:val="uk-UA"/>
              </w:rPr>
              <w:t xml:space="preserve">кластерний аналіз; </w:t>
            </w:r>
            <w:r w:rsidRPr="00A41B49">
              <w:rPr>
                <w:rFonts w:ascii="Times New Roman" w:eastAsia="Calibri" w:hAnsi="Times New Roman" w:cs="Times New Roman"/>
                <w:spacing w:val="-6"/>
                <w:sz w:val="28"/>
                <w:szCs w:val="28"/>
                <w:lang w:val="uk-UA"/>
              </w:rPr>
              <w:t xml:space="preserve">аналізу рядів динаміки; графічного </w:t>
            </w:r>
            <w:r w:rsidR="00181591" w:rsidRPr="00A41B49">
              <w:rPr>
                <w:rFonts w:ascii="Times New Roman" w:eastAsia="Calibri" w:hAnsi="Times New Roman" w:cs="Times New Roman"/>
                <w:spacing w:val="-6"/>
                <w:sz w:val="28"/>
                <w:szCs w:val="28"/>
                <w:lang w:val="uk-UA"/>
              </w:rPr>
              <w:t>та табличного методів</w:t>
            </w:r>
          </w:p>
        </w:tc>
      </w:tr>
      <w:tr w:rsidR="00A41B49" w:rsidRPr="00A41B49" w14:paraId="6DCFE18E" w14:textId="77777777" w:rsidTr="00084CB9">
        <w:tc>
          <w:tcPr>
            <w:tcW w:w="2942" w:type="dxa"/>
            <w:shd w:val="clear" w:color="auto" w:fill="auto"/>
            <w:hideMark/>
          </w:tcPr>
          <w:p w14:paraId="44E67EF9" w14:textId="77777777" w:rsidR="007D647D" w:rsidRPr="00A41B49" w:rsidRDefault="007D647D" w:rsidP="00181591">
            <w:pPr>
              <w:spacing w:after="0" w:line="240" w:lineRule="auto"/>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Основні результати дослідження:</w:t>
            </w:r>
          </w:p>
        </w:tc>
        <w:tc>
          <w:tcPr>
            <w:tcW w:w="6802" w:type="dxa"/>
            <w:shd w:val="clear" w:color="auto" w:fill="auto"/>
            <w:hideMark/>
          </w:tcPr>
          <w:p w14:paraId="59A1E4AE" w14:textId="77777777" w:rsidR="00F64AEF" w:rsidRPr="00A41B49" w:rsidRDefault="00581FAC" w:rsidP="00181591">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з</w:t>
            </w:r>
            <w:r w:rsidR="00737014" w:rsidRPr="00A41B49">
              <w:rPr>
                <w:rFonts w:ascii="Times New Roman" w:eastAsia="Calibri" w:hAnsi="Times New Roman" w:cs="Times New Roman"/>
                <w:spacing w:val="-6"/>
                <w:sz w:val="28"/>
                <w:szCs w:val="28"/>
                <w:lang w:val="uk-UA"/>
              </w:rPr>
              <w:t>апропоновано а</w:t>
            </w:r>
            <w:r w:rsidRPr="00A41B49">
              <w:rPr>
                <w:rFonts w:ascii="Times New Roman" w:eastAsia="Calibri" w:hAnsi="Times New Roman" w:cs="Times New Roman"/>
                <w:spacing w:val="-6"/>
                <w:sz w:val="28"/>
                <w:szCs w:val="28"/>
                <w:lang w:val="uk-UA"/>
              </w:rPr>
              <w:t>в</w:t>
            </w:r>
            <w:r w:rsidR="00F64AEF" w:rsidRPr="00A41B49">
              <w:rPr>
                <w:rFonts w:ascii="Times New Roman" w:eastAsia="Calibri" w:hAnsi="Times New Roman" w:cs="Times New Roman"/>
                <w:spacing w:val="-6"/>
                <w:sz w:val="28"/>
                <w:szCs w:val="28"/>
                <w:lang w:val="uk-UA"/>
              </w:rPr>
              <w:t>торський підхід</w:t>
            </w:r>
            <w:r w:rsidR="00737014" w:rsidRPr="00A41B49">
              <w:rPr>
                <w:rFonts w:ascii="Times New Roman" w:eastAsia="Calibri" w:hAnsi="Times New Roman" w:cs="Times New Roman"/>
                <w:spacing w:val="-6"/>
                <w:sz w:val="28"/>
                <w:szCs w:val="28"/>
                <w:lang w:val="uk-UA"/>
              </w:rPr>
              <w:t xml:space="preserve"> до розуміння сутності понять «інвестиційна </w:t>
            </w:r>
            <w:r w:rsidRPr="00A41B49">
              <w:rPr>
                <w:rFonts w:ascii="Times New Roman" w:eastAsia="Calibri" w:hAnsi="Times New Roman" w:cs="Times New Roman"/>
                <w:spacing w:val="-6"/>
                <w:sz w:val="28"/>
                <w:szCs w:val="28"/>
                <w:lang w:val="uk-UA"/>
              </w:rPr>
              <w:t>діяльність</w:t>
            </w:r>
            <w:r w:rsidR="00737014" w:rsidRPr="00A41B49">
              <w:rPr>
                <w:rFonts w:ascii="Times New Roman" w:eastAsia="Calibri" w:hAnsi="Times New Roman" w:cs="Times New Roman"/>
                <w:spacing w:val="-6"/>
                <w:sz w:val="28"/>
                <w:szCs w:val="28"/>
                <w:lang w:val="uk-UA"/>
              </w:rPr>
              <w:t xml:space="preserve">», «інвестиційний </w:t>
            </w:r>
            <w:r w:rsidRPr="00A41B49">
              <w:rPr>
                <w:rFonts w:ascii="Times New Roman" w:eastAsia="Calibri" w:hAnsi="Times New Roman" w:cs="Times New Roman"/>
                <w:spacing w:val="-6"/>
                <w:sz w:val="28"/>
                <w:szCs w:val="28"/>
                <w:lang w:val="uk-UA"/>
              </w:rPr>
              <w:t>потенціал</w:t>
            </w:r>
            <w:r w:rsidR="00737014" w:rsidRPr="00A41B49">
              <w:rPr>
                <w:rFonts w:ascii="Times New Roman" w:eastAsia="Calibri" w:hAnsi="Times New Roman" w:cs="Times New Roman"/>
                <w:spacing w:val="-6"/>
                <w:sz w:val="28"/>
                <w:szCs w:val="28"/>
                <w:lang w:val="uk-UA"/>
              </w:rPr>
              <w:t>», «інвестиційний клімат»</w:t>
            </w:r>
            <w:r w:rsidR="00F64AEF" w:rsidRPr="00A41B49">
              <w:rPr>
                <w:rFonts w:ascii="Times New Roman" w:eastAsia="Calibri" w:hAnsi="Times New Roman" w:cs="Times New Roman"/>
                <w:spacing w:val="-6"/>
                <w:sz w:val="28"/>
                <w:szCs w:val="28"/>
                <w:lang w:val="uk-UA"/>
              </w:rPr>
              <w:t>; «інвестиційна привабливість», подано авторську схему, що відображає взаємозв’язок між зазначеними поняттями;</w:t>
            </w:r>
          </w:p>
          <w:p w14:paraId="32CED954" w14:textId="77777777" w:rsidR="00F64AEF" w:rsidRPr="00A41B49" w:rsidRDefault="00F64AEF" w:rsidP="00181591">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систематизовано фактори, що впливають на інвестиційну привабливість різнорівневих соціально-економічних систем</w:t>
            </w:r>
            <w:r w:rsidR="00FC5F22" w:rsidRPr="00A41B49">
              <w:rPr>
                <w:rFonts w:ascii="Times New Roman" w:eastAsia="Calibri" w:hAnsi="Times New Roman" w:cs="Times New Roman"/>
                <w:spacing w:val="-6"/>
                <w:sz w:val="28"/>
                <w:szCs w:val="28"/>
                <w:lang w:val="uk-UA"/>
              </w:rPr>
              <w:t>;</w:t>
            </w:r>
          </w:p>
          <w:p w14:paraId="4474377E" w14:textId="77777777" w:rsidR="00FC5F22" w:rsidRPr="00A41B49" w:rsidRDefault="00FC5F22" w:rsidP="00181591">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визначено фактори, що впливають на інвестиційну привабливість соціально-економічної системи мезорівня – міста, визначено напрямок впливу зазначених факторів;</w:t>
            </w:r>
          </w:p>
          <w:p w14:paraId="3981BDA8" w14:textId="77777777" w:rsidR="00FC5F22" w:rsidRPr="00A41B49" w:rsidRDefault="00FC5F22" w:rsidP="00181591">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досліджено та систематизовано методичні підходи до оцінки та аналізу інвестиційної привабливості різнорівневих соціально-економічних систем;</w:t>
            </w:r>
          </w:p>
          <w:p w14:paraId="4155AA8D" w14:textId="77777777" w:rsidR="00FC5F22" w:rsidRPr="00A41B49" w:rsidRDefault="00FC5F22" w:rsidP="00181591">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запропоновано авторський підхід до діагностики інвестиційної привабливості міста;</w:t>
            </w:r>
          </w:p>
          <w:p w14:paraId="0E7CB8DE" w14:textId="77777777" w:rsidR="00181591" w:rsidRPr="00A41B49" w:rsidRDefault="00FC5F22" w:rsidP="00181591">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проведено компаративний аналіз інвестиційної привабливості регіонів України</w:t>
            </w:r>
            <w:r w:rsidR="008D2F9D" w:rsidRPr="00A41B49">
              <w:rPr>
                <w:rFonts w:ascii="Times New Roman" w:eastAsia="Calibri" w:hAnsi="Times New Roman" w:cs="Times New Roman"/>
                <w:spacing w:val="-6"/>
                <w:sz w:val="28"/>
                <w:szCs w:val="28"/>
                <w:lang w:val="uk-UA"/>
              </w:rPr>
              <w:t xml:space="preserve"> (регіони України за рівнем їх інвестиційної привабливості поділено на три кластери)</w:t>
            </w:r>
            <w:r w:rsidRPr="00A41B49">
              <w:rPr>
                <w:rFonts w:ascii="Times New Roman" w:eastAsia="Calibri" w:hAnsi="Times New Roman" w:cs="Times New Roman"/>
                <w:spacing w:val="-6"/>
                <w:sz w:val="28"/>
                <w:szCs w:val="28"/>
                <w:lang w:val="uk-UA"/>
              </w:rPr>
              <w:t xml:space="preserve">; </w:t>
            </w:r>
          </w:p>
          <w:p w14:paraId="61CCE7BA" w14:textId="77777777" w:rsidR="00FC5F22" w:rsidRPr="00A41B49" w:rsidRDefault="00FC5F22" w:rsidP="00181591">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 xml:space="preserve">проаналізовано інвестиційну привабливість </w:t>
            </w:r>
            <w:r w:rsidR="008D2F9D" w:rsidRPr="00A41B49">
              <w:rPr>
                <w:rFonts w:ascii="Times New Roman" w:eastAsia="Calibri" w:hAnsi="Times New Roman" w:cs="Times New Roman"/>
                <w:spacing w:val="-6"/>
                <w:sz w:val="28"/>
                <w:szCs w:val="28"/>
                <w:lang w:val="uk-UA"/>
              </w:rPr>
              <w:t>Дніпропетровської</w:t>
            </w:r>
            <w:r w:rsidRPr="00A41B49">
              <w:rPr>
                <w:rFonts w:ascii="Times New Roman" w:eastAsia="Calibri" w:hAnsi="Times New Roman" w:cs="Times New Roman"/>
                <w:spacing w:val="-6"/>
                <w:sz w:val="28"/>
                <w:szCs w:val="28"/>
                <w:lang w:val="uk-UA"/>
              </w:rPr>
              <w:t xml:space="preserve"> області та міста Кривий Ріг;</w:t>
            </w:r>
          </w:p>
          <w:p w14:paraId="0CE2A490" w14:textId="77777777" w:rsidR="007D647D" w:rsidRPr="00A41B49" w:rsidRDefault="008D2F9D" w:rsidP="00181591">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визначено основні проблеми та запропоновано напрями забезпечення та підвищення інвестиційної привабливості міста Кривий Ріг.</w:t>
            </w:r>
          </w:p>
        </w:tc>
      </w:tr>
      <w:tr w:rsidR="00A41B49" w:rsidRPr="00A41B49" w14:paraId="7C675607" w14:textId="77777777" w:rsidTr="00084CB9">
        <w:tc>
          <w:tcPr>
            <w:tcW w:w="2942" w:type="dxa"/>
            <w:shd w:val="clear" w:color="auto" w:fill="auto"/>
            <w:hideMark/>
          </w:tcPr>
          <w:p w14:paraId="5B0CFC18" w14:textId="77777777" w:rsidR="007D647D" w:rsidRPr="00A41B49" w:rsidRDefault="007D647D" w:rsidP="007D647D">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Ключові слова:</w:t>
            </w:r>
          </w:p>
        </w:tc>
        <w:tc>
          <w:tcPr>
            <w:tcW w:w="6802" w:type="dxa"/>
            <w:shd w:val="clear" w:color="auto" w:fill="auto"/>
            <w:hideMark/>
          </w:tcPr>
          <w:p w14:paraId="1C301A22" w14:textId="77777777" w:rsidR="007D647D" w:rsidRPr="00A41B49" w:rsidRDefault="00737014" w:rsidP="00143C3D">
            <w:pPr>
              <w:spacing w:after="0" w:line="240" w:lineRule="auto"/>
              <w:jc w:val="both"/>
              <w:rPr>
                <w:rFonts w:ascii="Times New Roman" w:eastAsia="Calibri" w:hAnsi="Times New Roman" w:cs="Times New Roman"/>
                <w:spacing w:val="-6"/>
                <w:sz w:val="28"/>
                <w:szCs w:val="28"/>
                <w:lang w:val="uk-UA"/>
              </w:rPr>
            </w:pPr>
            <w:r w:rsidRPr="00A41B49">
              <w:rPr>
                <w:rFonts w:ascii="Times New Roman" w:eastAsia="Calibri" w:hAnsi="Times New Roman" w:cs="Times New Roman"/>
                <w:spacing w:val="-6"/>
                <w:sz w:val="28"/>
                <w:szCs w:val="28"/>
                <w:lang w:val="uk-UA"/>
              </w:rPr>
              <w:t>інвестиції, інвестиційна діяльність, інвестиційний потенціал, інвестиційна привабливість, регіон, місто</w:t>
            </w:r>
            <w:r w:rsidR="007D647D" w:rsidRPr="00A41B49">
              <w:rPr>
                <w:rFonts w:ascii="Times New Roman" w:eastAsia="Calibri" w:hAnsi="Times New Roman" w:cs="Times New Roman"/>
                <w:spacing w:val="-6"/>
                <w:sz w:val="28"/>
                <w:szCs w:val="28"/>
                <w:lang w:val="uk-UA"/>
              </w:rPr>
              <w:t xml:space="preserve">. </w:t>
            </w:r>
          </w:p>
        </w:tc>
      </w:tr>
    </w:tbl>
    <w:p w14:paraId="235C35EB" w14:textId="77777777" w:rsidR="007D647D" w:rsidRPr="00A41B49" w:rsidRDefault="007D647D" w:rsidP="007D647D">
      <w:pPr>
        <w:spacing w:after="0"/>
        <w:jc w:val="center"/>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br w:type="page"/>
      </w:r>
      <w:r w:rsidRPr="00A41B49">
        <w:rPr>
          <w:rFonts w:ascii="Times New Roman" w:eastAsia="Calibri" w:hAnsi="Times New Roman" w:cs="Times New Roman"/>
          <w:sz w:val="28"/>
          <w:szCs w:val="28"/>
          <w:lang w:val="uk-UA"/>
        </w:rPr>
        <w:lastRenderedPageBreak/>
        <w:t>ЗМІСТ</w:t>
      </w:r>
    </w:p>
    <w:tbl>
      <w:tblPr>
        <w:tblW w:w="5000" w:type="pct"/>
        <w:tblLook w:val="00A0" w:firstRow="1" w:lastRow="0" w:firstColumn="1" w:lastColumn="0" w:noHBand="0" w:noVBand="0"/>
      </w:tblPr>
      <w:tblGrid>
        <w:gridCol w:w="1511"/>
        <w:gridCol w:w="7440"/>
        <w:gridCol w:w="620"/>
      </w:tblGrid>
      <w:tr w:rsidR="00A41B49" w:rsidRPr="00A41B49" w14:paraId="0A343ADB" w14:textId="77777777" w:rsidTr="00BE2EA1">
        <w:tc>
          <w:tcPr>
            <w:tcW w:w="4676" w:type="pct"/>
            <w:gridSpan w:val="2"/>
            <w:hideMark/>
          </w:tcPr>
          <w:p w14:paraId="238D3717" w14:textId="77777777" w:rsidR="007D647D" w:rsidRPr="00A41B49" w:rsidRDefault="003A52BF" w:rsidP="007D647D">
            <w:pPr>
              <w:widowControl w:val="0"/>
              <w:spacing w:after="0" w:line="240" w:lineRule="auto"/>
              <w:jc w:val="both"/>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ВСТУП</w:t>
            </w:r>
          </w:p>
        </w:tc>
        <w:tc>
          <w:tcPr>
            <w:tcW w:w="324" w:type="pct"/>
            <w:vAlign w:val="bottom"/>
            <w:hideMark/>
          </w:tcPr>
          <w:p w14:paraId="7B87221A" w14:textId="77777777" w:rsidR="007D647D" w:rsidRPr="00A41B49" w:rsidRDefault="007D647D" w:rsidP="00BE2EA1">
            <w:pPr>
              <w:widowControl w:val="0"/>
              <w:spacing w:after="0" w:line="240" w:lineRule="auto"/>
              <w:jc w:val="right"/>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6</w:t>
            </w:r>
          </w:p>
        </w:tc>
      </w:tr>
      <w:tr w:rsidR="00A41B49" w:rsidRPr="00A41B49" w14:paraId="2D6E87CF" w14:textId="77777777" w:rsidTr="00BE2EA1">
        <w:trPr>
          <w:trHeight w:val="697"/>
        </w:trPr>
        <w:tc>
          <w:tcPr>
            <w:tcW w:w="789" w:type="pct"/>
            <w:hideMark/>
          </w:tcPr>
          <w:p w14:paraId="10C29D55" w14:textId="77777777" w:rsidR="007D647D" w:rsidRPr="00A41B49" w:rsidRDefault="007D647D" w:rsidP="007D647D">
            <w:pPr>
              <w:widowControl w:val="0"/>
              <w:spacing w:after="0" w:line="240" w:lineRule="auto"/>
              <w:jc w:val="both"/>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Розділ 1</w:t>
            </w:r>
          </w:p>
        </w:tc>
        <w:tc>
          <w:tcPr>
            <w:tcW w:w="3887" w:type="pct"/>
            <w:hideMark/>
          </w:tcPr>
          <w:p w14:paraId="151A7B15" w14:textId="77777777" w:rsidR="007D647D" w:rsidRPr="00A41B49" w:rsidRDefault="00BE5338" w:rsidP="003A52BF">
            <w:pPr>
              <w:widowControl w:val="0"/>
              <w:spacing w:after="0" w:line="240" w:lineRule="auto"/>
              <w:jc w:val="both"/>
              <w:rPr>
                <w:rFonts w:ascii="Times New Roman" w:eastAsia="Calibri" w:hAnsi="Times New Roman" w:cs="Times New Roman"/>
                <w:sz w:val="28"/>
                <w:szCs w:val="28"/>
                <w:shd w:val="clear" w:color="auto" w:fill="FFFFFF"/>
                <w:lang w:val="uk-UA"/>
              </w:rPr>
            </w:pPr>
            <w:r w:rsidRPr="00A41B49">
              <w:rPr>
                <w:rFonts w:ascii="Times New Roman" w:eastAsia="Calibri" w:hAnsi="Times New Roman" w:cs="Times New Roman"/>
                <w:sz w:val="28"/>
                <w:szCs w:val="28"/>
                <w:shd w:val="clear" w:color="auto" w:fill="FFFFFF"/>
                <w:lang w:val="uk-UA"/>
              </w:rPr>
              <w:t>Теоретико основи формування інвестиційної привабливості міста</w:t>
            </w:r>
          </w:p>
        </w:tc>
        <w:tc>
          <w:tcPr>
            <w:tcW w:w="324" w:type="pct"/>
            <w:vAlign w:val="bottom"/>
            <w:hideMark/>
          </w:tcPr>
          <w:p w14:paraId="33F086C2" w14:textId="77777777" w:rsidR="007D647D" w:rsidRPr="00A41B49" w:rsidRDefault="007D647D" w:rsidP="00BE2EA1">
            <w:pPr>
              <w:widowControl w:val="0"/>
              <w:spacing w:after="0" w:line="240" w:lineRule="auto"/>
              <w:jc w:val="right"/>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8</w:t>
            </w:r>
          </w:p>
        </w:tc>
      </w:tr>
      <w:tr w:rsidR="00A41B49" w:rsidRPr="00A41B49" w14:paraId="5D2715C2" w14:textId="77777777" w:rsidTr="00BE2EA1">
        <w:tc>
          <w:tcPr>
            <w:tcW w:w="789" w:type="pct"/>
          </w:tcPr>
          <w:p w14:paraId="045CE70C" w14:textId="77777777" w:rsidR="003A52BF" w:rsidRPr="00A41B49" w:rsidRDefault="00BE5338" w:rsidP="005F65CC">
            <w:pPr>
              <w:widowControl w:val="0"/>
              <w:tabs>
                <w:tab w:val="center" w:pos="647"/>
              </w:tabs>
              <w:spacing w:after="0" w:line="240" w:lineRule="auto"/>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Розділ 2</w:t>
            </w:r>
          </w:p>
        </w:tc>
        <w:tc>
          <w:tcPr>
            <w:tcW w:w="3887" w:type="pct"/>
          </w:tcPr>
          <w:p w14:paraId="7B185879" w14:textId="77777777" w:rsidR="003A52BF" w:rsidRPr="00A41B49" w:rsidRDefault="00BE5338" w:rsidP="005B53A9">
            <w:pPr>
              <w:widowControl w:val="0"/>
              <w:spacing w:after="0" w:line="240" w:lineRule="auto"/>
              <w:jc w:val="both"/>
              <w:rPr>
                <w:rFonts w:ascii="Times New Roman" w:eastAsia="Calibri" w:hAnsi="Times New Roman" w:cs="Times New Roman"/>
                <w:sz w:val="28"/>
                <w:szCs w:val="28"/>
                <w:shd w:val="clear" w:color="auto" w:fill="FFFFFF"/>
                <w:lang w:val="uk-UA"/>
              </w:rPr>
            </w:pPr>
            <w:r w:rsidRPr="00A41B49">
              <w:rPr>
                <w:rFonts w:ascii="Times New Roman" w:eastAsia="Calibri" w:hAnsi="Times New Roman" w:cs="Times New Roman"/>
                <w:sz w:val="28"/>
                <w:szCs w:val="28"/>
                <w:shd w:val="clear" w:color="auto" w:fill="FFFFFF"/>
                <w:lang w:val="uk-UA"/>
              </w:rPr>
              <w:t>Методичні основи дослідження інвестиційної привабливості міста</w:t>
            </w:r>
          </w:p>
        </w:tc>
        <w:tc>
          <w:tcPr>
            <w:tcW w:w="324" w:type="pct"/>
            <w:vAlign w:val="bottom"/>
          </w:tcPr>
          <w:p w14:paraId="70072519" w14:textId="77777777" w:rsidR="003A52BF" w:rsidRPr="00A41B49" w:rsidRDefault="00BE2EA1" w:rsidP="00BE2EA1">
            <w:pPr>
              <w:widowControl w:val="0"/>
              <w:spacing w:after="0" w:line="240" w:lineRule="auto"/>
              <w:jc w:val="right"/>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18</w:t>
            </w:r>
          </w:p>
        </w:tc>
      </w:tr>
      <w:tr w:rsidR="00A41B49" w:rsidRPr="00A41B49" w14:paraId="504298E0" w14:textId="77777777" w:rsidTr="00BE2EA1">
        <w:tc>
          <w:tcPr>
            <w:tcW w:w="789" w:type="pct"/>
            <w:hideMark/>
          </w:tcPr>
          <w:p w14:paraId="3F7AA00C" w14:textId="77777777" w:rsidR="007D647D" w:rsidRPr="00A41B49" w:rsidRDefault="007D647D" w:rsidP="005F65CC">
            <w:pPr>
              <w:widowControl w:val="0"/>
              <w:spacing w:after="0" w:line="240" w:lineRule="auto"/>
              <w:jc w:val="both"/>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 xml:space="preserve">Розділ </w:t>
            </w:r>
            <w:r w:rsidR="005F65CC" w:rsidRPr="00A41B49">
              <w:rPr>
                <w:rFonts w:ascii="Times New Roman" w:eastAsia="Calibri" w:hAnsi="Times New Roman" w:cs="Times New Roman"/>
                <w:sz w:val="28"/>
                <w:szCs w:val="28"/>
                <w:lang w:val="uk-UA"/>
              </w:rPr>
              <w:t>3</w:t>
            </w:r>
          </w:p>
        </w:tc>
        <w:tc>
          <w:tcPr>
            <w:tcW w:w="3887" w:type="pct"/>
            <w:hideMark/>
          </w:tcPr>
          <w:p w14:paraId="5E5ACDC4" w14:textId="77777777" w:rsidR="007D647D" w:rsidRPr="00A41B49" w:rsidRDefault="00566809" w:rsidP="002540AC">
            <w:pPr>
              <w:shd w:val="clear" w:color="auto" w:fill="FFFFFF"/>
              <w:spacing w:after="0" w:line="240" w:lineRule="auto"/>
              <w:jc w:val="both"/>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Діагностика інвестиційної привабливості регіонів України та м. Кривий ріг</w:t>
            </w:r>
          </w:p>
        </w:tc>
        <w:tc>
          <w:tcPr>
            <w:tcW w:w="324" w:type="pct"/>
            <w:vAlign w:val="bottom"/>
          </w:tcPr>
          <w:p w14:paraId="5C94B723" w14:textId="77777777" w:rsidR="007D647D" w:rsidRPr="00A41B49" w:rsidRDefault="00084CB9" w:rsidP="00BE2EA1">
            <w:pPr>
              <w:widowControl w:val="0"/>
              <w:spacing w:after="0" w:line="240" w:lineRule="auto"/>
              <w:jc w:val="right"/>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21</w:t>
            </w:r>
          </w:p>
        </w:tc>
      </w:tr>
      <w:tr w:rsidR="00A41B49" w:rsidRPr="00A41B49" w14:paraId="1AF54BC6" w14:textId="77777777" w:rsidTr="00BE2EA1">
        <w:tc>
          <w:tcPr>
            <w:tcW w:w="4676" w:type="pct"/>
            <w:gridSpan w:val="2"/>
            <w:hideMark/>
          </w:tcPr>
          <w:p w14:paraId="25EF9714" w14:textId="77777777" w:rsidR="007D647D" w:rsidRPr="00A41B49" w:rsidRDefault="002524A0" w:rsidP="007D647D">
            <w:pPr>
              <w:widowControl w:val="0"/>
              <w:spacing w:after="0" w:line="240" w:lineRule="auto"/>
              <w:jc w:val="both"/>
              <w:rPr>
                <w:rFonts w:ascii="Times New Roman" w:eastAsia="Calibri" w:hAnsi="Times New Roman" w:cs="Times New Roman"/>
                <w:b/>
                <w:sz w:val="28"/>
                <w:szCs w:val="28"/>
                <w:lang w:val="uk-UA"/>
              </w:rPr>
            </w:pPr>
            <w:r w:rsidRPr="00A41B49">
              <w:rPr>
                <w:rFonts w:ascii="Times New Roman" w:eastAsia="Calibri" w:hAnsi="Times New Roman" w:cs="Times New Roman"/>
                <w:b/>
                <w:sz w:val="28"/>
                <w:szCs w:val="28"/>
                <w:lang w:val="uk-UA"/>
              </w:rPr>
              <w:t>ВИСНОВКИ ТА РЕКОМЕНДАЦІЇ</w:t>
            </w:r>
          </w:p>
        </w:tc>
        <w:tc>
          <w:tcPr>
            <w:tcW w:w="324" w:type="pct"/>
            <w:vAlign w:val="bottom"/>
          </w:tcPr>
          <w:p w14:paraId="73839B9A" w14:textId="77777777" w:rsidR="007D647D" w:rsidRPr="00A41B49" w:rsidRDefault="00BE2EA1" w:rsidP="00BE2EA1">
            <w:pPr>
              <w:widowControl w:val="0"/>
              <w:spacing w:after="0" w:line="240" w:lineRule="auto"/>
              <w:jc w:val="right"/>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40</w:t>
            </w:r>
          </w:p>
        </w:tc>
      </w:tr>
      <w:tr w:rsidR="00A41B49" w:rsidRPr="00A41B49" w14:paraId="7C0485F7" w14:textId="77777777" w:rsidTr="00BE2EA1">
        <w:tc>
          <w:tcPr>
            <w:tcW w:w="4676" w:type="pct"/>
            <w:gridSpan w:val="2"/>
            <w:hideMark/>
          </w:tcPr>
          <w:p w14:paraId="4F68A2E7" w14:textId="77777777" w:rsidR="007D647D" w:rsidRPr="00A41B49" w:rsidRDefault="002524A0" w:rsidP="007D647D">
            <w:pPr>
              <w:widowControl w:val="0"/>
              <w:spacing w:after="0" w:line="240" w:lineRule="auto"/>
              <w:jc w:val="both"/>
              <w:rPr>
                <w:rFonts w:ascii="Times New Roman" w:eastAsia="Calibri" w:hAnsi="Times New Roman" w:cs="Times New Roman"/>
                <w:b/>
                <w:sz w:val="28"/>
                <w:szCs w:val="28"/>
                <w:lang w:val="uk-UA"/>
              </w:rPr>
            </w:pPr>
            <w:r w:rsidRPr="00A41B49">
              <w:rPr>
                <w:rFonts w:ascii="Times New Roman" w:eastAsia="Calibri" w:hAnsi="Times New Roman" w:cs="Times New Roman"/>
                <w:b/>
                <w:sz w:val="28"/>
                <w:szCs w:val="28"/>
                <w:lang w:val="uk-UA"/>
              </w:rPr>
              <w:t>СПИСОК ВИКОРИСТАНИХ ДЖЕРЕЛ</w:t>
            </w:r>
          </w:p>
        </w:tc>
        <w:tc>
          <w:tcPr>
            <w:tcW w:w="324" w:type="pct"/>
            <w:vAlign w:val="bottom"/>
          </w:tcPr>
          <w:p w14:paraId="7C3E45B1" w14:textId="77777777" w:rsidR="007D647D" w:rsidRPr="00A41B49" w:rsidRDefault="00BE2EA1" w:rsidP="00BE2EA1">
            <w:pPr>
              <w:widowControl w:val="0"/>
              <w:spacing w:after="0" w:line="240" w:lineRule="auto"/>
              <w:jc w:val="right"/>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48</w:t>
            </w:r>
          </w:p>
        </w:tc>
      </w:tr>
      <w:tr w:rsidR="00D67BC4" w:rsidRPr="00A41B49" w14:paraId="2E7BF36F" w14:textId="77777777" w:rsidTr="00BE2EA1">
        <w:tc>
          <w:tcPr>
            <w:tcW w:w="4676" w:type="pct"/>
            <w:gridSpan w:val="2"/>
          </w:tcPr>
          <w:p w14:paraId="54945FDF" w14:textId="77777777" w:rsidR="00D67BC4" w:rsidRPr="00A41B49" w:rsidRDefault="002524A0" w:rsidP="007D647D">
            <w:pPr>
              <w:widowControl w:val="0"/>
              <w:spacing w:after="0" w:line="240" w:lineRule="auto"/>
              <w:jc w:val="both"/>
              <w:rPr>
                <w:rFonts w:ascii="Times New Roman" w:eastAsia="Calibri" w:hAnsi="Times New Roman" w:cs="Times New Roman"/>
                <w:b/>
                <w:sz w:val="28"/>
                <w:szCs w:val="28"/>
                <w:lang w:val="uk-UA"/>
              </w:rPr>
            </w:pPr>
            <w:r w:rsidRPr="00A41B49">
              <w:rPr>
                <w:rFonts w:ascii="Times New Roman" w:eastAsia="Calibri" w:hAnsi="Times New Roman" w:cs="Times New Roman"/>
                <w:b/>
                <w:sz w:val="28"/>
                <w:szCs w:val="28"/>
                <w:lang w:val="uk-UA"/>
              </w:rPr>
              <w:t>ДОДАТКИ</w:t>
            </w:r>
          </w:p>
        </w:tc>
        <w:tc>
          <w:tcPr>
            <w:tcW w:w="324" w:type="pct"/>
            <w:vAlign w:val="bottom"/>
          </w:tcPr>
          <w:p w14:paraId="5B2ED3B0" w14:textId="77777777" w:rsidR="00D67BC4" w:rsidRPr="00A41B49" w:rsidRDefault="00BE2EA1" w:rsidP="00BE2EA1">
            <w:pPr>
              <w:widowControl w:val="0"/>
              <w:spacing w:after="0" w:line="240" w:lineRule="auto"/>
              <w:jc w:val="right"/>
              <w:rPr>
                <w:rFonts w:ascii="Times New Roman" w:eastAsia="Calibri" w:hAnsi="Times New Roman" w:cs="Times New Roman"/>
                <w:sz w:val="28"/>
                <w:szCs w:val="28"/>
                <w:lang w:val="uk-UA"/>
              </w:rPr>
            </w:pPr>
            <w:r w:rsidRPr="00A41B49">
              <w:rPr>
                <w:rFonts w:ascii="Times New Roman" w:eastAsia="Calibri" w:hAnsi="Times New Roman" w:cs="Times New Roman"/>
                <w:sz w:val="28"/>
                <w:szCs w:val="28"/>
                <w:lang w:val="uk-UA"/>
              </w:rPr>
              <w:t>51</w:t>
            </w:r>
          </w:p>
        </w:tc>
      </w:tr>
    </w:tbl>
    <w:p w14:paraId="6436C3C3" w14:textId="77777777" w:rsidR="007D647D" w:rsidRPr="00A41B49" w:rsidRDefault="007D647D" w:rsidP="007D647D">
      <w:pPr>
        <w:rPr>
          <w:rFonts w:ascii="Calibri" w:eastAsia="Calibri" w:hAnsi="Calibri" w:cs="Times New Roman"/>
          <w:lang w:val="uk-UA"/>
        </w:rPr>
      </w:pPr>
    </w:p>
    <w:p w14:paraId="2400F2E6" w14:textId="77777777" w:rsidR="007D647D" w:rsidRPr="00A41B49" w:rsidRDefault="007D647D" w:rsidP="007D647D">
      <w:pPr>
        <w:rPr>
          <w:rFonts w:ascii="Times New Roman" w:eastAsia="Calibri" w:hAnsi="Times New Roman" w:cs="Times New Roman"/>
          <w:sz w:val="28"/>
          <w:szCs w:val="28"/>
          <w:lang w:val="uk-UA"/>
        </w:rPr>
      </w:pPr>
    </w:p>
    <w:p w14:paraId="537319FA" w14:textId="77777777" w:rsidR="007D647D" w:rsidRPr="00A41B49" w:rsidRDefault="007D647D" w:rsidP="007D647D">
      <w:pPr>
        <w:tabs>
          <w:tab w:val="left" w:pos="7830"/>
        </w:tabs>
        <w:spacing w:after="0"/>
        <w:ind w:firstLine="709"/>
        <w:jc w:val="both"/>
        <w:rPr>
          <w:rFonts w:ascii="Times New Roman" w:eastAsia="Calibri" w:hAnsi="Times New Roman" w:cs="Times New Roman"/>
          <w:sz w:val="28"/>
          <w:szCs w:val="28"/>
          <w:lang w:val="uk-UA"/>
        </w:rPr>
      </w:pPr>
    </w:p>
    <w:p w14:paraId="01B85D0C" w14:textId="77777777" w:rsidR="007D647D" w:rsidRPr="00A41B49" w:rsidRDefault="007D647D" w:rsidP="007D647D">
      <w:pPr>
        <w:tabs>
          <w:tab w:val="left" w:pos="7830"/>
        </w:tabs>
        <w:spacing w:after="0"/>
        <w:rPr>
          <w:rFonts w:ascii="Calibri" w:eastAsia="Calibri" w:hAnsi="Calibri" w:cs="Times New Roman"/>
          <w:lang w:val="uk-UA"/>
        </w:rPr>
      </w:pPr>
    </w:p>
    <w:p w14:paraId="18D644F1" w14:textId="77777777" w:rsidR="007D647D" w:rsidRPr="00A41B49" w:rsidRDefault="007D647D" w:rsidP="007D647D">
      <w:pPr>
        <w:jc w:val="center"/>
        <w:rPr>
          <w:rFonts w:ascii="Times New Roman" w:eastAsia="Calibri" w:hAnsi="Times New Roman" w:cs="Times New Roman"/>
          <w:sz w:val="28"/>
          <w:szCs w:val="28"/>
          <w:lang w:val="uk-UA"/>
        </w:rPr>
      </w:pPr>
    </w:p>
    <w:p w14:paraId="6F1F9224" w14:textId="77777777" w:rsidR="007D647D" w:rsidRPr="00A41B49" w:rsidRDefault="007D647D" w:rsidP="007D647D">
      <w:pPr>
        <w:shd w:val="clear" w:color="auto" w:fill="FFFFFF"/>
        <w:jc w:val="center"/>
        <w:rPr>
          <w:rFonts w:ascii="Times New Roman" w:eastAsia="Calibri" w:hAnsi="Times New Roman" w:cs="Times New Roman"/>
          <w:b/>
          <w:sz w:val="28"/>
          <w:szCs w:val="28"/>
          <w:lang w:val="uk-UA"/>
        </w:rPr>
      </w:pPr>
      <w:r w:rsidRPr="00A41B49">
        <w:rPr>
          <w:rFonts w:ascii="Times New Roman" w:eastAsia="Calibri" w:hAnsi="Times New Roman" w:cs="Times New Roman"/>
          <w:sz w:val="28"/>
          <w:szCs w:val="28"/>
          <w:lang w:val="uk-UA"/>
        </w:rPr>
        <w:br w:type="page"/>
      </w:r>
      <w:r w:rsidRPr="00A41B49">
        <w:rPr>
          <w:rFonts w:ascii="Times New Roman" w:eastAsia="Calibri" w:hAnsi="Times New Roman" w:cs="Times New Roman"/>
          <w:b/>
          <w:sz w:val="28"/>
          <w:szCs w:val="28"/>
          <w:lang w:val="uk-UA"/>
        </w:rPr>
        <w:lastRenderedPageBreak/>
        <w:t>ВСТУП</w:t>
      </w:r>
    </w:p>
    <w:p w14:paraId="29364F96" w14:textId="77777777" w:rsidR="007900E6" w:rsidRPr="00A41B49" w:rsidRDefault="00143C3D" w:rsidP="001658D4">
      <w:pPr>
        <w:spacing w:after="0" w:line="240" w:lineRule="auto"/>
        <w:ind w:firstLine="709"/>
        <w:jc w:val="both"/>
        <w:rPr>
          <w:rFonts w:ascii="Times New Roman" w:hAnsi="Times New Roman" w:cs="Times New Roman"/>
          <w:sz w:val="28"/>
          <w:szCs w:val="28"/>
          <w:lang w:val="uk-UA"/>
        </w:rPr>
      </w:pPr>
      <w:r w:rsidRPr="00A41B49">
        <w:rPr>
          <w:rFonts w:ascii="Times New Roman" w:eastAsia="Times New Roman" w:hAnsi="Times New Roman" w:cs="Times New Roman"/>
          <w:b/>
          <w:sz w:val="28"/>
          <w:szCs w:val="28"/>
          <w:lang w:val="uk-UA" w:eastAsia="ru-RU"/>
        </w:rPr>
        <w:t>Актуальність теми</w:t>
      </w:r>
      <w:r w:rsidRPr="00A41B49">
        <w:rPr>
          <w:rFonts w:ascii="Times New Roman" w:eastAsia="Times New Roman" w:hAnsi="Times New Roman" w:cs="Times New Roman"/>
          <w:sz w:val="28"/>
          <w:szCs w:val="28"/>
          <w:lang w:val="uk-UA" w:eastAsia="ru-RU"/>
        </w:rPr>
        <w:t xml:space="preserve">. </w:t>
      </w:r>
      <w:r w:rsidR="007900E6" w:rsidRPr="00A41B49">
        <w:rPr>
          <w:rFonts w:ascii="Times New Roman" w:hAnsi="Times New Roman" w:cs="Times New Roman"/>
          <w:sz w:val="28"/>
          <w:szCs w:val="28"/>
          <w:lang w:val="uk-UA"/>
        </w:rPr>
        <w:t xml:space="preserve">На сучасному етапі розвитку незалежно від рівня агрегування соціально-економічних систем вони не спроможні ефективно розвиватися за рахунок лише власних ресурсів, </w:t>
      </w:r>
      <w:r w:rsidR="008453FA" w:rsidRPr="00A41B49">
        <w:rPr>
          <w:rFonts w:ascii="Times New Roman" w:hAnsi="Times New Roman" w:cs="Times New Roman"/>
          <w:sz w:val="28"/>
          <w:szCs w:val="28"/>
          <w:lang w:val="uk-UA"/>
        </w:rPr>
        <w:t xml:space="preserve">для задоволення своїх фінансових потреб, що витикають у процесі їх керованого розвитку </w:t>
      </w:r>
      <w:r w:rsidR="007900E6" w:rsidRPr="00A41B49">
        <w:rPr>
          <w:rFonts w:ascii="Times New Roman" w:hAnsi="Times New Roman" w:cs="Times New Roman"/>
          <w:sz w:val="28"/>
          <w:szCs w:val="28"/>
          <w:lang w:val="uk-UA"/>
        </w:rPr>
        <w:t>потребують залучення ресурсів ззовні</w:t>
      </w:r>
      <w:r w:rsidR="008453FA" w:rsidRPr="00A41B49">
        <w:rPr>
          <w:rFonts w:ascii="Times New Roman" w:hAnsi="Times New Roman" w:cs="Times New Roman"/>
          <w:sz w:val="28"/>
          <w:szCs w:val="28"/>
          <w:lang w:val="uk-UA"/>
        </w:rPr>
        <w:t>, при цьому д</w:t>
      </w:r>
      <w:r w:rsidR="007900E6" w:rsidRPr="00A41B49">
        <w:rPr>
          <w:rFonts w:ascii="Times New Roman" w:hAnsi="Times New Roman" w:cs="Times New Roman"/>
          <w:sz w:val="28"/>
          <w:szCs w:val="28"/>
          <w:lang w:val="uk-UA"/>
        </w:rPr>
        <w:t xml:space="preserve">жерела задоволення фінансових потреб соціально-економічних систем мезорівня, у першу чергу, регіонах та міста, беручи до уваги процеси децентралізації, що активно здійснюються в багатьох країнах сучасного світу, в тому числі й в Україні у ХХІ столітті, можна поділити на бюджетні та інвестиційні. </w:t>
      </w:r>
      <w:r w:rsidR="001658D4" w:rsidRPr="00A41B49">
        <w:rPr>
          <w:rFonts w:ascii="Times New Roman" w:hAnsi="Times New Roman" w:cs="Times New Roman"/>
          <w:sz w:val="28"/>
          <w:szCs w:val="28"/>
          <w:lang w:val="uk-UA"/>
        </w:rPr>
        <w:t>Н</w:t>
      </w:r>
      <w:r w:rsidR="007900E6" w:rsidRPr="00A41B49">
        <w:rPr>
          <w:rFonts w:ascii="Times New Roman" w:hAnsi="Times New Roman" w:cs="Times New Roman"/>
          <w:sz w:val="28"/>
          <w:szCs w:val="28"/>
          <w:lang w:val="uk-UA"/>
        </w:rPr>
        <w:t xml:space="preserve">а сучасному етапі розвитку теорії та практики </w:t>
      </w:r>
      <w:r w:rsidR="008453FA" w:rsidRPr="00A41B49">
        <w:rPr>
          <w:rFonts w:ascii="Times New Roman" w:hAnsi="Times New Roman" w:cs="Times New Roman"/>
          <w:sz w:val="28"/>
          <w:szCs w:val="28"/>
          <w:lang w:val="uk-UA"/>
        </w:rPr>
        <w:t xml:space="preserve">розвитку </w:t>
      </w:r>
      <w:r w:rsidR="007900E6" w:rsidRPr="00A41B49">
        <w:rPr>
          <w:rFonts w:ascii="Times New Roman" w:hAnsi="Times New Roman" w:cs="Times New Roman"/>
          <w:sz w:val="28"/>
          <w:szCs w:val="28"/>
          <w:lang w:val="uk-UA"/>
        </w:rPr>
        <w:t xml:space="preserve">соціально-економічних систем мезорівня саме інвестиційні джерела задоволення фінансових потреб цих систем розглядаються як найбільш перспективні та ефективні, що актуалізує питання подальшого розвитку теорії та практики інвестування, пошуку ефективних інструментів підвищення </w:t>
      </w:r>
      <w:r w:rsidR="000E3CCF" w:rsidRPr="00A41B49">
        <w:rPr>
          <w:rFonts w:ascii="Times New Roman" w:hAnsi="Times New Roman" w:cs="Times New Roman"/>
          <w:sz w:val="28"/>
          <w:szCs w:val="28"/>
          <w:lang w:val="uk-UA"/>
        </w:rPr>
        <w:t>інвестиційної</w:t>
      </w:r>
      <w:r w:rsidR="007900E6" w:rsidRPr="00A41B49">
        <w:rPr>
          <w:rFonts w:ascii="Times New Roman" w:hAnsi="Times New Roman" w:cs="Times New Roman"/>
          <w:sz w:val="28"/>
          <w:szCs w:val="28"/>
          <w:lang w:val="uk-UA"/>
        </w:rPr>
        <w:t xml:space="preserve"> привабливості</w:t>
      </w:r>
      <w:r w:rsidR="008453FA" w:rsidRPr="00A41B49">
        <w:rPr>
          <w:rFonts w:ascii="Times New Roman" w:hAnsi="Times New Roman" w:cs="Times New Roman"/>
          <w:sz w:val="28"/>
          <w:szCs w:val="28"/>
          <w:lang w:val="uk-UA"/>
        </w:rPr>
        <w:t xml:space="preserve"> міст</w:t>
      </w:r>
      <w:r w:rsidR="007900E6" w:rsidRPr="00A41B49">
        <w:rPr>
          <w:rFonts w:ascii="Times New Roman" w:hAnsi="Times New Roman" w:cs="Times New Roman"/>
          <w:sz w:val="28"/>
          <w:szCs w:val="28"/>
          <w:lang w:val="uk-UA"/>
        </w:rPr>
        <w:t xml:space="preserve">. </w:t>
      </w:r>
    </w:p>
    <w:p w14:paraId="23980589" w14:textId="77777777" w:rsidR="001658D4" w:rsidRPr="00A41B49" w:rsidRDefault="001658D4" w:rsidP="001658D4">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Беручи до уваги все зазначене вище, тема кваліфікаційної роботи є актуальною та своєчасною.</w:t>
      </w:r>
    </w:p>
    <w:p w14:paraId="1A191CA8" w14:textId="77777777" w:rsidR="000E3CCF" w:rsidRPr="00A41B49" w:rsidRDefault="003056D0" w:rsidP="003056D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b/>
          <w:sz w:val="28"/>
          <w:szCs w:val="28"/>
          <w:lang w:val="uk-UA" w:eastAsia="ru-RU"/>
        </w:rPr>
        <w:t>Мета і завдання кваліфікаційної роботи.</w:t>
      </w:r>
      <w:r w:rsidRPr="00A41B49">
        <w:rPr>
          <w:rFonts w:ascii="Times New Roman" w:eastAsia="Times New Roman" w:hAnsi="Times New Roman" w:cs="Times New Roman"/>
          <w:sz w:val="28"/>
          <w:szCs w:val="28"/>
          <w:lang w:val="uk-UA" w:eastAsia="ru-RU"/>
        </w:rPr>
        <w:t xml:space="preserve"> Метою кваліфікаційної роботи є </w:t>
      </w:r>
      <w:r w:rsidR="000E3CCF" w:rsidRPr="00A41B49">
        <w:rPr>
          <w:rFonts w:ascii="Times New Roman" w:eastAsia="Times New Roman" w:hAnsi="Times New Roman" w:cs="Times New Roman"/>
          <w:sz w:val="28"/>
          <w:szCs w:val="28"/>
          <w:lang w:val="uk-UA" w:eastAsia="ru-RU"/>
        </w:rPr>
        <w:t xml:space="preserve">обґрунтування теоретичних засад, діагностика </w:t>
      </w:r>
      <w:r w:rsidR="006E58A2" w:rsidRPr="00A41B49">
        <w:rPr>
          <w:rFonts w:ascii="Times New Roman" w:eastAsia="Times New Roman" w:hAnsi="Times New Roman" w:cs="Times New Roman"/>
          <w:sz w:val="28"/>
          <w:szCs w:val="28"/>
          <w:lang w:val="uk-UA" w:eastAsia="ru-RU"/>
        </w:rPr>
        <w:t xml:space="preserve">стану </w:t>
      </w:r>
      <w:r w:rsidR="000E3CCF" w:rsidRPr="00A41B49">
        <w:rPr>
          <w:rFonts w:ascii="Times New Roman" w:eastAsia="Times New Roman" w:hAnsi="Times New Roman" w:cs="Times New Roman"/>
          <w:sz w:val="28"/>
          <w:szCs w:val="28"/>
          <w:lang w:val="uk-UA" w:eastAsia="ru-RU"/>
        </w:rPr>
        <w:t>та визначення напрямів інвестиційної привабливості м. Кривий Ріг.</w:t>
      </w:r>
    </w:p>
    <w:p w14:paraId="506D223C" w14:textId="77777777" w:rsidR="004335C9" w:rsidRPr="00A41B49" w:rsidRDefault="003056D0" w:rsidP="003056D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 xml:space="preserve">Для досягнення поставленої мети </w:t>
      </w:r>
      <w:r w:rsidR="0086179C" w:rsidRPr="00A41B49">
        <w:rPr>
          <w:rFonts w:ascii="Times New Roman" w:eastAsia="Times New Roman" w:hAnsi="Times New Roman" w:cs="Times New Roman"/>
          <w:sz w:val="28"/>
          <w:szCs w:val="28"/>
          <w:lang w:val="uk-UA" w:eastAsia="ru-RU"/>
        </w:rPr>
        <w:t xml:space="preserve">у кваліфікаційній роботі </w:t>
      </w:r>
      <w:r w:rsidRPr="00A41B49">
        <w:rPr>
          <w:rFonts w:ascii="Times New Roman" w:eastAsia="Times New Roman" w:hAnsi="Times New Roman" w:cs="Times New Roman"/>
          <w:sz w:val="28"/>
          <w:szCs w:val="28"/>
          <w:lang w:val="uk-UA" w:eastAsia="ru-RU"/>
        </w:rPr>
        <w:t xml:space="preserve">визначено </w:t>
      </w:r>
      <w:r w:rsidR="0086179C" w:rsidRPr="00A41B49">
        <w:rPr>
          <w:rFonts w:ascii="Times New Roman" w:eastAsia="Times New Roman" w:hAnsi="Times New Roman" w:cs="Times New Roman"/>
          <w:sz w:val="28"/>
          <w:szCs w:val="28"/>
          <w:lang w:val="uk-UA" w:eastAsia="ru-RU"/>
        </w:rPr>
        <w:t xml:space="preserve">та вирішено </w:t>
      </w:r>
      <w:r w:rsidRPr="00A41B49">
        <w:rPr>
          <w:rFonts w:ascii="Times New Roman" w:eastAsia="Times New Roman" w:hAnsi="Times New Roman" w:cs="Times New Roman"/>
          <w:sz w:val="28"/>
          <w:szCs w:val="28"/>
          <w:lang w:val="uk-UA" w:eastAsia="ru-RU"/>
        </w:rPr>
        <w:t xml:space="preserve">наступні завдання: </w:t>
      </w:r>
      <w:r w:rsidR="004335C9" w:rsidRPr="00A41B49">
        <w:rPr>
          <w:rFonts w:ascii="Times New Roman" w:eastAsia="Times New Roman" w:hAnsi="Times New Roman" w:cs="Times New Roman"/>
          <w:sz w:val="28"/>
          <w:szCs w:val="28"/>
          <w:lang w:val="uk-UA" w:eastAsia="ru-RU"/>
        </w:rPr>
        <w:t xml:space="preserve">дослідити сутність понять «інвестиційна діяльність», «інвестиційний потенціал», «інвестиційна привабливість», </w:t>
      </w:r>
      <w:r w:rsidR="00485E05" w:rsidRPr="00A41B49">
        <w:rPr>
          <w:rFonts w:ascii="Times New Roman" w:eastAsia="Times New Roman" w:hAnsi="Times New Roman" w:cs="Times New Roman"/>
          <w:sz w:val="28"/>
          <w:szCs w:val="28"/>
          <w:lang w:val="uk-UA" w:eastAsia="ru-RU"/>
        </w:rPr>
        <w:t>«інвестиційний клімат»</w:t>
      </w:r>
      <w:r w:rsidR="00F43486" w:rsidRPr="00A41B49">
        <w:rPr>
          <w:rFonts w:ascii="Times New Roman" w:eastAsia="Times New Roman" w:hAnsi="Times New Roman" w:cs="Times New Roman"/>
          <w:sz w:val="28"/>
          <w:szCs w:val="28"/>
          <w:lang w:val="uk-UA" w:eastAsia="ru-RU"/>
        </w:rPr>
        <w:t xml:space="preserve"> та встановити взаємозв’язки між ними; запропонувати авторський підхід до розуміння сутності поняття «</w:t>
      </w:r>
      <w:r w:rsidR="00A42A62" w:rsidRPr="00A41B49">
        <w:rPr>
          <w:rFonts w:ascii="Times New Roman" w:eastAsia="Times New Roman" w:hAnsi="Times New Roman" w:cs="Times New Roman"/>
          <w:sz w:val="28"/>
          <w:szCs w:val="28"/>
          <w:lang w:val="uk-UA" w:eastAsia="ru-RU"/>
        </w:rPr>
        <w:t>інвестиційна</w:t>
      </w:r>
      <w:r w:rsidR="00F43486" w:rsidRPr="00A41B49">
        <w:rPr>
          <w:rFonts w:ascii="Times New Roman" w:eastAsia="Times New Roman" w:hAnsi="Times New Roman" w:cs="Times New Roman"/>
          <w:sz w:val="28"/>
          <w:szCs w:val="28"/>
          <w:lang w:val="uk-UA" w:eastAsia="ru-RU"/>
        </w:rPr>
        <w:t xml:space="preserve"> привабливість міста»; провести аналіз </w:t>
      </w:r>
      <w:r w:rsidR="00A42A62" w:rsidRPr="00A41B49">
        <w:rPr>
          <w:rFonts w:ascii="Times New Roman" w:eastAsia="Times New Roman" w:hAnsi="Times New Roman" w:cs="Times New Roman"/>
          <w:sz w:val="28"/>
          <w:szCs w:val="28"/>
          <w:lang w:val="uk-UA" w:eastAsia="ru-RU"/>
        </w:rPr>
        <w:t xml:space="preserve">та </w:t>
      </w:r>
      <w:r w:rsidR="00161629" w:rsidRPr="00A41B49">
        <w:rPr>
          <w:rFonts w:ascii="Times New Roman" w:eastAsia="Times New Roman" w:hAnsi="Times New Roman" w:cs="Times New Roman"/>
          <w:sz w:val="28"/>
          <w:szCs w:val="28"/>
          <w:lang w:val="uk-UA" w:eastAsia="ru-RU"/>
        </w:rPr>
        <w:t>систематизацію</w:t>
      </w:r>
      <w:r w:rsidR="00A42A62" w:rsidRPr="00A41B49">
        <w:rPr>
          <w:rFonts w:ascii="Times New Roman" w:eastAsia="Times New Roman" w:hAnsi="Times New Roman" w:cs="Times New Roman"/>
          <w:sz w:val="28"/>
          <w:szCs w:val="28"/>
          <w:lang w:val="uk-UA" w:eastAsia="ru-RU"/>
        </w:rPr>
        <w:t xml:space="preserve"> </w:t>
      </w:r>
      <w:r w:rsidR="00F43486" w:rsidRPr="00A41B49">
        <w:rPr>
          <w:rFonts w:ascii="Times New Roman" w:eastAsia="Times New Roman" w:hAnsi="Times New Roman" w:cs="Times New Roman"/>
          <w:sz w:val="28"/>
          <w:szCs w:val="28"/>
          <w:lang w:val="uk-UA" w:eastAsia="ru-RU"/>
        </w:rPr>
        <w:t xml:space="preserve">факторів </w:t>
      </w:r>
      <w:r w:rsidR="00756503" w:rsidRPr="00A41B49">
        <w:rPr>
          <w:rFonts w:ascii="Times New Roman" w:eastAsia="Times New Roman" w:hAnsi="Times New Roman" w:cs="Times New Roman"/>
          <w:sz w:val="28"/>
          <w:szCs w:val="28"/>
          <w:lang w:val="uk-UA" w:eastAsia="ru-RU"/>
        </w:rPr>
        <w:t>інвестиційної</w:t>
      </w:r>
      <w:r w:rsidR="00F43486" w:rsidRPr="00A41B49">
        <w:rPr>
          <w:rFonts w:ascii="Times New Roman" w:eastAsia="Times New Roman" w:hAnsi="Times New Roman" w:cs="Times New Roman"/>
          <w:sz w:val="28"/>
          <w:szCs w:val="28"/>
          <w:lang w:val="uk-UA" w:eastAsia="ru-RU"/>
        </w:rPr>
        <w:t xml:space="preserve"> привабливості </w:t>
      </w:r>
      <w:r w:rsidR="00A42A62" w:rsidRPr="00A41B49">
        <w:rPr>
          <w:rFonts w:ascii="Times New Roman" w:eastAsia="Times New Roman" w:hAnsi="Times New Roman" w:cs="Times New Roman"/>
          <w:sz w:val="28"/>
          <w:szCs w:val="28"/>
          <w:lang w:val="uk-UA" w:eastAsia="ru-RU"/>
        </w:rPr>
        <w:t xml:space="preserve">соціально-економічних систем; ідентифікувати фактори </w:t>
      </w:r>
      <w:r w:rsidR="00756503" w:rsidRPr="00A41B49">
        <w:rPr>
          <w:rFonts w:ascii="Times New Roman" w:eastAsia="Times New Roman" w:hAnsi="Times New Roman" w:cs="Times New Roman"/>
          <w:sz w:val="28"/>
          <w:szCs w:val="28"/>
          <w:lang w:val="uk-UA" w:eastAsia="ru-RU"/>
        </w:rPr>
        <w:t>інвестиційної</w:t>
      </w:r>
      <w:r w:rsidR="00A42A62" w:rsidRPr="00A41B49">
        <w:rPr>
          <w:rFonts w:ascii="Times New Roman" w:eastAsia="Times New Roman" w:hAnsi="Times New Roman" w:cs="Times New Roman"/>
          <w:sz w:val="28"/>
          <w:szCs w:val="28"/>
          <w:lang w:val="uk-UA" w:eastAsia="ru-RU"/>
        </w:rPr>
        <w:t xml:space="preserve"> привабливості міста як соціально-економічної системи мезорівня; </w:t>
      </w:r>
      <w:r w:rsidR="00756503" w:rsidRPr="00A41B49">
        <w:rPr>
          <w:rFonts w:ascii="Times New Roman" w:eastAsia="Times New Roman" w:hAnsi="Times New Roman" w:cs="Times New Roman"/>
          <w:sz w:val="28"/>
          <w:szCs w:val="28"/>
          <w:lang w:val="uk-UA" w:eastAsia="ru-RU"/>
        </w:rPr>
        <w:t>провести аналіз та систематизацію методичних підходів до оцінки різнорівневих соціально-економічних систем, зокрема міста; запропонувати авторський підхід до діагностики інвестиційної привабливості міста; провести компаративний аналіз інвестиційної привабливості регіонів України; проаналізувати інвестиційну привабливість Дніпропетровської області; провести аналіз та оцінку інвестиційної привабливості м. Кривий Ріг; запропонувати заходи, спрямовані на забезпечення та підвищення інвестиційної привабли</w:t>
      </w:r>
      <w:r w:rsidR="00351342" w:rsidRPr="00A41B49">
        <w:rPr>
          <w:rFonts w:ascii="Times New Roman" w:eastAsia="Times New Roman" w:hAnsi="Times New Roman" w:cs="Times New Roman"/>
          <w:sz w:val="28"/>
          <w:szCs w:val="28"/>
          <w:lang w:val="uk-UA" w:eastAsia="ru-RU"/>
        </w:rPr>
        <w:t>вість</w:t>
      </w:r>
      <w:r w:rsidR="00756503" w:rsidRPr="00A41B49">
        <w:rPr>
          <w:rFonts w:ascii="Times New Roman" w:eastAsia="Times New Roman" w:hAnsi="Times New Roman" w:cs="Times New Roman"/>
          <w:sz w:val="28"/>
          <w:szCs w:val="28"/>
          <w:lang w:val="uk-UA" w:eastAsia="ru-RU"/>
        </w:rPr>
        <w:t xml:space="preserve"> м. Кривий Ріг.</w:t>
      </w:r>
    </w:p>
    <w:p w14:paraId="05C74366" w14:textId="77777777" w:rsidR="003056D0" w:rsidRPr="00A41B49" w:rsidRDefault="003056D0" w:rsidP="003056D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b/>
          <w:sz w:val="28"/>
          <w:szCs w:val="28"/>
          <w:lang w:val="uk-UA" w:eastAsia="ru-RU"/>
        </w:rPr>
        <w:t>Об'єктом кваліфікаційної роботи</w:t>
      </w:r>
      <w:r w:rsidRPr="00A41B49">
        <w:rPr>
          <w:rFonts w:ascii="Times New Roman" w:eastAsia="Times New Roman" w:hAnsi="Times New Roman" w:cs="Times New Roman"/>
          <w:sz w:val="28"/>
          <w:szCs w:val="28"/>
          <w:lang w:val="uk-UA" w:eastAsia="ru-RU"/>
        </w:rPr>
        <w:t xml:space="preserve"> є </w:t>
      </w:r>
      <w:r w:rsidR="00351342" w:rsidRPr="00A41B49">
        <w:rPr>
          <w:rFonts w:ascii="Times New Roman" w:eastAsia="Times New Roman" w:hAnsi="Times New Roman" w:cs="Times New Roman"/>
          <w:sz w:val="28"/>
          <w:szCs w:val="28"/>
          <w:lang w:val="uk-UA" w:eastAsia="ru-RU"/>
        </w:rPr>
        <w:t>інвестиційна діяльність різнорівневих соціально-економічних систем.</w:t>
      </w:r>
    </w:p>
    <w:p w14:paraId="48714D3C" w14:textId="77777777" w:rsidR="00351342" w:rsidRPr="00A41B49" w:rsidRDefault="003056D0" w:rsidP="003056D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b/>
          <w:sz w:val="28"/>
          <w:szCs w:val="28"/>
          <w:lang w:val="uk-UA" w:eastAsia="ru-RU"/>
        </w:rPr>
        <w:t xml:space="preserve">Предметом кваліфікаційної роботи є </w:t>
      </w:r>
      <w:r w:rsidR="00351342" w:rsidRPr="00A41B49">
        <w:rPr>
          <w:rFonts w:ascii="Times New Roman" w:eastAsia="Times New Roman" w:hAnsi="Times New Roman" w:cs="Times New Roman"/>
          <w:sz w:val="28"/>
          <w:szCs w:val="28"/>
          <w:lang w:val="uk-UA" w:eastAsia="ru-RU"/>
        </w:rPr>
        <w:t>теоретичні, методичні та практичні аспекти формування інвестиційної привабливості міста Кривий Ріг.</w:t>
      </w:r>
    </w:p>
    <w:p w14:paraId="3DACE4F1" w14:textId="77777777" w:rsidR="003056D0" w:rsidRPr="00A41B49" w:rsidRDefault="003056D0" w:rsidP="003056D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b/>
          <w:sz w:val="28"/>
          <w:szCs w:val="28"/>
          <w:lang w:val="uk-UA" w:eastAsia="ru-RU"/>
        </w:rPr>
        <w:t>Методи дослідження.</w:t>
      </w:r>
      <w:r w:rsidRPr="00A41B49">
        <w:rPr>
          <w:rFonts w:ascii="Times New Roman" w:eastAsia="Times New Roman" w:hAnsi="Times New Roman" w:cs="Times New Roman"/>
          <w:sz w:val="28"/>
          <w:szCs w:val="28"/>
          <w:lang w:val="uk-UA" w:eastAsia="ru-RU"/>
        </w:rPr>
        <w:t xml:space="preserve"> Результати дослідження було одержано шляхом застосування таких методів: аналіз та синтез; узагальнення; порівняння; </w:t>
      </w:r>
      <w:r w:rsidR="00351342" w:rsidRPr="00A41B49">
        <w:rPr>
          <w:rFonts w:ascii="Times New Roman" w:eastAsia="Times New Roman" w:hAnsi="Times New Roman" w:cs="Times New Roman"/>
          <w:sz w:val="28"/>
          <w:szCs w:val="28"/>
          <w:lang w:val="uk-UA" w:eastAsia="ru-RU"/>
        </w:rPr>
        <w:t>кластерний аналіз; аналіз</w:t>
      </w:r>
      <w:r w:rsidRPr="00A41B49">
        <w:rPr>
          <w:rFonts w:ascii="Times New Roman" w:eastAsia="Times New Roman" w:hAnsi="Times New Roman" w:cs="Times New Roman"/>
          <w:sz w:val="28"/>
          <w:szCs w:val="28"/>
          <w:lang w:val="uk-UA" w:eastAsia="ru-RU"/>
        </w:rPr>
        <w:t xml:space="preserve"> рядів динаміки; графічн</w:t>
      </w:r>
      <w:r w:rsidR="00351342" w:rsidRPr="00A41B49">
        <w:rPr>
          <w:rFonts w:ascii="Times New Roman" w:eastAsia="Times New Roman" w:hAnsi="Times New Roman" w:cs="Times New Roman"/>
          <w:sz w:val="28"/>
          <w:szCs w:val="28"/>
          <w:lang w:val="uk-UA" w:eastAsia="ru-RU"/>
        </w:rPr>
        <w:t>ий</w:t>
      </w:r>
      <w:r w:rsidRPr="00A41B49">
        <w:rPr>
          <w:rFonts w:ascii="Times New Roman" w:eastAsia="Times New Roman" w:hAnsi="Times New Roman" w:cs="Times New Roman"/>
          <w:sz w:val="28"/>
          <w:szCs w:val="28"/>
          <w:lang w:val="uk-UA" w:eastAsia="ru-RU"/>
        </w:rPr>
        <w:t xml:space="preserve"> та табличн</w:t>
      </w:r>
      <w:r w:rsidR="00351342" w:rsidRPr="00A41B49">
        <w:rPr>
          <w:rFonts w:ascii="Times New Roman" w:eastAsia="Times New Roman" w:hAnsi="Times New Roman" w:cs="Times New Roman"/>
          <w:sz w:val="28"/>
          <w:szCs w:val="28"/>
          <w:lang w:val="uk-UA" w:eastAsia="ru-RU"/>
        </w:rPr>
        <w:t>ий</w:t>
      </w:r>
      <w:r w:rsidR="00856AA3" w:rsidRPr="00A41B49">
        <w:rPr>
          <w:rFonts w:ascii="Times New Roman" w:eastAsia="Times New Roman" w:hAnsi="Times New Roman" w:cs="Times New Roman"/>
          <w:sz w:val="28"/>
          <w:szCs w:val="28"/>
          <w:lang w:val="uk-UA" w:eastAsia="ru-RU"/>
        </w:rPr>
        <w:t xml:space="preserve"> методи</w:t>
      </w:r>
      <w:r w:rsidRPr="00A41B49">
        <w:rPr>
          <w:rFonts w:ascii="Times New Roman" w:eastAsia="Times New Roman" w:hAnsi="Times New Roman" w:cs="Times New Roman"/>
          <w:sz w:val="28"/>
          <w:szCs w:val="28"/>
          <w:lang w:val="uk-UA" w:eastAsia="ru-RU"/>
        </w:rPr>
        <w:t>.</w:t>
      </w:r>
    </w:p>
    <w:p w14:paraId="2CD7CBD7" w14:textId="77777777" w:rsidR="003056D0" w:rsidRPr="00A41B49" w:rsidRDefault="003056D0" w:rsidP="003056D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b/>
          <w:sz w:val="28"/>
          <w:szCs w:val="28"/>
          <w:lang w:val="uk-UA" w:eastAsia="ru-RU"/>
        </w:rPr>
        <w:lastRenderedPageBreak/>
        <w:t>Інформаційну базу дослідження</w:t>
      </w:r>
      <w:r w:rsidRPr="00A41B49">
        <w:rPr>
          <w:rFonts w:ascii="Times New Roman" w:eastAsia="Times New Roman" w:hAnsi="Times New Roman" w:cs="Times New Roman"/>
          <w:sz w:val="28"/>
          <w:szCs w:val="28"/>
          <w:lang w:val="uk-UA" w:eastAsia="ru-RU"/>
        </w:rPr>
        <w:t xml:space="preserve"> становлять дані </w:t>
      </w:r>
      <w:r w:rsidR="00856AA3" w:rsidRPr="00A41B49">
        <w:rPr>
          <w:rFonts w:ascii="Times New Roman" w:eastAsia="Times New Roman" w:hAnsi="Times New Roman" w:cs="Times New Roman"/>
          <w:sz w:val="28"/>
          <w:szCs w:val="28"/>
          <w:lang w:val="uk-UA" w:eastAsia="ru-RU"/>
        </w:rPr>
        <w:t xml:space="preserve">міжнародних рейтингових агентств, офіційні статистичні дані Державної служби статистики України, Криворізької </w:t>
      </w:r>
      <w:r w:rsidR="0098177D" w:rsidRPr="00A41B49">
        <w:rPr>
          <w:rFonts w:ascii="Times New Roman" w:eastAsia="Times New Roman" w:hAnsi="Times New Roman" w:cs="Times New Roman"/>
          <w:sz w:val="28"/>
          <w:szCs w:val="28"/>
          <w:lang w:val="uk-UA" w:eastAsia="ru-RU"/>
        </w:rPr>
        <w:t>міської</w:t>
      </w:r>
      <w:r w:rsidR="00856AA3" w:rsidRPr="00A41B49">
        <w:rPr>
          <w:rFonts w:ascii="Times New Roman" w:eastAsia="Times New Roman" w:hAnsi="Times New Roman" w:cs="Times New Roman"/>
          <w:sz w:val="28"/>
          <w:szCs w:val="28"/>
          <w:lang w:val="uk-UA" w:eastAsia="ru-RU"/>
        </w:rPr>
        <w:t xml:space="preserve"> ради та її виконавчого комітету, </w:t>
      </w:r>
      <w:r w:rsidRPr="00A41B49">
        <w:rPr>
          <w:rFonts w:ascii="Times New Roman" w:eastAsia="Times New Roman" w:hAnsi="Times New Roman" w:cs="Times New Roman"/>
          <w:sz w:val="28"/>
          <w:szCs w:val="28"/>
          <w:lang w:val="uk-UA" w:eastAsia="ru-RU"/>
        </w:rPr>
        <w:t>інформація, розміщена на веб-ресурсах органів влади України, праці зарубіжних та українських вчених.</w:t>
      </w:r>
    </w:p>
    <w:p w14:paraId="6DB3CC39" w14:textId="77777777" w:rsidR="0098177D" w:rsidRPr="00A41B49" w:rsidRDefault="003056D0" w:rsidP="003056D0">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Наукова новизна отриманих результатів полягає</w:t>
      </w:r>
      <w:r w:rsidR="00013031" w:rsidRPr="00A41B49">
        <w:rPr>
          <w:rFonts w:ascii="Times New Roman" w:eastAsia="Times New Roman" w:hAnsi="Times New Roman" w:cs="Times New Roman"/>
          <w:sz w:val="28"/>
          <w:szCs w:val="28"/>
          <w:lang w:val="uk-UA" w:eastAsia="ru-RU"/>
        </w:rPr>
        <w:t xml:space="preserve"> у</w:t>
      </w:r>
      <w:r w:rsidRPr="00A41B49">
        <w:rPr>
          <w:rFonts w:ascii="Times New Roman" w:eastAsia="Times New Roman" w:hAnsi="Times New Roman" w:cs="Times New Roman"/>
          <w:sz w:val="28"/>
          <w:szCs w:val="28"/>
          <w:lang w:val="uk-UA" w:eastAsia="ru-RU"/>
        </w:rPr>
        <w:t xml:space="preserve"> визначенні </w:t>
      </w:r>
      <w:r w:rsidR="00013031" w:rsidRPr="00A41B49">
        <w:rPr>
          <w:rFonts w:ascii="Times New Roman" w:eastAsia="Times New Roman" w:hAnsi="Times New Roman" w:cs="Times New Roman"/>
          <w:sz w:val="28"/>
          <w:szCs w:val="28"/>
          <w:lang w:val="uk-UA" w:eastAsia="ru-RU"/>
        </w:rPr>
        <w:t xml:space="preserve">сутності, ідентифікації факторів інвестиційної привабливості </w:t>
      </w:r>
      <w:r w:rsidR="001539BE" w:rsidRPr="00A41B49">
        <w:rPr>
          <w:rFonts w:ascii="Times New Roman" w:eastAsia="Times New Roman" w:hAnsi="Times New Roman" w:cs="Times New Roman"/>
          <w:sz w:val="28"/>
          <w:szCs w:val="28"/>
          <w:lang w:val="uk-UA" w:eastAsia="ru-RU"/>
        </w:rPr>
        <w:t>міста, визначенні рівня та динаміки інвестиційної привабливості м. Кривий Ріг у 2017-2022 рр.; обґрунтуванні напрямів подальшого забезпечення та підвищення інвестиційної привабливості міста Кривий Ріг.</w:t>
      </w:r>
    </w:p>
    <w:p w14:paraId="25AE8DBC" w14:textId="77777777" w:rsidR="007900E6" w:rsidRPr="00A41B49" w:rsidRDefault="003056D0" w:rsidP="006A318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 xml:space="preserve">Практичне значення полягає в тому, що за результатами підготовки кваліфікаційної роботи визначено </w:t>
      </w:r>
      <w:r w:rsidR="001539BE" w:rsidRPr="00A41B49">
        <w:rPr>
          <w:rFonts w:ascii="Times New Roman" w:eastAsia="Times New Roman" w:hAnsi="Times New Roman" w:cs="Times New Roman"/>
          <w:sz w:val="28"/>
          <w:szCs w:val="28"/>
          <w:lang w:val="uk-UA" w:eastAsia="ru-RU"/>
        </w:rPr>
        <w:t>напрями подальшого забезпечення та підвищення інвестиційної привабливості міста Кривий Ріг.</w:t>
      </w:r>
    </w:p>
    <w:p w14:paraId="348035D9" w14:textId="77777777" w:rsidR="006A3184" w:rsidRPr="00A41B49" w:rsidRDefault="006A3184" w:rsidP="006A3184">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lang w:val="uk-UA" w:eastAsia="ru-RU"/>
        </w:rPr>
        <w:t>Результати виконання кваліфікаційної роботи були апробовані на ХІ Всеукраїнській науково-практичній онлайн конференції студентів, аспірантів та молодих вчених «Сучасна фінансова політика України: проблеми та перспективи».</w:t>
      </w:r>
    </w:p>
    <w:p w14:paraId="359E836D" w14:textId="77777777" w:rsidR="007900E6" w:rsidRPr="00A41B49" w:rsidRDefault="007900E6">
      <w:pPr>
        <w:rPr>
          <w:rFonts w:ascii="Times New Roman" w:hAnsi="Times New Roman" w:cs="Times New Roman"/>
          <w:sz w:val="28"/>
          <w:szCs w:val="28"/>
          <w:lang w:val="uk-UA"/>
        </w:rPr>
      </w:pPr>
    </w:p>
    <w:p w14:paraId="1D24ABEA" w14:textId="77777777" w:rsidR="007900E6" w:rsidRPr="00A41B49" w:rsidRDefault="007900E6">
      <w:pPr>
        <w:rPr>
          <w:rFonts w:ascii="Times New Roman" w:hAnsi="Times New Roman" w:cs="Times New Roman"/>
          <w:sz w:val="28"/>
          <w:szCs w:val="28"/>
          <w:lang w:val="uk-UA"/>
        </w:rPr>
      </w:pPr>
    </w:p>
    <w:p w14:paraId="22E3F625" w14:textId="77777777" w:rsidR="00293B9F" w:rsidRPr="00A41B49" w:rsidRDefault="00293B9F">
      <w:pPr>
        <w:rPr>
          <w:rFonts w:ascii="Times New Roman" w:hAnsi="Times New Roman" w:cs="Times New Roman"/>
          <w:sz w:val="28"/>
          <w:szCs w:val="28"/>
          <w:lang w:val="uk-UA"/>
        </w:rPr>
      </w:pPr>
      <w:r w:rsidRPr="00A41B49">
        <w:rPr>
          <w:rFonts w:ascii="Times New Roman" w:hAnsi="Times New Roman" w:cs="Times New Roman"/>
          <w:sz w:val="28"/>
          <w:szCs w:val="28"/>
          <w:lang w:val="uk-UA"/>
        </w:rPr>
        <w:br w:type="page"/>
      </w:r>
    </w:p>
    <w:p w14:paraId="1E669D85" w14:textId="77777777" w:rsidR="00293B9F" w:rsidRPr="00A41B49" w:rsidRDefault="00293B9F" w:rsidP="00293B9F">
      <w:pPr>
        <w:spacing w:after="0" w:line="240" w:lineRule="auto"/>
        <w:jc w:val="center"/>
        <w:rPr>
          <w:rFonts w:ascii="Times New Roman" w:hAnsi="Times New Roman" w:cs="Times New Roman"/>
          <w:b/>
          <w:sz w:val="28"/>
          <w:szCs w:val="28"/>
          <w:lang w:val="uk-UA"/>
        </w:rPr>
      </w:pPr>
      <w:r w:rsidRPr="00A41B49">
        <w:rPr>
          <w:rFonts w:ascii="Times New Roman" w:hAnsi="Times New Roman" w:cs="Times New Roman"/>
          <w:b/>
          <w:sz w:val="28"/>
          <w:szCs w:val="28"/>
          <w:lang w:val="uk-UA"/>
        </w:rPr>
        <w:lastRenderedPageBreak/>
        <w:t>РОЗДІЛ 1</w:t>
      </w:r>
    </w:p>
    <w:p w14:paraId="61B5B402" w14:textId="77777777" w:rsidR="00D57850" w:rsidRPr="00A41B49" w:rsidRDefault="00293B9F" w:rsidP="00293B9F">
      <w:pPr>
        <w:spacing w:after="0" w:line="240" w:lineRule="auto"/>
        <w:jc w:val="center"/>
        <w:rPr>
          <w:rFonts w:ascii="Times New Roman" w:hAnsi="Times New Roman" w:cs="Times New Roman"/>
          <w:b/>
          <w:sz w:val="28"/>
          <w:szCs w:val="28"/>
          <w:lang w:val="uk-UA"/>
        </w:rPr>
      </w:pPr>
      <w:r w:rsidRPr="00A41B49">
        <w:rPr>
          <w:rFonts w:ascii="Times New Roman" w:hAnsi="Times New Roman" w:cs="Times New Roman"/>
          <w:b/>
          <w:sz w:val="28"/>
          <w:szCs w:val="28"/>
          <w:lang w:val="uk-UA"/>
        </w:rPr>
        <w:t>ТЕОРЕТИКО-МЕТОДИЧНІ ОСНОВИ ФОРМУВАННЯ ІНВЕСТИЦІНОЇ ПРИВАБЛИВОСТІ МІСТА</w:t>
      </w:r>
    </w:p>
    <w:p w14:paraId="12C78F84" w14:textId="77777777" w:rsidR="00293B9F" w:rsidRPr="00A41B49" w:rsidRDefault="00293B9F" w:rsidP="00293B9F">
      <w:pPr>
        <w:spacing w:after="0" w:line="240" w:lineRule="auto"/>
        <w:jc w:val="center"/>
        <w:rPr>
          <w:rFonts w:ascii="Times New Roman" w:hAnsi="Times New Roman" w:cs="Times New Roman"/>
          <w:b/>
          <w:sz w:val="28"/>
          <w:szCs w:val="28"/>
          <w:lang w:val="uk-UA"/>
        </w:rPr>
      </w:pPr>
    </w:p>
    <w:p w14:paraId="0CD965D1" w14:textId="77777777" w:rsidR="00EC449A" w:rsidRPr="00A41B49" w:rsidRDefault="00EC449A" w:rsidP="002D49DA">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Як свідчить аналіз джерел [1-</w:t>
      </w:r>
      <w:r w:rsidR="00632B45" w:rsidRPr="00A41B49">
        <w:rPr>
          <w:rFonts w:ascii="Times New Roman" w:hAnsi="Times New Roman" w:cs="Times New Roman"/>
          <w:sz w:val="28"/>
          <w:szCs w:val="28"/>
          <w:lang w:val="uk-UA"/>
        </w:rPr>
        <w:t>3</w:t>
      </w:r>
      <w:r w:rsidRPr="00A41B49">
        <w:rPr>
          <w:rFonts w:ascii="Times New Roman" w:hAnsi="Times New Roman" w:cs="Times New Roman"/>
          <w:sz w:val="28"/>
          <w:szCs w:val="28"/>
          <w:lang w:val="uk-UA"/>
        </w:rPr>
        <w:t xml:space="preserve">8], інвестиції сьогодні розглядаються як важливий детермінант стимулювання інноваційних процесів, підвищення ефективності </w:t>
      </w:r>
      <w:r w:rsidR="005E7653" w:rsidRPr="00A41B49">
        <w:rPr>
          <w:rFonts w:ascii="Times New Roman" w:hAnsi="Times New Roman" w:cs="Times New Roman"/>
          <w:sz w:val="28"/>
          <w:szCs w:val="28"/>
          <w:lang w:val="uk-UA"/>
        </w:rPr>
        <w:t>функціонування</w:t>
      </w:r>
      <w:r w:rsidRPr="00A41B49">
        <w:rPr>
          <w:rFonts w:ascii="Times New Roman" w:hAnsi="Times New Roman" w:cs="Times New Roman"/>
          <w:sz w:val="28"/>
          <w:szCs w:val="28"/>
          <w:lang w:val="uk-UA"/>
        </w:rPr>
        <w:t xml:space="preserve">, розширення можливостей розвитку </w:t>
      </w:r>
      <w:r w:rsidR="0048430E" w:rsidRPr="00A41B49">
        <w:rPr>
          <w:rFonts w:ascii="Times New Roman" w:hAnsi="Times New Roman" w:cs="Times New Roman"/>
          <w:sz w:val="28"/>
          <w:szCs w:val="28"/>
          <w:lang w:val="uk-UA"/>
        </w:rPr>
        <w:t xml:space="preserve">та забезпечення конкурентоспроможності </w:t>
      </w:r>
      <w:r w:rsidR="005E7653" w:rsidRPr="00A41B49">
        <w:rPr>
          <w:rFonts w:ascii="Times New Roman" w:hAnsi="Times New Roman" w:cs="Times New Roman"/>
          <w:sz w:val="28"/>
          <w:szCs w:val="28"/>
          <w:lang w:val="uk-UA"/>
        </w:rPr>
        <w:t xml:space="preserve">різнорівневих </w:t>
      </w:r>
      <w:r w:rsidRPr="00A41B49">
        <w:rPr>
          <w:rFonts w:ascii="Times New Roman" w:hAnsi="Times New Roman" w:cs="Times New Roman"/>
          <w:sz w:val="28"/>
          <w:szCs w:val="28"/>
          <w:lang w:val="uk-UA"/>
        </w:rPr>
        <w:t xml:space="preserve">соціально-економічних систем </w:t>
      </w:r>
      <w:r w:rsidR="005E7653" w:rsidRPr="00A41B49">
        <w:rPr>
          <w:rFonts w:ascii="Times New Roman" w:hAnsi="Times New Roman" w:cs="Times New Roman"/>
          <w:sz w:val="28"/>
          <w:szCs w:val="28"/>
          <w:lang w:val="uk-UA"/>
        </w:rPr>
        <w:t xml:space="preserve">(як мікрорівня – підприємство, так і мезорівня  – галузь, регіон, місто та макрорівня – національна економіка). З огляду на зазначене вище, </w:t>
      </w:r>
      <w:r w:rsidR="00632B45" w:rsidRPr="00A41B49">
        <w:rPr>
          <w:rFonts w:ascii="Times New Roman" w:hAnsi="Times New Roman" w:cs="Times New Roman"/>
          <w:sz w:val="28"/>
          <w:szCs w:val="28"/>
          <w:lang w:val="uk-UA"/>
        </w:rPr>
        <w:t xml:space="preserve">різнорівневі </w:t>
      </w:r>
      <w:r w:rsidR="005E7653" w:rsidRPr="00A41B49">
        <w:rPr>
          <w:rFonts w:ascii="Times New Roman" w:hAnsi="Times New Roman" w:cs="Times New Roman"/>
          <w:sz w:val="28"/>
          <w:szCs w:val="28"/>
          <w:lang w:val="uk-UA"/>
        </w:rPr>
        <w:t xml:space="preserve">соціально-економічні системи на сучасному етапі розвитку активно конкурують за </w:t>
      </w:r>
      <w:r w:rsidR="0048430E" w:rsidRPr="00A41B49">
        <w:rPr>
          <w:rFonts w:ascii="Times New Roman" w:hAnsi="Times New Roman" w:cs="Times New Roman"/>
          <w:sz w:val="28"/>
          <w:szCs w:val="28"/>
          <w:lang w:val="uk-UA"/>
        </w:rPr>
        <w:t>можливість залучення інвестицій</w:t>
      </w:r>
      <w:r w:rsidR="006501A3" w:rsidRPr="00A41B49">
        <w:rPr>
          <w:rFonts w:ascii="Times New Roman" w:hAnsi="Times New Roman" w:cs="Times New Roman"/>
          <w:sz w:val="28"/>
          <w:szCs w:val="28"/>
          <w:lang w:val="uk-UA"/>
        </w:rPr>
        <w:t>, беруть участь в інвестиційній діяльності</w:t>
      </w:r>
      <w:r w:rsidR="006400E7" w:rsidRPr="00A41B49">
        <w:rPr>
          <w:rFonts w:ascii="Times New Roman" w:hAnsi="Times New Roman" w:cs="Times New Roman"/>
          <w:sz w:val="28"/>
          <w:szCs w:val="28"/>
          <w:lang w:val="uk-UA"/>
        </w:rPr>
        <w:t xml:space="preserve"> – специфічному різновиді господарської діяльності, пов’язаному із реалізацією інвестицій</w:t>
      </w:r>
      <w:r w:rsidR="00EB60D1" w:rsidRPr="00A41B49">
        <w:rPr>
          <w:rFonts w:ascii="Times New Roman" w:hAnsi="Times New Roman" w:cs="Times New Roman"/>
          <w:sz w:val="28"/>
          <w:szCs w:val="28"/>
          <w:lang w:val="uk-UA"/>
        </w:rPr>
        <w:t>.</w:t>
      </w:r>
      <w:r w:rsidR="0048430E" w:rsidRPr="00A41B49">
        <w:rPr>
          <w:rFonts w:ascii="Times New Roman" w:hAnsi="Times New Roman" w:cs="Times New Roman"/>
          <w:sz w:val="28"/>
          <w:szCs w:val="28"/>
          <w:lang w:val="uk-UA"/>
        </w:rPr>
        <w:t xml:space="preserve"> </w:t>
      </w:r>
    </w:p>
    <w:p w14:paraId="0B23B282" w14:textId="77777777" w:rsidR="006501A3" w:rsidRPr="00A41B49" w:rsidRDefault="00743A4E" w:rsidP="002D49DA">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Інвестиційна діяльність, з огляду на суттєве значення та роль для соціально-економічних систем, регламентується, контролюється </w:t>
      </w:r>
      <w:r w:rsidR="009176B9" w:rsidRPr="00A41B49">
        <w:rPr>
          <w:rFonts w:ascii="Times New Roman" w:hAnsi="Times New Roman" w:cs="Times New Roman"/>
          <w:sz w:val="28"/>
          <w:szCs w:val="28"/>
          <w:lang w:val="uk-UA"/>
        </w:rPr>
        <w:t>з боку держави</w:t>
      </w:r>
      <w:r w:rsidR="008B519F" w:rsidRPr="00A41B49">
        <w:rPr>
          <w:rFonts w:ascii="Times New Roman" w:hAnsi="Times New Roman" w:cs="Times New Roman"/>
          <w:sz w:val="28"/>
          <w:szCs w:val="28"/>
          <w:lang w:val="uk-UA"/>
        </w:rPr>
        <w:t xml:space="preserve"> через застосування економічних, правових та адміністративних важелів</w:t>
      </w:r>
      <w:r w:rsidR="009176B9" w:rsidRPr="00A41B49">
        <w:rPr>
          <w:rFonts w:ascii="Times New Roman" w:hAnsi="Times New Roman" w:cs="Times New Roman"/>
          <w:sz w:val="28"/>
          <w:szCs w:val="28"/>
          <w:lang w:val="uk-UA"/>
        </w:rPr>
        <w:t>, передбачає наявність специфічного інституційного забезпечення, інвестиційного</w:t>
      </w:r>
      <w:r w:rsidR="0040405B" w:rsidRPr="00A41B49">
        <w:rPr>
          <w:rFonts w:ascii="Times New Roman" w:hAnsi="Times New Roman" w:cs="Times New Roman"/>
          <w:sz w:val="28"/>
          <w:szCs w:val="28"/>
          <w:lang w:val="uk-UA"/>
        </w:rPr>
        <w:t xml:space="preserve"> законодавства, під яким доцільно розуміти всю сукупність законодавчих актів, норм, що регламентують та регулюють відносини між суб’єктами ць</w:t>
      </w:r>
      <w:r w:rsidR="00015F81" w:rsidRPr="00A41B49">
        <w:rPr>
          <w:rFonts w:ascii="Times New Roman" w:hAnsi="Times New Roman" w:cs="Times New Roman"/>
          <w:sz w:val="28"/>
          <w:szCs w:val="28"/>
          <w:lang w:val="uk-UA"/>
        </w:rPr>
        <w:t>ого процесу; механізмів державного регулювання та інструментів</w:t>
      </w:r>
      <w:r w:rsidR="008B519F" w:rsidRPr="00A41B49">
        <w:rPr>
          <w:rFonts w:ascii="Times New Roman" w:hAnsi="Times New Roman" w:cs="Times New Roman"/>
          <w:sz w:val="28"/>
          <w:szCs w:val="28"/>
          <w:lang w:val="uk-UA"/>
        </w:rPr>
        <w:t>.</w:t>
      </w:r>
    </w:p>
    <w:p w14:paraId="7383E5D0" w14:textId="77777777" w:rsidR="00D7018D" w:rsidRPr="00A41B49" w:rsidRDefault="00D7018D" w:rsidP="002D49DA">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Як свідчить аналіз джерел [1-38], н</w:t>
      </w:r>
      <w:r w:rsidR="0040405B" w:rsidRPr="00A41B49">
        <w:rPr>
          <w:rFonts w:ascii="Times New Roman" w:hAnsi="Times New Roman" w:cs="Times New Roman"/>
          <w:sz w:val="28"/>
          <w:szCs w:val="28"/>
          <w:lang w:val="uk-UA"/>
        </w:rPr>
        <w:t>а сучасному етапі розвитку інституційне забезпечення інвестиційної діяльності в Україні охоплює понад 200</w:t>
      </w:r>
      <w:r w:rsidRPr="00A41B49">
        <w:rPr>
          <w:rFonts w:ascii="Times New Roman" w:hAnsi="Times New Roman" w:cs="Times New Roman"/>
          <w:sz w:val="28"/>
          <w:szCs w:val="28"/>
          <w:lang w:val="uk-UA"/>
        </w:rPr>
        <w:t xml:space="preserve"> нормативно-правових актів, серед яких одне із найвизначальніших значень має Закон України «Про інвестиційну діяльність» [26].</w:t>
      </w:r>
    </w:p>
    <w:p w14:paraId="26144C6F" w14:textId="77777777" w:rsidR="00DB6A2C" w:rsidRPr="00A41B49" w:rsidRDefault="00357856" w:rsidP="002D49DA">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Відповідно до Закону України «Про інвестиційну діяльність» </w:t>
      </w:r>
      <w:r w:rsidR="00DB6A2C" w:rsidRPr="00A41B49">
        <w:rPr>
          <w:rFonts w:ascii="Times New Roman" w:hAnsi="Times New Roman" w:cs="Times New Roman"/>
          <w:sz w:val="28"/>
          <w:szCs w:val="28"/>
          <w:lang w:val="uk-UA"/>
        </w:rPr>
        <w:t>[26]:</w:t>
      </w:r>
    </w:p>
    <w:p w14:paraId="73C4F924" w14:textId="77777777" w:rsidR="00DB6A2C" w:rsidRPr="00A41B49" w:rsidRDefault="00C269AA" w:rsidP="002D49DA">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І</w:t>
      </w:r>
      <w:r w:rsidR="0048430E" w:rsidRPr="00A41B49">
        <w:rPr>
          <w:rFonts w:ascii="Times New Roman" w:hAnsi="Times New Roman" w:cs="Times New Roman"/>
          <w:sz w:val="28"/>
          <w:szCs w:val="28"/>
          <w:lang w:val="uk-UA"/>
        </w:rPr>
        <w:t>нвестиції – «всі види майнових та інтелектуальних цінностей, що вкладаються в об'єкти підприємницької та інших видів діяльності, в результаті якої створюється прибуток (доход) та/або досягається соціальний та екологічний ефект» [26].</w:t>
      </w:r>
      <w:r w:rsidR="00175EBD" w:rsidRPr="00A41B49">
        <w:rPr>
          <w:rFonts w:ascii="Times New Roman" w:hAnsi="Times New Roman" w:cs="Times New Roman"/>
          <w:sz w:val="28"/>
          <w:szCs w:val="28"/>
          <w:lang w:val="uk-UA"/>
        </w:rPr>
        <w:t xml:space="preserve"> При цьому </w:t>
      </w:r>
      <w:r w:rsidR="00333D7E" w:rsidRPr="00A41B49">
        <w:rPr>
          <w:rFonts w:ascii="Times New Roman" w:hAnsi="Times New Roman" w:cs="Times New Roman"/>
          <w:sz w:val="28"/>
          <w:szCs w:val="28"/>
          <w:lang w:val="uk-UA"/>
        </w:rPr>
        <w:t>у якості таких цінностей можуть виступати: кошти, цільові банківські вклади, паї, акції та інші цінні папери; майнові права інтелектуальної власності; рухоме та нерухоме майно; сукупність технічних, технологічних, комерційних та інших знань, оформлених у вигляді технічної документації, навиків та виробничого досвіду, необхідних для організації того чи іншого виду виробництва, але не запатентованих ("ноу-хау") тощо [26]</w:t>
      </w:r>
      <w:r w:rsidRPr="00A41B49">
        <w:rPr>
          <w:rFonts w:ascii="Times New Roman" w:hAnsi="Times New Roman" w:cs="Times New Roman"/>
          <w:sz w:val="28"/>
          <w:szCs w:val="28"/>
          <w:lang w:val="uk-UA"/>
        </w:rPr>
        <w:t>.</w:t>
      </w:r>
    </w:p>
    <w:p w14:paraId="6696CA78" w14:textId="77777777" w:rsidR="00A92148" w:rsidRPr="00A41B49" w:rsidRDefault="000B0B52" w:rsidP="002D49DA">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Об'єкти інвестиційної діяльності - це «будь-яке майно, в тому числі основні фонди і оборотні кошти в усіх галузях економіки, цінні папери (крім векселів), цільові грошові вклади, науково-технічна продукція, інтелектуальні цінності, інші об'єкти власності, а також майнові права» [26]. </w:t>
      </w:r>
      <w:r w:rsidR="00F8186E" w:rsidRPr="00A41B49">
        <w:rPr>
          <w:rFonts w:ascii="Times New Roman" w:hAnsi="Times New Roman" w:cs="Times New Roman"/>
          <w:sz w:val="28"/>
          <w:szCs w:val="28"/>
          <w:lang w:val="uk-UA"/>
        </w:rPr>
        <w:t>Беручи до уваги визначення цінностей, всі об’єкти інвестування можна поділити на три групи: нематеріальні активи, матеріальні активи, фінансові активи.</w:t>
      </w:r>
    </w:p>
    <w:p w14:paraId="41E2491E" w14:textId="77777777" w:rsidR="00651E77" w:rsidRPr="00A41B49" w:rsidRDefault="000B0B52" w:rsidP="002D49DA">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lastRenderedPageBreak/>
        <w:t xml:space="preserve">Суб'єкти інвестиційної діяльності </w:t>
      </w:r>
      <w:r w:rsidR="00651E77" w:rsidRPr="00A41B49">
        <w:rPr>
          <w:rFonts w:ascii="Times New Roman" w:hAnsi="Times New Roman" w:cs="Times New Roman"/>
          <w:sz w:val="28"/>
          <w:szCs w:val="28"/>
          <w:lang w:val="uk-UA"/>
        </w:rPr>
        <w:t>– інвестори та учасники інвестиційної діяльності, при цьому «інвестори - суб'єкти інвестиційної діяльності, які приймають рішення про вкладення власних, позичкових і залучених майнових та інтелектуальних цінностей в об'єкти інвестування» [26], учасники інвестиційної діяльності – «громадяни та юридичні особи України, інших держав, які забезпечують реалізацію інвестицій як виконавці замовлень або на підставі доручення інвестора» [26].</w:t>
      </w:r>
    </w:p>
    <w:p w14:paraId="211BD07A" w14:textId="77777777" w:rsidR="00333FB3" w:rsidRPr="00A41B49" w:rsidRDefault="00EB60D1" w:rsidP="0048430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Таким чином, п</w:t>
      </w:r>
      <w:r w:rsidR="00333FB3" w:rsidRPr="00A41B49">
        <w:rPr>
          <w:rFonts w:ascii="Times New Roman" w:hAnsi="Times New Roman" w:cs="Times New Roman"/>
          <w:sz w:val="28"/>
          <w:szCs w:val="28"/>
          <w:lang w:val="uk-UA"/>
        </w:rPr>
        <w:t>роцес реалізації інвестицій здійснюється через інвестиційну діяльність громадян</w:t>
      </w:r>
      <w:r w:rsidR="00146995" w:rsidRPr="00A41B49">
        <w:rPr>
          <w:rFonts w:ascii="Times New Roman" w:hAnsi="Times New Roman" w:cs="Times New Roman"/>
          <w:sz w:val="28"/>
          <w:szCs w:val="28"/>
          <w:lang w:val="uk-UA"/>
        </w:rPr>
        <w:t xml:space="preserve">, юридичних осіб і держави [26], у процесі інвестування, кожний включений у таку діяльність суб’єкт переслідує свої цілі, цри цьому цілі інвестора не завжди збігаються із цілями інших </w:t>
      </w:r>
      <w:r w:rsidR="00C22218" w:rsidRPr="00A41B49">
        <w:rPr>
          <w:rFonts w:ascii="Times New Roman" w:hAnsi="Times New Roman" w:cs="Times New Roman"/>
          <w:sz w:val="28"/>
          <w:szCs w:val="28"/>
          <w:lang w:val="uk-UA"/>
        </w:rPr>
        <w:t>суб’єктів</w:t>
      </w:r>
      <w:r w:rsidR="00146995" w:rsidRPr="00A41B49">
        <w:rPr>
          <w:rFonts w:ascii="Times New Roman" w:hAnsi="Times New Roman" w:cs="Times New Roman"/>
          <w:sz w:val="28"/>
          <w:szCs w:val="28"/>
          <w:lang w:val="uk-UA"/>
        </w:rPr>
        <w:t xml:space="preserve"> </w:t>
      </w:r>
      <w:r w:rsidR="00C22218" w:rsidRPr="00A41B49">
        <w:rPr>
          <w:rFonts w:ascii="Times New Roman" w:hAnsi="Times New Roman" w:cs="Times New Roman"/>
          <w:sz w:val="28"/>
          <w:szCs w:val="28"/>
          <w:lang w:val="uk-UA"/>
        </w:rPr>
        <w:t xml:space="preserve">інвестиційної </w:t>
      </w:r>
      <w:r w:rsidR="00146995" w:rsidRPr="00A41B49">
        <w:rPr>
          <w:rFonts w:ascii="Times New Roman" w:hAnsi="Times New Roman" w:cs="Times New Roman"/>
          <w:sz w:val="28"/>
          <w:szCs w:val="28"/>
          <w:lang w:val="uk-UA"/>
        </w:rPr>
        <w:t>діяльності, самого об’єкта вкладення</w:t>
      </w:r>
      <w:r w:rsidR="000130D1" w:rsidRPr="00A41B49">
        <w:rPr>
          <w:rFonts w:ascii="Times New Roman" w:hAnsi="Times New Roman" w:cs="Times New Roman"/>
          <w:sz w:val="28"/>
          <w:szCs w:val="28"/>
          <w:lang w:val="uk-UA"/>
        </w:rPr>
        <w:t>.</w:t>
      </w:r>
    </w:p>
    <w:p w14:paraId="4319A439" w14:textId="77777777" w:rsidR="00DE05F8" w:rsidRPr="00A41B49" w:rsidRDefault="00333FB3" w:rsidP="0048430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Реалізація інвестицій може здійснюватися в межах національних кордонів – внутрішнє інвестування, або за </w:t>
      </w:r>
      <w:r w:rsidR="00784F8A" w:rsidRPr="00A41B49">
        <w:rPr>
          <w:rFonts w:ascii="Times New Roman" w:hAnsi="Times New Roman" w:cs="Times New Roman"/>
          <w:sz w:val="28"/>
          <w:szCs w:val="28"/>
          <w:lang w:val="uk-UA"/>
        </w:rPr>
        <w:t>їх межами – іноземне інвестування. Крім того, як свідчить аналіз джерел [1-</w:t>
      </w:r>
      <w:r w:rsidR="00B55DA4" w:rsidRPr="00A41B49">
        <w:rPr>
          <w:rFonts w:ascii="Times New Roman" w:hAnsi="Times New Roman" w:cs="Times New Roman"/>
          <w:sz w:val="28"/>
          <w:szCs w:val="28"/>
          <w:lang w:val="uk-UA"/>
        </w:rPr>
        <w:t>3</w:t>
      </w:r>
      <w:r w:rsidR="004C34D9" w:rsidRPr="00A41B49">
        <w:rPr>
          <w:rFonts w:ascii="Times New Roman" w:hAnsi="Times New Roman" w:cs="Times New Roman"/>
          <w:sz w:val="28"/>
          <w:szCs w:val="28"/>
          <w:lang w:val="uk-UA"/>
        </w:rPr>
        <w:t>8</w:t>
      </w:r>
      <w:r w:rsidR="00784F8A" w:rsidRPr="00A41B49">
        <w:rPr>
          <w:rFonts w:ascii="Times New Roman" w:hAnsi="Times New Roman" w:cs="Times New Roman"/>
          <w:sz w:val="28"/>
          <w:szCs w:val="28"/>
          <w:lang w:val="uk-UA"/>
        </w:rPr>
        <w:t xml:space="preserve">], </w:t>
      </w:r>
      <w:r w:rsidR="004D0472" w:rsidRPr="00A41B49">
        <w:rPr>
          <w:rFonts w:ascii="Times New Roman" w:hAnsi="Times New Roman" w:cs="Times New Roman"/>
          <w:sz w:val="28"/>
          <w:szCs w:val="28"/>
          <w:lang w:val="uk-UA"/>
        </w:rPr>
        <w:t xml:space="preserve">інвестиційна діяльність характеризується </w:t>
      </w:r>
      <w:r w:rsidR="000B61E5" w:rsidRPr="00A41B49">
        <w:rPr>
          <w:rFonts w:ascii="Times New Roman" w:hAnsi="Times New Roman" w:cs="Times New Roman"/>
          <w:sz w:val="28"/>
          <w:szCs w:val="28"/>
          <w:lang w:val="uk-UA"/>
        </w:rPr>
        <w:t xml:space="preserve">специфікою інституційної природи, цільової орієнтації, </w:t>
      </w:r>
      <w:r w:rsidR="00E206C1" w:rsidRPr="00A41B49">
        <w:rPr>
          <w:rFonts w:ascii="Times New Roman" w:hAnsi="Times New Roman" w:cs="Times New Roman"/>
          <w:sz w:val="28"/>
          <w:szCs w:val="28"/>
          <w:lang w:val="uk-UA"/>
        </w:rPr>
        <w:t>форми, джерел, часових параметрів тощо</w:t>
      </w:r>
      <w:r w:rsidR="00DE05F8" w:rsidRPr="00A41B49">
        <w:rPr>
          <w:rFonts w:ascii="Times New Roman" w:hAnsi="Times New Roman" w:cs="Times New Roman"/>
          <w:sz w:val="28"/>
          <w:szCs w:val="28"/>
          <w:lang w:val="uk-UA"/>
        </w:rPr>
        <w:t>.</w:t>
      </w:r>
    </w:p>
    <w:p w14:paraId="49BDF89F" w14:textId="77777777" w:rsidR="00333FB3" w:rsidRPr="00A41B49" w:rsidRDefault="00E206C1" w:rsidP="0048430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Як наслідок, на сучасному етапі розвитку теорії та практики інвестування виділяють велику </w:t>
      </w:r>
      <w:r w:rsidR="00F8186E" w:rsidRPr="00A41B49">
        <w:rPr>
          <w:rFonts w:ascii="Times New Roman" w:hAnsi="Times New Roman" w:cs="Times New Roman"/>
          <w:sz w:val="28"/>
          <w:szCs w:val="28"/>
          <w:lang w:val="uk-UA"/>
        </w:rPr>
        <w:t>кількості</w:t>
      </w:r>
      <w:r w:rsidRPr="00A41B49">
        <w:rPr>
          <w:rFonts w:ascii="Times New Roman" w:hAnsi="Times New Roman" w:cs="Times New Roman"/>
          <w:sz w:val="28"/>
          <w:szCs w:val="28"/>
          <w:lang w:val="uk-UA"/>
        </w:rPr>
        <w:t xml:space="preserve"> різновидів інвестиції: прямі та портфельні (за цільовою орієнтацією), державні, приватні, інституційні та змішані (за інституційною природою), короткострокові, середньострокові та довгострокові (за часовими параметрами – термінами інвестування)</w:t>
      </w:r>
      <w:r w:rsidR="00BC76F6" w:rsidRPr="00A41B49">
        <w:rPr>
          <w:rFonts w:ascii="Times New Roman" w:hAnsi="Times New Roman" w:cs="Times New Roman"/>
          <w:sz w:val="28"/>
          <w:szCs w:val="28"/>
          <w:lang w:val="uk-UA"/>
        </w:rPr>
        <w:t xml:space="preserve"> (рис.</w:t>
      </w:r>
      <w:r w:rsidR="00AB3308" w:rsidRPr="00A41B49">
        <w:rPr>
          <w:rFonts w:ascii="Times New Roman" w:hAnsi="Times New Roman" w:cs="Times New Roman"/>
          <w:sz w:val="28"/>
          <w:szCs w:val="28"/>
          <w:lang w:val="uk-UA"/>
        </w:rPr>
        <w:t>1.</w:t>
      </w:r>
      <w:r w:rsidR="00BC76F6" w:rsidRPr="00A41B49">
        <w:rPr>
          <w:rFonts w:ascii="Times New Roman" w:hAnsi="Times New Roman" w:cs="Times New Roman"/>
          <w:sz w:val="28"/>
          <w:szCs w:val="28"/>
          <w:lang w:val="uk-UA"/>
        </w:rPr>
        <w:t>1)</w:t>
      </w:r>
      <w:r w:rsidRPr="00A41B49">
        <w:rPr>
          <w:rFonts w:ascii="Times New Roman" w:hAnsi="Times New Roman" w:cs="Times New Roman"/>
          <w:sz w:val="28"/>
          <w:szCs w:val="28"/>
          <w:lang w:val="uk-UA"/>
        </w:rPr>
        <w:t>.</w:t>
      </w:r>
    </w:p>
    <w:p w14:paraId="17F7C468" w14:textId="77777777" w:rsidR="00DE05F8" w:rsidRPr="00A41B49" w:rsidRDefault="00DE05F8" w:rsidP="0048430E">
      <w:pPr>
        <w:spacing w:after="0" w:line="240" w:lineRule="auto"/>
        <w:ind w:firstLine="709"/>
        <w:jc w:val="both"/>
        <w:rPr>
          <w:rFonts w:ascii="Times New Roman" w:hAnsi="Times New Roman" w:cs="Times New Roman"/>
          <w:sz w:val="28"/>
          <w:szCs w:val="28"/>
          <w:lang w:val="uk-UA"/>
        </w:rPr>
      </w:pPr>
    </w:p>
    <w:p w14:paraId="173678B0" w14:textId="77777777" w:rsidR="00DE05F8" w:rsidRPr="00A41B49" w:rsidRDefault="00DE05F8" w:rsidP="00C95BFE">
      <w:pPr>
        <w:spacing w:after="0" w:line="240" w:lineRule="auto"/>
        <w:jc w:val="center"/>
        <w:rPr>
          <w:rFonts w:ascii="Times New Roman" w:hAnsi="Times New Roman" w:cs="Times New Roman"/>
          <w:sz w:val="28"/>
          <w:szCs w:val="28"/>
          <w:lang w:val="uk-UA"/>
        </w:rPr>
      </w:pPr>
      <w:r w:rsidRPr="00A41B49">
        <w:rPr>
          <w:rFonts w:ascii="Times New Roman" w:hAnsi="Times New Roman" w:cs="Times New Roman"/>
          <w:noProof/>
          <w:sz w:val="28"/>
          <w:szCs w:val="28"/>
          <w:lang w:eastAsia="ru-RU"/>
        </w:rPr>
        <w:drawing>
          <wp:inline distT="0" distB="0" distL="0" distR="0" wp14:anchorId="4F95BC3C" wp14:editId="3E633B77">
            <wp:extent cx="4991100" cy="3369521"/>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7338" cy="3380483"/>
                    </a:xfrm>
                    <a:prstGeom prst="rect">
                      <a:avLst/>
                    </a:prstGeom>
                    <a:noFill/>
                  </pic:spPr>
                </pic:pic>
              </a:graphicData>
            </a:graphic>
          </wp:inline>
        </w:drawing>
      </w:r>
    </w:p>
    <w:p w14:paraId="1FC0C68A" w14:textId="77777777" w:rsidR="00DE05F8" w:rsidRPr="00A41B49" w:rsidRDefault="00DE05F8" w:rsidP="00C95BFE">
      <w:pPr>
        <w:spacing w:after="0" w:line="240" w:lineRule="auto"/>
        <w:ind w:firstLine="709"/>
        <w:jc w:val="center"/>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Рисунок </w:t>
      </w:r>
      <w:r w:rsidR="00AB3308" w:rsidRPr="00A41B49">
        <w:rPr>
          <w:rFonts w:ascii="Times New Roman" w:hAnsi="Times New Roman" w:cs="Times New Roman"/>
          <w:sz w:val="28"/>
          <w:szCs w:val="28"/>
          <w:lang w:val="uk-UA"/>
        </w:rPr>
        <w:t>1.</w:t>
      </w:r>
      <w:r w:rsidR="0077399C" w:rsidRPr="00A41B49">
        <w:rPr>
          <w:rFonts w:ascii="Times New Roman" w:hAnsi="Times New Roman" w:cs="Times New Roman"/>
          <w:sz w:val="28"/>
          <w:szCs w:val="28"/>
          <w:lang w:val="uk-UA"/>
        </w:rPr>
        <w:t>1 –</w:t>
      </w:r>
      <w:r w:rsidRPr="00A41B49">
        <w:rPr>
          <w:rFonts w:ascii="Times New Roman" w:hAnsi="Times New Roman" w:cs="Times New Roman"/>
          <w:sz w:val="28"/>
          <w:szCs w:val="28"/>
          <w:lang w:val="uk-UA"/>
        </w:rPr>
        <w:t xml:space="preserve"> </w:t>
      </w:r>
      <w:r w:rsidR="0077399C" w:rsidRPr="00A41B49">
        <w:rPr>
          <w:rFonts w:ascii="Times New Roman" w:hAnsi="Times New Roman" w:cs="Times New Roman"/>
          <w:sz w:val="28"/>
          <w:szCs w:val="28"/>
          <w:lang w:val="uk-UA"/>
        </w:rPr>
        <w:t>Підходи до класифікації інвестицій</w:t>
      </w:r>
    </w:p>
    <w:p w14:paraId="418D645D" w14:textId="77777777" w:rsidR="0077399C" w:rsidRPr="00A41B49" w:rsidRDefault="0077399C" w:rsidP="00DE05F8">
      <w:pPr>
        <w:spacing w:after="0" w:line="240" w:lineRule="auto"/>
        <w:ind w:firstLine="709"/>
        <w:jc w:val="both"/>
        <w:rPr>
          <w:rFonts w:ascii="Times New Roman" w:hAnsi="Times New Roman" w:cs="Times New Roman"/>
          <w:i/>
          <w:sz w:val="24"/>
          <w:szCs w:val="24"/>
          <w:lang w:val="uk-UA"/>
        </w:rPr>
      </w:pPr>
      <w:r w:rsidRPr="00A41B49">
        <w:rPr>
          <w:rFonts w:ascii="Times New Roman" w:hAnsi="Times New Roman" w:cs="Times New Roman"/>
          <w:i/>
          <w:sz w:val="24"/>
          <w:szCs w:val="24"/>
          <w:lang w:val="uk-UA"/>
        </w:rPr>
        <w:t>Джерело: складено автором на основі даних [</w:t>
      </w:r>
      <w:r w:rsidR="008F6E62" w:rsidRPr="00A41B49">
        <w:rPr>
          <w:rFonts w:ascii="Times New Roman" w:hAnsi="Times New Roman" w:cs="Times New Roman"/>
          <w:i/>
          <w:sz w:val="24"/>
          <w:szCs w:val="24"/>
          <w:lang w:val="uk-UA"/>
        </w:rPr>
        <w:t>5, 7-10, 13, 14, 24, 28-30</w:t>
      </w:r>
      <w:r w:rsidRPr="00A41B49">
        <w:rPr>
          <w:rFonts w:ascii="Times New Roman" w:hAnsi="Times New Roman" w:cs="Times New Roman"/>
          <w:i/>
          <w:sz w:val="24"/>
          <w:szCs w:val="24"/>
          <w:lang w:val="uk-UA"/>
        </w:rPr>
        <w:t>]</w:t>
      </w:r>
    </w:p>
    <w:p w14:paraId="68502185" w14:textId="77777777" w:rsidR="00DE05F8" w:rsidRPr="00A41B49" w:rsidRDefault="00DE05F8" w:rsidP="008F6E62">
      <w:pPr>
        <w:spacing w:after="0" w:line="240" w:lineRule="auto"/>
        <w:ind w:firstLine="709"/>
        <w:jc w:val="center"/>
        <w:rPr>
          <w:rFonts w:ascii="Times New Roman" w:hAnsi="Times New Roman" w:cs="Times New Roman"/>
          <w:i/>
          <w:sz w:val="24"/>
          <w:szCs w:val="24"/>
          <w:lang w:val="uk-UA"/>
        </w:rPr>
      </w:pPr>
    </w:p>
    <w:p w14:paraId="6522CE12" w14:textId="77777777" w:rsidR="00D93C79" w:rsidRPr="00A41B49" w:rsidRDefault="00D93C79" w:rsidP="00D93C79">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Прямі інвестиції</w:t>
      </w:r>
      <w:r w:rsidR="00A616BF" w:rsidRPr="00A41B49">
        <w:rPr>
          <w:rFonts w:ascii="Times New Roman" w:hAnsi="Times New Roman" w:cs="Times New Roman"/>
          <w:sz w:val="28"/>
          <w:szCs w:val="28"/>
          <w:lang w:val="uk-UA"/>
        </w:rPr>
        <w:t xml:space="preserve"> (далі – ПІ)</w:t>
      </w:r>
      <w:r w:rsidRPr="00A41B49">
        <w:rPr>
          <w:rFonts w:ascii="Times New Roman" w:hAnsi="Times New Roman" w:cs="Times New Roman"/>
          <w:sz w:val="28"/>
          <w:szCs w:val="28"/>
          <w:lang w:val="uk-UA"/>
        </w:rPr>
        <w:t xml:space="preserve"> – інвестиції з метою встановлення контролю чи стійкого впливу на</w:t>
      </w:r>
      <w:r w:rsidR="007922AB" w:rsidRPr="00A41B49">
        <w:rPr>
          <w:rFonts w:ascii="Times New Roman" w:hAnsi="Times New Roman" w:cs="Times New Roman"/>
          <w:sz w:val="28"/>
          <w:szCs w:val="28"/>
          <w:lang w:val="uk-UA"/>
        </w:rPr>
        <w:t xml:space="preserve">д об’єктом вкладання </w:t>
      </w:r>
      <w:r w:rsidRPr="00A41B49">
        <w:rPr>
          <w:rFonts w:ascii="Times New Roman" w:hAnsi="Times New Roman" w:cs="Times New Roman"/>
          <w:sz w:val="28"/>
          <w:szCs w:val="28"/>
          <w:lang w:val="uk-UA"/>
        </w:rPr>
        <w:t xml:space="preserve">через отримання участі </w:t>
      </w:r>
      <w:r w:rsidRPr="00A41B49">
        <w:rPr>
          <w:rFonts w:ascii="Times New Roman" w:hAnsi="Times New Roman" w:cs="Times New Roman"/>
          <w:sz w:val="28"/>
          <w:szCs w:val="28"/>
          <w:lang w:val="uk-UA"/>
        </w:rPr>
        <w:lastRenderedPageBreak/>
        <w:t>в капіталі (більше 10%) [24].</w:t>
      </w:r>
      <w:r w:rsidR="007922AB" w:rsidRPr="00A41B49">
        <w:rPr>
          <w:rFonts w:ascii="Times New Roman" w:hAnsi="Times New Roman" w:cs="Times New Roman"/>
          <w:sz w:val="28"/>
          <w:szCs w:val="28"/>
          <w:lang w:val="uk-UA"/>
        </w:rPr>
        <w:t xml:space="preserve"> Такі інвестиції здійснюються з метою реалізації довготермінової стратегії [24].</w:t>
      </w:r>
    </w:p>
    <w:p w14:paraId="034871D1" w14:textId="77777777" w:rsidR="00D93C79" w:rsidRPr="00A41B49" w:rsidRDefault="00D93C79" w:rsidP="00D93C79">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Портфельні інвестиції – інвестиції в цінні папери (акції, облігації, інші цінні папери або боргові</w:t>
      </w:r>
      <w:r w:rsidR="007922AB"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інструменти), що обертаються на</w:t>
      </w:r>
      <w:r w:rsidR="007922AB"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фінансових ринках</w:t>
      </w:r>
      <w:r w:rsidR="007922AB" w:rsidRPr="00A41B49">
        <w:rPr>
          <w:rFonts w:ascii="Times New Roman" w:hAnsi="Times New Roman" w:cs="Times New Roman"/>
          <w:sz w:val="28"/>
          <w:szCs w:val="28"/>
          <w:lang w:val="uk-UA"/>
        </w:rPr>
        <w:t>, н</w:t>
      </w:r>
      <w:r w:rsidRPr="00A41B49">
        <w:rPr>
          <w:rFonts w:ascii="Times New Roman" w:hAnsi="Times New Roman" w:cs="Times New Roman"/>
          <w:sz w:val="28"/>
          <w:szCs w:val="28"/>
          <w:lang w:val="uk-UA"/>
        </w:rPr>
        <w:t>е мають на меті отримання контролю</w:t>
      </w:r>
      <w:r w:rsidR="007922AB" w:rsidRPr="00A41B49">
        <w:rPr>
          <w:rFonts w:ascii="Times New Roman" w:hAnsi="Times New Roman" w:cs="Times New Roman"/>
          <w:sz w:val="28"/>
          <w:szCs w:val="28"/>
          <w:lang w:val="uk-UA"/>
        </w:rPr>
        <w:t xml:space="preserve"> над об’єктом вкладання [24].</w:t>
      </w:r>
    </w:p>
    <w:p w14:paraId="0D431A46" w14:textId="77777777" w:rsidR="003C1442" w:rsidRPr="00A41B49" w:rsidRDefault="008C53A0" w:rsidP="00D93C79">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Як прямі, так і портфельні інвестиції можуть формуватися за рахунок </w:t>
      </w:r>
      <w:r w:rsidR="00C269AA" w:rsidRPr="00A41B49">
        <w:rPr>
          <w:rFonts w:ascii="Times New Roman" w:hAnsi="Times New Roman" w:cs="Times New Roman"/>
          <w:sz w:val="28"/>
          <w:szCs w:val="28"/>
          <w:lang w:val="uk-UA"/>
        </w:rPr>
        <w:t>таких</w:t>
      </w:r>
      <w:r w:rsidR="005847CF" w:rsidRPr="00A41B49">
        <w:rPr>
          <w:rFonts w:ascii="Times New Roman" w:hAnsi="Times New Roman" w:cs="Times New Roman"/>
          <w:sz w:val="28"/>
          <w:szCs w:val="28"/>
          <w:lang w:val="uk-UA"/>
        </w:rPr>
        <w:t xml:space="preserve"> видів капіталу: </w:t>
      </w:r>
      <w:r w:rsidR="00C269AA" w:rsidRPr="00A41B49">
        <w:rPr>
          <w:rFonts w:ascii="Times New Roman" w:hAnsi="Times New Roman" w:cs="Times New Roman"/>
          <w:sz w:val="28"/>
          <w:szCs w:val="28"/>
          <w:lang w:val="uk-UA"/>
        </w:rPr>
        <w:t xml:space="preserve">національного та іноземного; </w:t>
      </w:r>
      <w:r w:rsidR="005847CF" w:rsidRPr="00A41B49">
        <w:rPr>
          <w:rFonts w:ascii="Times New Roman" w:hAnsi="Times New Roman" w:cs="Times New Roman"/>
          <w:sz w:val="28"/>
          <w:szCs w:val="28"/>
          <w:lang w:val="uk-UA"/>
        </w:rPr>
        <w:t xml:space="preserve">акціонерного та боргового капіталу [24]. </w:t>
      </w:r>
      <w:r w:rsidR="00A048F4" w:rsidRPr="00A41B49">
        <w:rPr>
          <w:rFonts w:ascii="Times New Roman" w:hAnsi="Times New Roman" w:cs="Times New Roman"/>
          <w:sz w:val="28"/>
          <w:szCs w:val="28"/>
          <w:lang w:val="uk-UA"/>
        </w:rPr>
        <w:t xml:space="preserve">Інвестиції, сформовані на основі акціонерного капіталу – інструменти участі в капіталі, інвестиції, сформовані на основі боргового капіталу – </w:t>
      </w:r>
      <w:r w:rsidR="003C1442" w:rsidRPr="00A41B49">
        <w:rPr>
          <w:rFonts w:ascii="Times New Roman" w:hAnsi="Times New Roman" w:cs="Times New Roman"/>
          <w:sz w:val="28"/>
          <w:szCs w:val="28"/>
          <w:lang w:val="uk-UA"/>
        </w:rPr>
        <w:t xml:space="preserve">боргові </w:t>
      </w:r>
      <w:r w:rsidR="00A048F4" w:rsidRPr="00A41B49">
        <w:rPr>
          <w:rFonts w:ascii="Times New Roman" w:hAnsi="Times New Roman" w:cs="Times New Roman"/>
          <w:sz w:val="28"/>
          <w:szCs w:val="28"/>
          <w:lang w:val="uk-UA"/>
        </w:rPr>
        <w:t>інструменти</w:t>
      </w:r>
      <w:r w:rsidR="003C1442" w:rsidRPr="00A41B49">
        <w:rPr>
          <w:rFonts w:ascii="Times New Roman" w:hAnsi="Times New Roman" w:cs="Times New Roman"/>
          <w:sz w:val="28"/>
          <w:szCs w:val="28"/>
          <w:lang w:val="uk-UA"/>
        </w:rPr>
        <w:t xml:space="preserve">. Під час дослідження як прямих, так і портфельних інвестицій доцільно </w:t>
      </w:r>
      <w:r w:rsidR="005C44B6" w:rsidRPr="00A41B49">
        <w:rPr>
          <w:rFonts w:ascii="Times New Roman" w:hAnsi="Times New Roman" w:cs="Times New Roman"/>
          <w:sz w:val="28"/>
          <w:szCs w:val="28"/>
          <w:lang w:val="uk-UA"/>
        </w:rPr>
        <w:t xml:space="preserve">чітко розуміти за рахунок якого капіталу ці інвестиції формуються, адже особливості капіталу, що використовується для формування потоків інвестицій, суттєво впливає на </w:t>
      </w:r>
      <w:r w:rsidR="00AE1666" w:rsidRPr="00A41B49">
        <w:rPr>
          <w:rFonts w:ascii="Times New Roman" w:hAnsi="Times New Roman" w:cs="Times New Roman"/>
          <w:sz w:val="28"/>
          <w:szCs w:val="28"/>
          <w:lang w:val="uk-UA"/>
        </w:rPr>
        <w:t xml:space="preserve">особливості взаємодії суб’єктів інвестиційної діяльності, суттєво різняться за </w:t>
      </w:r>
      <w:r w:rsidR="005C44B6" w:rsidRPr="00A41B49">
        <w:rPr>
          <w:rFonts w:ascii="Times New Roman" w:hAnsi="Times New Roman" w:cs="Times New Roman"/>
          <w:sz w:val="28"/>
          <w:szCs w:val="28"/>
          <w:lang w:val="uk-UA"/>
        </w:rPr>
        <w:t xml:space="preserve">показники ефективності </w:t>
      </w:r>
      <w:r w:rsidR="00AE1666" w:rsidRPr="00A41B49">
        <w:rPr>
          <w:rFonts w:ascii="Times New Roman" w:hAnsi="Times New Roman" w:cs="Times New Roman"/>
          <w:sz w:val="28"/>
          <w:szCs w:val="28"/>
          <w:lang w:val="uk-UA"/>
        </w:rPr>
        <w:t xml:space="preserve">у середньо- та довгостроковій перспективі. </w:t>
      </w:r>
    </w:p>
    <w:p w14:paraId="62539D83" w14:textId="77777777" w:rsidR="005F02AA" w:rsidRPr="00A41B49" w:rsidRDefault="00AE1666" w:rsidP="00AE1666">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Акціонерний капітал, як правило, не призводить до з</w:t>
      </w:r>
      <w:r w:rsidR="00BD25A8" w:rsidRPr="00A41B49">
        <w:rPr>
          <w:rFonts w:ascii="Times New Roman" w:hAnsi="Times New Roman" w:cs="Times New Roman"/>
          <w:sz w:val="28"/>
          <w:szCs w:val="28"/>
          <w:lang w:val="uk-UA"/>
        </w:rPr>
        <w:t xml:space="preserve">ростання заборгованості, інвестори претендують на </w:t>
      </w:r>
      <w:r w:rsidR="00DC46FC" w:rsidRPr="00A41B49">
        <w:rPr>
          <w:rFonts w:ascii="Times New Roman" w:hAnsi="Times New Roman" w:cs="Times New Roman"/>
          <w:sz w:val="28"/>
          <w:szCs w:val="28"/>
          <w:lang w:val="uk-UA"/>
        </w:rPr>
        <w:t xml:space="preserve"> частку прибутку, що генерується об’єктом інвестування</w:t>
      </w:r>
      <w:r w:rsidR="00BD25A8" w:rsidRPr="00A41B49">
        <w:rPr>
          <w:rFonts w:ascii="Times New Roman" w:hAnsi="Times New Roman" w:cs="Times New Roman"/>
          <w:sz w:val="28"/>
          <w:szCs w:val="28"/>
          <w:lang w:val="uk-UA"/>
        </w:rPr>
        <w:t xml:space="preserve"> </w:t>
      </w:r>
      <w:r w:rsidR="00DC46FC" w:rsidRPr="00A41B49">
        <w:rPr>
          <w:rFonts w:ascii="Times New Roman" w:hAnsi="Times New Roman" w:cs="Times New Roman"/>
          <w:sz w:val="28"/>
          <w:szCs w:val="28"/>
          <w:lang w:val="uk-UA"/>
        </w:rPr>
        <w:t>[24]. Борговий капітал – призводить до зростання заборгованості</w:t>
      </w:r>
      <w:r w:rsidR="00B73D94" w:rsidRPr="00A41B49">
        <w:rPr>
          <w:rFonts w:ascii="Times New Roman" w:hAnsi="Times New Roman" w:cs="Times New Roman"/>
          <w:sz w:val="28"/>
          <w:szCs w:val="28"/>
          <w:lang w:val="uk-UA"/>
        </w:rPr>
        <w:t xml:space="preserve"> </w:t>
      </w:r>
      <w:r w:rsidR="00DC46FC" w:rsidRPr="00A41B49">
        <w:rPr>
          <w:rFonts w:ascii="Times New Roman" w:hAnsi="Times New Roman" w:cs="Times New Roman"/>
          <w:sz w:val="28"/>
          <w:szCs w:val="28"/>
          <w:lang w:val="uk-UA"/>
        </w:rPr>
        <w:t>і, як правило, генерується запозиченнями</w:t>
      </w:r>
      <w:r w:rsidR="00B73D94" w:rsidRPr="00A41B49">
        <w:rPr>
          <w:rFonts w:ascii="Times New Roman" w:hAnsi="Times New Roman" w:cs="Times New Roman"/>
          <w:sz w:val="28"/>
          <w:szCs w:val="28"/>
          <w:lang w:val="uk-UA"/>
        </w:rPr>
        <w:t xml:space="preserve"> (позичальник бере на себе борг в обмін на надані кошти)</w:t>
      </w:r>
      <w:r w:rsidR="00DC46FC" w:rsidRPr="00A41B49">
        <w:rPr>
          <w:rFonts w:ascii="Times New Roman" w:hAnsi="Times New Roman" w:cs="Times New Roman"/>
          <w:sz w:val="28"/>
          <w:szCs w:val="28"/>
          <w:lang w:val="uk-UA"/>
        </w:rPr>
        <w:t xml:space="preserve">, інвестори претендують  на </w:t>
      </w:r>
      <w:r w:rsidR="00B73D94" w:rsidRPr="00A41B49">
        <w:rPr>
          <w:rFonts w:ascii="Times New Roman" w:hAnsi="Times New Roman" w:cs="Times New Roman"/>
          <w:sz w:val="28"/>
          <w:szCs w:val="28"/>
          <w:lang w:val="uk-UA"/>
        </w:rPr>
        <w:t>повернення боргу із відсотками за користування ресурсами [24].</w:t>
      </w:r>
      <w:r w:rsidR="00A617FD" w:rsidRPr="00A41B49">
        <w:rPr>
          <w:rFonts w:ascii="Times New Roman" w:hAnsi="Times New Roman" w:cs="Times New Roman"/>
          <w:sz w:val="28"/>
          <w:szCs w:val="28"/>
          <w:lang w:val="uk-UA"/>
        </w:rPr>
        <w:t xml:space="preserve"> Таким чином, інвестиції у вигляді акціонерного капіталу реалізуються за рахунок участі у капіталі, реінвестування доходу (прямі інвестиції), вкладання в акціонерні цінні папери (портфельні інвестиції); інвестиції у вигляді боргового капіталу </w:t>
      </w:r>
      <w:r w:rsidR="0041250D" w:rsidRPr="00A41B49">
        <w:rPr>
          <w:rFonts w:ascii="Times New Roman" w:hAnsi="Times New Roman" w:cs="Times New Roman"/>
          <w:sz w:val="28"/>
          <w:szCs w:val="28"/>
          <w:lang w:val="uk-UA"/>
        </w:rPr>
        <w:t>–</w:t>
      </w:r>
      <w:r w:rsidR="00A617FD" w:rsidRPr="00A41B49">
        <w:rPr>
          <w:rFonts w:ascii="Times New Roman" w:hAnsi="Times New Roman" w:cs="Times New Roman"/>
          <w:sz w:val="28"/>
          <w:szCs w:val="28"/>
          <w:lang w:val="uk-UA"/>
        </w:rPr>
        <w:t xml:space="preserve"> </w:t>
      </w:r>
      <w:r w:rsidR="0041250D" w:rsidRPr="00A41B49">
        <w:rPr>
          <w:rFonts w:ascii="Times New Roman" w:hAnsi="Times New Roman" w:cs="Times New Roman"/>
          <w:sz w:val="28"/>
          <w:szCs w:val="28"/>
          <w:lang w:val="uk-UA"/>
        </w:rPr>
        <w:t xml:space="preserve">кредитування (прямі інвестиції), придбання або продажу боргових цінних паперів (портфельні інвестиції); мають різний вплив на суб’єктів інвестиційної діяльності у </w:t>
      </w:r>
      <w:r w:rsidR="0095542A" w:rsidRPr="00A41B49">
        <w:rPr>
          <w:rFonts w:ascii="Times New Roman" w:hAnsi="Times New Roman" w:cs="Times New Roman"/>
          <w:sz w:val="28"/>
          <w:szCs w:val="28"/>
          <w:lang w:val="uk-UA"/>
        </w:rPr>
        <w:t xml:space="preserve">середньостроковій та </w:t>
      </w:r>
      <w:r w:rsidR="0041250D" w:rsidRPr="00A41B49">
        <w:rPr>
          <w:rFonts w:ascii="Times New Roman" w:hAnsi="Times New Roman" w:cs="Times New Roman"/>
          <w:sz w:val="28"/>
          <w:szCs w:val="28"/>
          <w:lang w:val="uk-UA"/>
        </w:rPr>
        <w:t>довгостроковій перспективі</w:t>
      </w:r>
      <w:r w:rsidR="0095542A" w:rsidRPr="00A41B49">
        <w:rPr>
          <w:rFonts w:ascii="Times New Roman" w:hAnsi="Times New Roman" w:cs="Times New Roman"/>
          <w:sz w:val="28"/>
          <w:szCs w:val="28"/>
          <w:lang w:val="uk-UA"/>
        </w:rPr>
        <w:t xml:space="preserve"> (у першу чергу, ця різниця характерна для прямого інвестування)</w:t>
      </w:r>
      <w:r w:rsidR="0041250D" w:rsidRPr="00A41B49">
        <w:rPr>
          <w:rFonts w:ascii="Times New Roman" w:hAnsi="Times New Roman" w:cs="Times New Roman"/>
          <w:sz w:val="28"/>
          <w:szCs w:val="28"/>
          <w:lang w:val="uk-UA"/>
        </w:rPr>
        <w:t xml:space="preserve">. Так, </w:t>
      </w:r>
      <w:r w:rsidR="0095542A" w:rsidRPr="00A41B49">
        <w:rPr>
          <w:rFonts w:ascii="Times New Roman" w:hAnsi="Times New Roman" w:cs="Times New Roman"/>
          <w:sz w:val="28"/>
          <w:szCs w:val="28"/>
          <w:lang w:val="uk-UA"/>
        </w:rPr>
        <w:t xml:space="preserve">інвестиції за рахунок акціонерного капіталу, як правила, є ефективними </w:t>
      </w:r>
      <w:r w:rsidR="00F12FD6" w:rsidRPr="00A41B49">
        <w:rPr>
          <w:rFonts w:ascii="Times New Roman" w:hAnsi="Times New Roman" w:cs="Times New Roman"/>
          <w:sz w:val="28"/>
          <w:szCs w:val="28"/>
          <w:lang w:val="uk-UA"/>
        </w:rPr>
        <w:t xml:space="preserve">у середньо та довгостроковій перспективі, адже не призводять до зростання заборгованості та зростання зобов’язань перед інвестором, інвестиції за рахунок боргового капіталу, як правила, є порівняно менш ефективними, несуть значно більші ризики, адже такі інвестиції призводять до зростання заборгованості, зростання </w:t>
      </w:r>
      <w:r w:rsidR="005F02AA" w:rsidRPr="00A41B49">
        <w:rPr>
          <w:rFonts w:ascii="Times New Roman" w:hAnsi="Times New Roman" w:cs="Times New Roman"/>
          <w:sz w:val="28"/>
          <w:szCs w:val="28"/>
          <w:lang w:val="uk-UA"/>
        </w:rPr>
        <w:t>зобов’язань перед інвестором.</w:t>
      </w:r>
    </w:p>
    <w:p w14:paraId="3CCE9042" w14:textId="77777777" w:rsidR="00E206C1" w:rsidRPr="00A41B49" w:rsidRDefault="00E206C1" w:rsidP="0048430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У процесі реалізації інвестицій</w:t>
      </w:r>
      <w:r w:rsidR="00FA6C96" w:rsidRPr="00A41B49">
        <w:rPr>
          <w:rFonts w:ascii="Times New Roman" w:hAnsi="Times New Roman" w:cs="Times New Roman"/>
          <w:sz w:val="28"/>
          <w:szCs w:val="28"/>
          <w:lang w:val="uk-UA"/>
        </w:rPr>
        <w:t>ної діяльності</w:t>
      </w:r>
      <w:r w:rsidRPr="00A41B49">
        <w:rPr>
          <w:rFonts w:ascii="Times New Roman" w:hAnsi="Times New Roman" w:cs="Times New Roman"/>
          <w:sz w:val="28"/>
          <w:szCs w:val="28"/>
          <w:lang w:val="uk-UA"/>
        </w:rPr>
        <w:t xml:space="preserve"> соціально-економічна система</w:t>
      </w:r>
      <w:r w:rsidR="00AD0345" w:rsidRPr="00A41B49">
        <w:rPr>
          <w:rFonts w:ascii="Times New Roman" w:hAnsi="Times New Roman" w:cs="Times New Roman"/>
          <w:sz w:val="28"/>
          <w:szCs w:val="28"/>
          <w:lang w:val="uk-UA"/>
        </w:rPr>
        <w:t xml:space="preserve"> або її складова</w:t>
      </w:r>
      <w:r w:rsidR="009B3A2C" w:rsidRPr="00A41B49">
        <w:rPr>
          <w:rFonts w:ascii="Times New Roman" w:hAnsi="Times New Roman" w:cs="Times New Roman"/>
          <w:sz w:val="28"/>
          <w:szCs w:val="28"/>
          <w:lang w:val="uk-UA"/>
        </w:rPr>
        <w:t xml:space="preserve">, незалежно від рівня агрегування, </w:t>
      </w:r>
      <w:r w:rsidRPr="00A41B49">
        <w:rPr>
          <w:rFonts w:ascii="Times New Roman" w:hAnsi="Times New Roman" w:cs="Times New Roman"/>
          <w:sz w:val="28"/>
          <w:szCs w:val="28"/>
          <w:lang w:val="uk-UA"/>
        </w:rPr>
        <w:t xml:space="preserve">може </w:t>
      </w:r>
      <w:r w:rsidR="00047488" w:rsidRPr="00A41B49">
        <w:rPr>
          <w:rFonts w:ascii="Times New Roman" w:hAnsi="Times New Roman" w:cs="Times New Roman"/>
          <w:sz w:val="28"/>
          <w:szCs w:val="28"/>
          <w:lang w:val="uk-UA"/>
        </w:rPr>
        <w:t>виступати</w:t>
      </w:r>
      <w:r w:rsidRPr="00A41B49">
        <w:rPr>
          <w:rFonts w:ascii="Times New Roman" w:hAnsi="Times New Roman" w:cs="Times New Roman"/>
          <w:sz w:val="28"/>
          <w:szCs w:val="28"/>
          <w:lang w:val="uk-UA"/>
        </w:rPr>
        <w:t xml:space="preserve"> як об’єкт та як суб’єкт інвестування</w:t>
      </w:r>
      <w:r w:rsidR="00B02951" w:rsidRPr="00A41B49">
        <w:rPr>
          <w:rFonts w:ascii="Times New Roman" w:hAnsi="Times New Roman" w:cs="Times New Roman"/>
          <w:sz w:val="28"/>
          <w:szCs w:val="28"/>
          <w:lang w:val="uk-UA"/>
        </w:rPr>
        <w:t>, залежно від можливостей та цілей цієї системи</w:t>
      </w:r>
      <w:r w:rsidRPr="00A41B49">
        <w:rPr>
          <w:rFonts w:ascii="Times New Roman" w:hAnsi="Times New Roman" w:cs="Times New Roman"/>
          <w:sz w:val="28"/>
          <w:szCs w:val="28"/>
          <w:lang w:val="uk-UA"/>
        </w:rPr>
        <w:t xml:space="preserve">. </w:t>
      </w:r>
      <w:r w:rsidR="00047488" w:rsidRPr="00A41B49">
        <w:rPr>
          <w:rFonts w:ascii="Times New Roman" w:hAnsi="Times New Roman" w:cs="Times New Roman"/>
          <w:sz w:val="28"/>
          <w:szCs w:val="28"/>
          <w:lang w:val="uk-UA"/>
        </w:rPr>
        <w:t>Таким чином, різнорівневі соціально-економічні системи постійно знаходя</w:t>
      </w:r>
      <w:r w:rsidR="00B02951" w:rsidRPr="00A41B49">
        <w:rPr>
          <w:rFonts w:ascii="Times New Roman" w:hAnsi="Times New Roman" w:cs="Times New Roman"/>
          <w:sz w:val="28"/>
          <w:szCs w:val="28"/>
          <w:lang w:val="uk-UA"/>
        </w:rPr>
        <w:t>ться у процесі пошуку ресурсів,</w:t>
      </w:r>
      <w:r w:rsidR="00047488" w:rsidRPr="00A41B49">
        <w:rPr>
          <w:rFonts w:ascii="Times New Roman" w:hAnsi="Times New Roman" w:cs="Times New Roman"/>
          <w:sz w:val="28"/>
          <w:szCs w:val="28"/>
          <w:lang w:val="uk-UA"/>
        </w:rPr>
        <w:t xml:space="preserve"> вибору ефективних </w:t>
      </w:r>
      <w:r w:rsidR="00F8186E" w:rsidRPr="00A41B49">
        <w:rPr>
          <w:rFonts w:ascii="Times New Roman" w:hAnsi="Times New Roman" w:cs="Times New Roman"/>
          <w:sz w:val="28"/>
          <w:szCs w:val="28"/>
          <w:lang w:val="uk-UA"/>
        </w:rPr>
        <w:t>об’єктів</w:t>
      </w:r>
      <w:r w:rsidR="00047488" w:rsidRPr="00A41B49">
        <w:rPr>
          <w:rFonts w:ascii="Times New Roman" w:hAnsi="Times New Roman" w:cs="Times New Roman"/>
          <w:sz w:val="28"/>
          <w:szCs w:val="28"/>
          <w:lang w:val="uk-UA"/>
        </w:rPr>
        <w:t xml:space="preserve"> інвестування або одразу у цих двох процесах. </w:t>
      </w:r>
    </w:p>
    <w:p w14:paraId="5B811130" w14:textId="77777777" w:rsidR="00DA3487" w:rsidRPr="00A41B49" w:rsidRDefault="00DA3487" w:rsidP="0048430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У умовах, коли соціально-економічна система виступає у ролі суб’єкта інвестування, вона виступає у процесі вибору ефективних об’єктів інвестування, найважливішим параметром, що буде визначати активність включення </w:t>
      </w:r>
      <w:r w:rsidR="004A6A0D" w:rsidRPr="00A41B49">
        <w:rPr>
          <w:rFonts w:ascii="Times New Roman" w:hAnsi="Times New Roman" w:cs="Times New Roman"/>
          <w:sz w:val="28"/>
          <w:szCs w:val="28"/>
          <w:lang w:val="uk-UA"/>
        </w:rPr>
        <w:t xml:space="preserve">цієї системи у зазначений процес, є інвестиційний потенціал. У умовах, коли соціально-економічна система виступає у ролі об’єкта </w:t>
      </w:r>
      <w:r w:rsidR="004A6A0D" w:rsidRPr="00A41B49">
        <w:rPr>
          <w:rFonts w:ascii="Times New Roman" w:hAnsi="Times New Roman" w:cs="Times New Roman"/>
          <w:sz w:val="28"/>
          <w:szCs w:val="28"/>
          <w:lang w:val="uk-UA"/>
        </w:rPr>
        <w:lastRenderedPageBreak/>
        <w:t>інвестування вона знаходиться у процесі пошуку ресурсів, найважливішим параметром, що буде визначати активність та ефективність включення системи у зазначений процес, є інвестиційна привабливість. Більшість сучасних соціально-економічних систем одночасно виступають об’єктами та суб’єктами інвестування, а отже для них є важливими одночасно два параметри – інвестиційний потенціал та інвестиційна привабливість.</w:t>
      </w:r>
    </w:p>
    <w:p w14:paraId="017D36C8" w14:textId="77777777" w:rsidR="001B5BE7" w:rsidRPr="00A41B49" w:rsidRDefault="004A6A0D" w:rsidP="0048430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Аналіз джерел [</w:t>
      </w:r>
      <w:r w:rsidR="005545D8" w:rsidRPr="00A41B49">
        <w:rPr>
          <w:rFonts w:ascii="Times New Roman" w:hAnsi="Times New Roman" w:cs="Times New Roman"/>
          <w:sz w:val="28"/>
          <w:szCs w:val="28"/>
          <w:lang w:val="uk-UA"/>
        </w:rPr>
        <w:t>1-</w:t>
      </w:r>
      <w:r w:rsidR="00D353A6" w:rsidRPr="00A41B49">
        <w:rPr>
          <w:rFonts w:ascii="Times New Roman" w:hAnsi="Times New Roman" w:cs="Times New Roman"/>
          <w:sz w:val="28"/>
          <w:szCs w:val="28"/>
          <w:lang w:val="uk-UA"/>
        </w:rPr>
        <w:t>30</w:t>
      </w:r>
      <w:r w:rsidRPr="00A41B49">
        <w:rPr>
          <w:rFonts w:ascii="Times New Roman" w:hAnsi="Times New Roman" w:cs="Times New Roman"/>
          <w:sz w:val="28"/>
          <w:szCs w:val="28"/>
          <w:lang w:val="uk-UA"/>
        </w:rPr>
        <w:t>]</w:t>
      </w:r>
      <w:r w:rsidR="005545D8" w:rsidRPr="00A41B49">
        <w:rPr>
          <w:rFonts w:ascii="Times New Roman" w:hAnsi="Times New Roman" w:cs="Times New Roman"/>
          <w:sz w:val="28"/>
          <w:szCs w:val="28"/>
          <w:lang w:val="uk-UA"/>
        </w:rPr>
        <w:t xml:space="preserve"> свідчить, що</w:t>
      </w:r>
      <w:r w:rsidR="001B5BE7" w:rsidRPr="00A41B49">
        <w:rPr>
          <w:rFonts w:ascii="Times New Roman" w:hAnsi="Times New Roman" w:cs="Times New Roman"/>
          <w:sz w:val="28"/>
          <w:szCs w:val="28"/>
          <w:lang w:val="uk-UA"/>
        </w:rPr>
        <w:t>:</w:t>
      </w:r>
    </w:p>
    <w:p w14:paraId="3BAB500D" w14:textId="77777777" w:rsidR="004A6A0D" w:rsidRPr="00A41B49" w:rsidRDefault="005545D8" w:rsidP="0048430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показники інвестиційна привабливість та інвестиційний потенціал характеризуються дуалістичною зв’язаністю – інвестиційний потенціал може бути обумовлений рівнем інвестиційної привабливості, результатами залучення соціально-економічною системою інвестицій у ре</w:t>
      </w:r>
      <w:r w:rsidR="005B7C53" w:rsidRPr="00A41B49">
        <w:rPr>
          <w:rFonts w:ascii="Times New Roman" w:hAnsi="Times New Roman" w:cs="Times New Roman"/>
          <w:sz w:val="28"/>
          <w:szCs w:val="28"/>
          <w:lang w:val="uk-UA"/>
        </w:rPr>
        <w:t>троспективі</w:t>
      </w:r>
      <w:r w:rsidRPr="00A41B49">
        <w:rPr>
          <w:rFonts w:ascii="Times New Roman" w:hAnsi="Times New Roman" w:cs="Times New Roman"/>
          <w:sz w:val="28"/>
          <w:szCs w:val="28"/>
          <w:lang w:val="uk-UA"/>
        </w:rPr>
        <w:t xml:space="preserve">, </w:t>
      </w:r>
      <w:r w:rsidR="005B7C53" w:rsidRPr="00A41B49">
        <w:rPr>
          <w:rFonts w:ascii="Times New Roman" w:hAnsi="Times New Roman" w:cs="Times New Roman"/>
          <w:sz w:val="28"/>
          <w:szCs w:val="28"/>
          <w:lang w:val="uk-UA"/>
        </w:rPr>
        <w:t>інвестиційна привабливість може бути обумовлена інвестиційним потенціалом, адже спроможність соціально-економічної системи вкладати ресурси в інші системи може бути ідентифікована як ознака стабільності, ефективного розвитку системи, виступати атрибу</w:t>
      </w:r>
      <w:r w:rsidR="001B5BE7" w:rsidRPr="00A41B49">
        <w:rPr>
          <w:rFonts w:ascii="Times New Roman" w:hAnsi="Times New Roman" w:cs="Times New Roman"/>
          <w:sz w:val="28"/>
          <w:szCs w:val="28"/>
          <w:lang w:val="uk-UA"/>
        </w:rPr>
        <w:t>том інвестиційної привабливості;</w:t>
      </w:r>
    </w:p>
    <w:p w14:paraId="362AE1CF" w14:textId="77777777" w:rsidR="001B5BE7" w:rsidRPr="00A41B49" w:rsidRDefault="001B5BE7" w:rsidP="0048430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трактування сутності понять «інвестиційний потенціал» та «інвестиційна привабливість» суттєво різняться залежно від рівня агрегування соціально-економічних систем</w:t>
      </w:r>
      <w:r w:rsidR="00DD6366" w:rsidRPr="00A41B49">
        <w:rPr>
          <w:rFonts w:ascii="Times New Roman" w:hAnsi="Times New Roman" w:cs="Times New Roman"/>
          <w:sz w:val="28"/>
          <w:szCs w:val="28"/>
          <w:lang w:val="uk-UA"/>
        </w:rPr>
        <w:t>,</w:t>
      </w:r>
      <w:r w:rsidRPr="00A41B49">
        <w:rPr>
          <w:rFonts w:ascii="Times New Roman" w:hAnsi="Times New Roman" w:cs="Times New Roman"/>
          <w:sz w:val="28"/>
          <w:szCs w:val="28"/>
          <w:lang w:val="uk-UA"/>
        </w:rPr>
        <w:t xml:space="preserve"> у контексті аналізу інвестиційної діяльності яких вони застосовуються.</w:t>
      </w:r>
    </w:p>
    <w:p w14:paraId="26259466" w14:textId="77777777" w:rsidR="00F53B3C" w:rsidRPr="00A41B49" w:rsidRDefault="00D353A6" w:rsidP="0048430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Як зазначають Єпіфанова І., Джеджула В., Косарук О., Сауляк А., на сучасному етапі розвитку під поняттям «інвестиційний потенціал» </w:t>
      </w:r>
      <w:r w:rsidR="005E175A" w:rsidRPr="00A41B49">
        <w:rPr>
          <w:rFonts w:ascii="Times New Roman" w:hAnsi="Times New Roman" w:cs="Times New Roman"/>
          <w:sz w:val="28"/>
          <w:szCs w:val="28"/>
          <w:lang w:val="uk-UA"/>
        </w:rPr>
        <w:t xml:space="preserve">в цілому найчастіше </w:t>
      </w:r>
      <w:r w:rsidRPr="00A41B49">
        <w:rPr>
          <w:rFonts w:ascii="Times New Roman" w:hAnsi="Times New Roman" w:cs="Times New Roman"/>
          <w:sz w:val="28"/>
          <w:szCs w:val="28"/>
          <w:lang w:val="uk-UA"/>
        </w:rPr>
        <w:t>розуміється:</w:t>
      </w:r>
    </w:p>
    <w:p w14:paraId="0ABACA80" w14:textId="77777777" w:rsidR="00D353A6" w:rsidRPr="00A41B49" w:rsidRDefault="00D353A6" w:rsidP="00D353A6">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«фінансові можливості забезпечення інвестування, що визначаються обсягом власних й позикових фінансових ресурсів інвестиційного спрямування та ефективністю їх використання» (Юрків Р. Р.) [30] </w:t>
      </w:r>
    </w:p>
    <w:p w14:paraId="3AF741E1" w14:textId="77777777" w:rsidR="00D353A6" w:rsidRPr="00A41B49" w:rsidRDefault="00D353A6" w:rsidP="00D353A6">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«інвестиційні ресурси та їх оптимальна структура і здатність раціонального</w:t>
      </w:r>
      <w:r w:rsidR="00161629"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 xml:space="preserve">використання для досягнення поставленої мети» </w:t>
      </w:r>
      <w:r w:rsidR="005E175A" w:rsidRPr="00A41B49">
        <w:rPr>
          <w:rFonts w:ascii="Times New Roman" w:hAnsi="Times New Roman" w:cs="Times New Roman"/>
          <w:sz w:val="28"/>
          <w:szCs w:val="28"/>
          <w:lang w:val="uk-UA"/>
        </w:rPr>
        <w:t>(</w:t>
      </w:r>
      <w:r w:rsidR="00C76B9A" w:rsidRPr="00A41B49">
        <w:rPr>
          <w:rFonts w:ascii="Times New Roman" w:hAnsi="Times New Roman" w:cs="Times New Roman"/>
          <w:sz w:val="28"/>
          <w:szCs w:val="28"/>
          <w:lang w:val="uk-UA"/>
        </w:rPr>
        <w:t>Мацибора Т. </w:t>
      </w:r>
      <w:r w:rsidR="005E175A" w:rsidRPr="00A41B49">
        <w:rPr>
          <w:rFonts w:ascii="Times New Roman" w:hAnsi="Times New Roman" w:cs="Times New Roman"/>
          <w:sz w:val="28"/>
          <w:szCs w:val="28"/>
          <w:lang w:val="uk-UA"/>
        </w:rPr>
        <w:t>В.) [30]</w:t>
      </w:r>
    </w:p>
    <w:p w14:paraId="3AA7231D" w14:textId="77777777" w:rsidR="00F53B3C" w:rsidRPr="00A41B49" w:rsidRDefault="005E175A" w:rsidP="0048430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«сукупність фінансових ресурсів …та можливість досягнення стратегічних цілей розвитку через реалізацію можливостей мобілізації внутрішніх та зовнішніх інвестиційних коштів через механізм інвестування» [30].</w:t>
      </w:r>
    </w:p>
    <w:p w14:paraId="38FAE93A" w14:textId="77777777" w:rsidR="000D14C0" w:rsidRPr="00A41B49" w:rsidRDefault="00D46837" w:rsidP="0048430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При цьому Єпіфанова І., Джеджула В., Косарук О., Сауляк А.</w:t>
      </w:r>
      <w:r w:rsidR="00161629" w:rsidRPr="00A41B49">
        <w:rPr>
          <w:rFonts w:ascii="Times New Roman" w:hAnsi="Times New Roman" w:cs="Times New Roman"/>
          <w:sz w:val="28"/>
          <w:szCs w:val="28"/>
          <w:lang w:val="uk-UA"/>
        </w:rPr>
        <w:t xml:space="preserve"> </w:t>
      </w:r>
      <w:r w:rsidR="00F762E2" w:rsidRPr="00A41B49">
        <w:rPr>
          <w:rFonts w:ascii="Times New Roman" w:hAnsi="Times New Roman" w:cs="Times New Roman"/>
          <w:sz w:val="28"/>
          <w:szCs w:val="28"/>
          <w:lang w:val="uk-UA"/>
        </w:rPr>
        <w:t>стверджують</w:t>
      </w:r>
      <w:r w:rsidRPr="00A41B49">
        <w:rPr>
          <w:rFonts w:ascii="Times New Roman" w:hAnsi="Times New Roman" w:cs="Times New Roman"/>
          <w:sz w:val="28"/>
          <w:szCs w:val="28"/>
          <w:lang w:val="uk-UA"/>
        </w:rPr>
        <w:t>, що загалом можна виділити 6 основних підходів до тлу</w:t>
      </w:r>
      <w:r w:rsidR="00161629" w:rsidRPr="00A41B49">
        <w:rPr>
          <w:rFonts w:ascii="Times New Roman" w:hAnsi="Times New Roman" w:cs="Times New Roman"/>
          <w:sz w:val="28"/>
          <w:szCs w:val="28"/>
          <w:lang w:val="uk-UA"/>
        </w:rPr>
        <w:t>ма</w:t>
      </w:r>
      <w:r w:rsidRPr="00A41B49">
        <w:rPr>
          <w:rFonts w:ascii="Times New Roman" w:hAnsi="Times New Roman" w:cs="Times New Roman"/>
          <w:sz w:val="28"/>
          <w:szCs w:val="28"/>
          <w:lang w:val="uk-UA"/>
        </w:rPr>
        <w:t xml:space="preserve">чення поняття інвестиційний </w:t>
      </w:r>
      <w:r w:rsidR="006A09DE" w:rsidRPr="00A41B49">
        <w:rPr>
          <w:rFonts w:ascii="Times New Roman" w:hAnsi="Times New Roman" w:cs="Times New Roman"/>
          <w:sz w:val="28"/>
          <w:szCs w:val="28"/>
          <w:lang w:val="uk-UA"/>
        </w:rPr>
        <w:t>потенціал</w:t>
      </w:r>
      <w:r w:rsidR="00F762E2" w:rsidRPr="00A41B49">
        <w:rPr>
          <w:rFonts w:ascii="Times New Roman" w:hAnsi="Times New Roman" w:cs="Times New Roman"/>
          <w:sz w:val="28"/>
          <w:szCs w:val="28"/>
          <w:lang w:val="uk-UA"/>
        </w:rPr>
        <w:t>; ресурсний; ім</w:t>
      </w:r>
      <w:r w:rsidR="000D14C0" w:rsidRPr="00A41B49">
        <w:rPr>
          <w:rFonts w:ascii="Times New Roman" w:hAnsi="Times New Roman" w:cs="Times New Roman"/>
          <w:sz w:val="28"/>
          <w:szCs w:val="28"/>
          <w:lang w:val="uk-UA"/>
        </w:rPr>
        <w:t>овірнісний підхід</w:t>
      </w:r>
      <w:r w:rsidR="006A09DE" w:rsidRPr="00A41B49">
        <w:rPr>
          <w:rFonts w:ascii="Times New Roman" w:hAnsi="Times New Roman" w:cs="Times New Roman"/>
          <w:sz w:val="28"/>
          <w:szCs w:val="28"/>
          <w:lang w:val="uk-UA"/>
        </w:rPr>
        <w:t xml:space="preserve"> (сукупність ресурсів для</w:t>
      </w:r>
      <w:r w:rsidR="00F762E2" w:rsidRPr="00A41B49">
        <w:rPr>
          <w:rFonts w:ascii="Times New Roman" w:hAnsi="Times New Roman" w:cs="Times New Roman"/>
          <w:sz w:val="28"/>
          <w:szCs w:val="28"/>
          <w:lang w:val="uk-UA"/>
        </w:rPr>
        <w:t xml:space="preserve"> </w:t>
      </w:r>
      <w:r w:rsidR="006A09DE" w:rsidRPr="00A41B49">
        <w:rPr>
          <w:rFonts w:ascii="Times New Roman" w:hAnsi="Times New Roman" w:cs="Times New Roman"/>
          <w:sz w:val="28"/>
          <w:szCs w:val="28"/>
          <w:lang w:val="uk-UA"/>
        </w:rPr>
        <w:t>довгострокового вкладення, що мають на меті</w:t>
      </w:r>
      <w:r w:rsidR="00F762E2" w:rsidRPr="00A41B49">
        <w:rPr>
          <w:rFonts w:ascii="Times New Roman" w:hAnsi="Times New Roman" w:cs="Times New Roman"/>
          <w:sz w:val="28"/>
          <w:szCs w:val="28"/>
          <w:lang w:val="uk-UA"/>
        </w:rPr>
        <w:t xml:space="preserve"> </w:t>
      </w:r>
      <w:r w:rsidR="006A09DE" w:rsidRPr="00A41B49">
        <w:rPr>
          <w:rFonts w:ascii="Times New Roman" w:hAnsi="Times New Roman" w:cs="Times New Roman"/>
          <w:sz w:val="28"/>
          <w:szCs w:val="28"/>
          <w:lang w:val="uk-UA"/>
        </w:rPr>
        <w:t>забезпечити розширене відтворення</w:t>
      </w:r>
      <w:r w:rsidR="00F762E2" w:rsidRPr="00A41B49">
        <w:rPr>
          <w:rFonts w:ascii="Times New Roman" w:hAnsi="Times New Roman" w:cs="Times New Roman"/>
          <w:sz w:val="28"/>
          <w:szCs w:val="28"/>
          <w:lang w:val="uk-UA"/>
        </w:rPr>
        <w:t xml:space="preserve"> </w:t>
      </w:r>
      <w:r w:rsidR="006A09DE" w:rsidRPr="00A41B49">
        <w:rPr>
          <w:rFonts w:ascii="Times New Roman" w:hAnsi="Times New Roman" w:cs="Times New Roman"/>
          <w:sz w:val="28"/>
          <w:szCs w:val="28"/>
          <w:lang w:val="uk-UA"/>
        </w:rPr>
        <w:t>господарської діяльності підприємства)</w:t>
      </w:r>
      <w:r w:rsidR="00F762E2" w:rsidRPr="00A41B49">
        <w:rPr>
          <w:rFonts w:ascii="Times New Roman" w:hAnsi="Times New Roman" w:cs="Times New Roman"/>
          <w:sz w:val="28"/>
          <w:szCs w:val="28"/>
          <w:lang w:val="uk-UA"/>
        </w:rPr>
        <w:t>; р</w:t>
      </w:r>
      <w:r w:rsidR="000D14C0" w:rsidRPr="00A41B49">
        <w:rPr>
          <w:rFonts w:ascii="Times New Roman" w:hAnsi="Times New Roman" w:cs="Times New Roman"/>
          <w:sz w:val="28"/>
          <w:szCs w:val="28"/>
          <w:lang w:val="uk-UA"/>
        </w:rPr>
        <w:t>езультатний підхід</w:t>
      </w:r>
      <w:r w:rsidR="006A09DE" w:rsidRPr="00A41B49">
        <w:rPr>
          <w:rFonts w:ascii="Times New Roman" w:hAnsi="Times New Roman" w:cs="Times New Roman"/>
          <w:sz w:val="28"/>
          <w:szCs w:val="28"/>
          <w:lang w:val="uk-UA"/>
        </w:rPr>
        <w:t xml:space="preserve"> (здатність до віддачі ресурсів, незалежно від їх виду, або з позицій оцінки економічних результатів господарської діяльності за поточний та майбутній періоди)</w:t>
      </w:r>
      <w:r w:rsidR="00F762E2" w:rsidRPr="00A41B49">
        <w:rPr>
          <w:rFonts w:ascii="Times New Roman" w:hAnsi="Times New Roman" w:cs="Times New Roman"/>
          <w:sz w:val="28"/>
          <w:szCs w:val="28"/>
          <w:lang w:val="uk-UA"/>
        </w:rPr>
        <w:t xml:space="preserve">; </w:t>
      </w:r>
      <w:r w:rsidR="009A7E74" w:rsidRPr="00A41B49">
        <w:rPr>
          <w:rFonts w:ascii="Times New Roman" w:hAnsi="Times New Roman" w:cs="Times New Roman"/>
          <w:sz w:val="28"/>
          <w:szCs w:val="28"/>
          <w:lang w:val="uk-UA"/>
        </w:rPr>
        <w:t>р</w:t>
      </w:r>
      <w:r w:rsidR="000D14C0" w:rsidRPr="00A41B49">
        <w:rPr>
          <w:rFonts w:ascii="Times New Roman" w:hAnsi="Times New Roman" w:cs="Times New Roman"/>
          <w:sz w:val="28"/>
          <w:szCs w:val="28"/>
          <w:lang w:val="uk-UA"/>
        </w:rPr>
        <w:t>инковий підхід</w:t>
      </w:r>
      <w:r w:rsidR="006A09DE" w:rsidRPr="00A41B49">
        <w:rPr>
          <w:rFonts w:ascii="Times New Roman" w:hAnsi="Times New Roman" w:cs="Times New Roman"/>
          <w:sz w:val="28"/>
          <w:szCs w:val="28"/>
          <w:lang w:val="uk-UA"/>
        </w:rPr>
        <w:t xml:space="preserve"> (потенційний попит на ресурси на ринку капіталу)</w:t>
      </w:r>
      <w:r w:rsidR="009A7E74" w:rsidRPr="00A41B49">
        <w:rPr>
          <w:rFonts w:ascii="Times New Roman" w:hAnsi="Times New Roman" w:cs="Times New Roman"/>
          <w:sz w:val="28"/>
          <w:szCs w:val="28"/>
          <w:lang w:val="uk-UA"/>
        </w:rPr>
        <w:t>; с</w:t>
      </w:r>
      <w:r w:rsidR="000D14C0" w:rsidRPr="00A41B49">
        <w:rPr>
          <w:rFonts w:ascii="Times New Roman" w:hAnsi="Times New Roman" w:cs="Times New Roman"/>
          <w:sz w:val="28"/>
          <w:szCs w:val="28"/>
          <w:lang w:val="uk-UA"/>
        </w:rPr>
        <w:t>труктурний підхід</w:t>
      </w:r>
      <w:r w:rsidR="009A7E74" w:rsidRPr="00A41B49">
        <w:rPr>
          <w:rFonts w:ascii="Times New Roman" w:hAnsi="Times New Roman" w:cs="Times New Roman"/>
          <w:sz w:val="28"/>
          <w:szCs w:val="28"/>
          <w:lang w:val="uk-UA"/>
        </w:rPr>
        <w:t>; є</w:t>
      </w:r>
      <w:r w:rsidR="000D14C0" w:rsidRPr="00A41B49">
        <w:rPr>
          <w:rFonts w:ascii="Times New Roman" w:hAnsi="Times New Roman" w:cs="Times New Roman"/>
          <w:sz w:val="28"/>
          <w:szCs w:val="28"/>
          <w:lang w:val="uk-UA"/>
        </w:rPr>
        <w:t>мнісний підхід</w:t>
      </w:r>
      <w:r w:rsidR="006A09DE" w:rsidRPr="00A41B49">
        <w:rPr>
          <w:rFonts w:ascii="Times New Roman" w:hAnsi="Times New Roman" w:cs="Times New Roman"/>
          <w:sz w:val="28"/>
          <w:szCs w:val="28"/>
          <w:lang w:val="uk-UA"/>
        </w:rPr>
        <w:t xml:space="preserve"> (інвестиційну ємність, тобто граничн</w:t>
      </w:r>
      <w:r w:rsidR="00F762E2" w:rsidRPr="00A41B49">
        <w:rPr>
          <w:rFonts w:ascii="Times New Roman" w:hAnsi="Times New Roman" w:cs="Times New Roman"/>
          <w:sz w:val="28"/>
          <w:szCs w:val="28"/>
          <w:lang w:val="uk-UA"/>
        </w:rPr>
        <w:t>а</w:t>
      </w:r>
      <w:r w:rsidR="006A09DE" w:rsidRPr="00A41B49">
        <w:rPr>
          <w:rFonts w:ascii="Times New Roman" w:hAnsi="Times New Roman" w:cs="Times New Roman"/>
          <w:sz w:val="28"/>
          <w:szCs w:val="28"/>
          <w:lang w:val="uk-UA"/>
        </w:rPr>
        <w:t xml:space="preserve"> величин</w:t>
      </w:r>
      <w:r w:rsidR="00F762E2" w:rsidRPr="00A41B49">
        <w:rPr>
          <w:rFonts w:ascii="Times New Roman" w:hAnsi="Times New Roman" w:cs="Times New Roman"/>
          <w:sz w:val="28"/>
          <w:szCs w:val="28"/>
          <w:lang w:val="uk-UA"/>
        </w:rPr>
        <w:t>а</w:t>
      </w:r>
      <w:r w:rsidR="006A09DE" w:rsidRPr="00A41B49">
        <w:rPr>
          <w:rFonts w:ascii="Times New Roman" w:hAnsi="Times New Roman" w:cs="Times New Roman"/>
          <w:sz w:val="28"/>
          <w:szCs w:val="28"/>
          <w:lang w:val="uk-UA"/>
        </w:rPr>
        <w:t xml:space="preserve"> інвестицій, що може бути вкладена в об’єкт інвестування)</w:t>
      </w:r>
      <w:r w:rsidR="009A7E74" w:rsidRPr="00A41B49">
        <w:rPr>
          <w:rFonts w:ascii="Times New Roman" w:hAnsi="Times New Roman" w:cs="Times New Roman"/>
          <w:sz w:val="28"/>
          <w:szCs w:val="28"/>
          <w:lang w:val="uk-UA"/>
        </w:rPr>
        <w:t xml:space="preserve"> [30].</w:t>
      </w:r>
    </w:p>
    <w:p w14:paraId="0CD219CF" w14:textId="77777777" w:rsidR="00AF44B5" w:rsidRPr="00A41B49" w:rsidRDefault="004E1AA4" w:rsidP="0048430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lastRenderedPageBreak/>
        <w:t xml:space="preserve">Як зазначає Нікольчук </w:t>
      </w:r>
      <w:r w:rsidR="009A7E74" w:rsidRPr="00A41B49">
        <w:rPr>
          <w:rFonts w:ascii="Times New Roman" w:hAnsi="Times New Roman" w:cs="Times New Roman"/>
          <w:sz w:val="28"/>
          <w:szCs w:val="28"/>
          <w:lang w:val="uk-UA"/>
        </w:rPr>
        <w:t xml:space="preserve">Ю., </w:t>
      </w:r>
      <w:r w:rsidRPr="00A41B49">
        <w:rPr>
          <w:rFonts w:ascii="Times New Roman" w:hAnsi="Times New Roman" w:cs="Times New Roman"/>
          <w:sz w:val="28"/>
          <w:szCs w:val="28"/>
          <w:lang w:val="uk-UA"/>
        </w:rPr>
        <w:t xml:space="preserve">Лопатовська О. на сучасному етапі найбільш </w:t>
      </w:r>
      <w:r w:rsidR="00161629" w:rsidRPr="00A41B49">
        <w:rPr>
          <w:rFonts w:ascii="Times New Roman" w:hAnsi="Times New Roman" w:cs="Times New Roman"/>
          <w:sz w:val="28"/>
          <w:szCs w:val="28"/>
          <w:lang w:val="uk-UA"/>
        </w:rPr>
        <w:t>загальними</w:t>
      </w:r>
      <w:r w:rsidRPr="00A41B49">
        <w:rPr>
          <w:rFonts w:ascii="Times New Roman" w:hAnsi="Times New Roman" w:cs="Times New Roman"/>
          <w:sz w:val="28"/>
          <w:szCs w:val="28"/>
          <w:lang w:val="uk-UA"/>
        </w:rPr>
        <w:t xml:space="preserve"> є наступні </w:t>
      </w:r>
      <w:r w:rsidR="00161629" w:rsidRPr="00A41B49">
        <w:rPr>
          <w:rFonts w:ascii="Times New Roman" w:hAnsi="Times New Roman" w:cs="Times New Roman"/>
          <w:sz w:val="28"/>
          <w:szCs w:val="28"/>
          <w:lang w:val="uk-UA"/>
        </w:rPr>
        <w:t>підходи</w:t>
      </w:r>
      <w:r w:rsidRPr="00A41B49">
        <w:rPr>
          <w:rFonts w:ascii="Times New Roman" w:hAnsi="Times New Roman" w:cs="Times New Roman"/>
          <w:sz w:val="28"/>
          <w:szCs w:val="28"/>
          <w:lang w:val="uk-UA"/>
        </w:rPr>
        <w:t xml:space="preserve"> до розуміння сутності поняття «інвестиційна привабливість»: </w:t>
      </w:r>
    </w:p>
    <w:p w14:paraId="7334D577" w14:textId="77777777" w:rsidR="004E1AA4" w:rsidRPr="00A41B49" w:rsidRDefault="004E1AA4" w:rsidP="0048430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«Узагальнююча</w:t>
      </w:r>
      <w:r w:rsidR="00DD4B91"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характеристика</w:t>
      </w:r>
      <w:r w:rsidR="00DD4B91"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переваг</w:t>
      </w:r>
      <w:r w:rsidR="00DD4B91"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і</w:t>
      </w:r>
      <w:r w:rsidR="00DD4B91"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недоліків</w:t>
      </w:r>
      <w:r w:rsidR="00DD4B91"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інвестування окремих напрямків і об'єктів з позиції конкретного інвестора» (</w:t>
      </w:r>
      <w:r w:rsidRPr="00A41B49">
        <w:rPr>
          <w:rFonts w:ascii="Times New Roman" w:hAnsi="Times New Roman" w:cs="Times New Roman"/>
          <w:sz w:val="28"/>
          <w:szCs w:val="28"/>
          <w:shd w:val="clear" w:color="auto" w:fill="FFFFFF"/>
          <w:lang w:val="uk-UA"/>
        </w:rPr>
        <w:t>Бланк І. А.</w:t>
      </w:r>
      <w:r w:rsidRPr="00A41B49">
        <w:rPr>
          <w:rFonts w:ascii="Times New Roman" w:hAnsi="Times New Roman" w:cs="Times New Roman"/>
          <w:sz w:val="28"/>
          <w:szCs w:val="28"/>
          <w:lang w:val="uk-UA"/>
        </w:rPr>
        <w:t>) [28].</w:t>
      </w:r>
    </w:p>
    <w:p w14:paraId="4CEE2A12" w14:textId="77777777" w:rsidR="004E1AA4" w:rsidRPr="00A41B49" w:rsidRDefault="004E1AA4" w:rsidP="0048430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w:t>
      </w:r>
      <w:r w:rsidRPr="00A41B49">
        <w:rPr>
          <w:rFonts w:ascii="Times New Roman" w:hAnsi="Times New Roman" w:cs="Times New Roman"/>
          <w:sz w:val="28"/>
          <w:szCs w:val="28"/>
          <w:shd w:val="clear" w:color="auto" w:fill="FFFFFF"/>
          <w:lang w:val="uk-UA"/>
        </w:rPr>
        <w:t>Комплекс характеристик найбільш вигідного і найменш ризикованого вкладення капіталу в будь-яку сферу або який-небудь вид діяльності</w:t>
      </w:r>
      <w:r w:rsidR="00161629" w:rsidRPr="00A41B49">
        <w:rPr>
          <w:rFonts w:ascii="Times New Roman" w:hAnsi="Times New Roman" w:cs="Times New Roman"/>
          <w:sz w:val="28"/>
          <w:szCs w:val="28"/>
          <w:lang w:val="uk-UA"/>
        </w:rPr>
        <w:t>» (Лях </w:t>
      </w:r>
      <w:r w:rsidRPr="00A41B49">
        <w:rPr>
          <w:rFonts w:ascii="Times New Roman" w:hAnsi="Times New Roman" w:cs="Times New Roman"/>
          <w:sz w:val="28"/>
          <w:szCs w:val="28"/>
          <w:lang w:val="uk-UA"/>
        </w:rPr>
        <w:t>П.</w:t>
      </w:r>
      <w:r w:rsidR="00161629" w:rsidRPr="00A41B49">
        <w:rPr>
          <w:rFonts w:ascii="Times New Roman" w:hAnsi="Times New Roman" w:cs="Times New Roman"/>
          <w:sz w:val="28"/>
          <w:szCs w:val="28"/>
          <w:lang w:val="uk-UA"/>
        </w:rPr>
        <w:t xml:space="preserve"> А., </w:t>
      </w:r>
      <w:r w:rsidRPr="00A41B49">
        <w:rPr>
          <w:rFonts w:ascii="Times New Roman" w:hAnsi="Times New Roman" w:cs="Times New Roman"/>
          <w:sz w:val="28"/>
          <w:szCs w:val="28"/>
          <w:lang w:val="uk-UA"/>
        </w:rPr>
        <w:t>Новікова І. Н) [28].</w:t>
      </w:r>
    </w:p>
    <w:p w14:paraId="67D0C77C" w14:textId="77777777" w:rsidR="00AF44B5" w:rsidRPr="00A41B49" w:rsidRDefault="00F53B3C" w:rsidP="0048430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«наявність економічного ефекту (доходу) від вкладення грошей  при  мінімальному  рівні  ризику» (Бочарова В.В. і  Леонтьєва В. Є.) [28].</w:t>
      </w:r>
    </w:p>
    <w:p w14:paraId="4F81BCCF" w14:textId="77777777" w:rsidR="00543007" w:rsidRPr="00A41B49" w:rsidRDefault="003C1037" w:rsidP="003448A4">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Узагальнення підході</w:t>
      </w:r>
      <w:r w:rsidR="00746FDC" w:rsidRPr="00A41B49">
        <w:rPr>
          <w:rFonts w:ascii="Times New Roman" w:hAnsi="Times New Roman" w:cs="Times New Roman"/>
          <w:sz w:val="28"/>
          <w:szCs w:val="28"/>
          <w:lang w:val="uk-UA"/>
        </w:rPr>
        <w:t>в</w:t>
      </w:r>
      <w:r w:rsidRPr="00A41B49">
        <w:rPr>
          <w:rFonts w:ascii="Times New Roman" w:hAnsi="Times New Roman" w:cs="Times New Roman"/>
          <w:sz w:val="28"/>
          <w:szCs w:val="28"/>
          <w:lang w:val="uk-UA"/>
        </w:rPr>
        <w:t xml:space="preserve"> до розуміння сутності поняття</w:t>
      </w:r>
      <w:r w:rsidR="00543007" w:rsidRPr="00A41B49">
        <w:rPr>
          <w:rFonts w:ascii="Times New Roman" w:hAnsi="Times New Roman" w:cs="Times New Roman"/>
          <w:sz w:val="28"/>
          <w:szCs w:val="28"/>
          <w:lang w:val="uk-UA"/>
        </w:rPr>
        <w:t>:</w:t>
      </w:r>
    </w:p>
    <w:p w14:paraId="3F352618" w14:textId="77777777" w:rsidR="005B7C53" w:rsidRPr="00A41B49" w:rsidRDefault="003C1037" w:rsidP="003448A4">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«інвестиційний потенціал» дозволяє трактувати це поняття, як </w:t>
      </w:r>
      <w:r w:rsidR="003448A4" w:rsidRPr="00A41B49">
        <w:rPr>
          <w:rFonts w:ascii="Times New Roman" w:hAnsi="Times New Roman" w:cs="Times New Roman"/>
          <w:sz w:val="28"/>
          <w:szCs w:val="28"/>
          <w:lang w:val="uk-UA"/>
        </w:rPr>
        <w:t>сукупність ресурсів</w:t>
      </w:r>
      <w:r w:rsidR="00DD6366" w:rsidRPr="00A41B49">
        <w:rPr>
          <w:rFonts w:ascii="Times New Roman" w:hAnsi="Times New Roman" w:cs="Times New Roman"/>
          <w:sz w:val="28"/>
          <w:szCs w:val="28"/>
          <w:lang w:val="uk-UA"/>
        </w:rPr>
        <w:t>, факторів та умов</w:t>
      </w:r>
      <w:r w:rsidR="003448A4" w:rsidRPr="00A41B49">
        <w:rPr>
          <w:rFonts w:ascii="Times New Roman" w:hAnsi="Times New Roman" w:cs="Times New Roman"/>
          <w:sz w:val="28"/>
          <w:szCs w:val="28"/>
          <w:lang w:val="uk-UA"/>
        </w:rPr>
        <w:t xml:space="preserve"> </w:t>
      </w:r>
      <w:r w:rsidR="00637CD5" w:rsidRPr="00A41B49">
        <w:rPr>
          <w:rFonts w:ascii="Times New Roman" w:hAnsi="Times New Roman" w:cs="Times New Roman"/>
          <w:sz w:val="28"/>
          <w:szCs w:val="28"/>
          <w:lang w:val="uk-UA"/>
        </w:rPr>
        <w:t xml:space="preserve">для інвестування </w:t>
      </w:r>
      <w:r w:rsidR="00543007" w:rsidRPr="00A41B49">
        <w:rPr>
          <w:rFonts w:ascii="Times New Roman" w:hAnsi="Times New Roman" w:cs="Times New Roman"/>
          <w:sz w:val="28"/>
          <w:szCs w:val="28"/>
          <w:lang w:val="uk-UA"/>
        </w:rPr>
        <w:t>соціально</w:t>
      </w:r>
      <w:r w:rsidR="00746FDC" w:rsidRPr="00A41B49">
        <w:rPr>
          <w:rFonts w:ascii="Times New Roman" w:hAnsi="Times New Roman" w:cs="Times New Roman"/>
          <w:sz w:val="28"/>
          <w:szCs w:val="28"/>
          <w:lang w:val="uk-UA"/>
        </w:rPr>
        <w:t>-економічної системи</w:t>
      </w:r>
      <w:r w:rsidR="00857AE1" w:rsidRPr="00A41B49">
        <w:rPr>
          <w:rFonts w:ascii="Times New Roman" w:hAnsi="Times New Roman" w:cs="Times New Roman"/>
          <w:sz w:val="28"/>
          <w:szCs w:val="28"/>
          <w:lang w:val="uk-UA"/>
        </w:rPr>
        <w:t>, що форму</w:t>
      </w:r>
      <w:r w:rsidR="003448A4" w:rsidRPr="00A41B49">
        <w:rPr>
          <w:rFonts w:ascii="Times New Roman" w:hAnsi="Times New Roman" w:cs="Times New Roman"/>
          <w:sz w:val="28"/>
          <w:szCs w:val="28"/>
          <w:lang w:val="uk-UA"/>
        </w:rPr>
        <w:t>ють її базу відтворення</w:t>
      </w:r>
      <w:r w:rsidR="00543007" w:rsidRPr="00A41B49">
        <w:rPr>
          <w:rFonts w:ascii="Times New Roman" w:hAnsi="Times New Roman" w:cs="Times New Roman"/>
          <w:sz w:val="28"/>
          <w:szCs w:val="28"/>
          <w:lang w:val="uk-UA"/>
        </w:rPr>
        <w:t xml:space="preserve"> та сталого розвитку</w:t>
      </w:r>
      <w:r w:rsidR="00CD2F39" w:rsidRPr="00A41B49">
        <w:rPr>
          <w:rFonts w:ascii="Times New Roman" w:hAnsi="Times New Roman" w:cs="Times New Roman"/>
          <w:sz w:val="28"/>
          <w:szCs w:val="28"/>
          <w:lang w:val="uk-UA"/>
        </w:rPr>
        <w:t xml:space="preserve">, можуть бути </w:t>
      </w:r>
      <w:r w:rsidR="00CA2D3F" w:rsidRPr="00A41B49">
        <w:rPr>
          <w:rFonts w:ascii="Times New Roman" w:hAnsi="Times New Roman" w:cs="Times New Roman"/>
          <w:sz w:val="28"/>
          <w:szCs w:val="28"/>
          <w:lang w:val="uk-UA"/>
        </w:rPr>
        <w:t>спрямовані</w:t>
      </w:r>
      <w:r w:rsidR="00CD2F39" w:rsidRPr="00A41B49">
        <w:rPr>
          <w:rFonts w:ascii="Times New Roman" w:hAnsi="Times New Roman" w:cs="Times New Roman"/>
          <w:sz w:val="28"/>
          <w:szCs w:val="28"/>
          <w:lang w:val="uk-UA"/>
        </w:rPr>
        <w:t xml:space="preserve"> на реалізацію її цілей;</w:t>
      </w:r>
    </w:p>
    <w:p w14:paraId="750338D6" w14:textId="77777777" w:rsidR="00F35E3E" w:rsidRPr="00A41B49" w:rsidRDefault="002476B8" w:rsidP="00F23225">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«і</w:t>
      </w:r>
      <w:r w:rsidR="00543007" w:rsidRPr="00A41B49">
        <w:rPr>
          <w:rFonts w:ascii="Times New Roman" w:hAnsi="Times New Roman" w:cs="Times New Roman"/>
          <w:sz w:val="28"/>
          <w:szCs w:val="28"/>
          <w:lang w:val="uk-UA"/>
        </w:rPr>
        <w:t>нвестиційна привабливість»</w:t>
      </w:r>
      <w:r w:rsidR="000130D1" w:rsidRPr="00A41B49">
        <w:rPr>
          <w:rFonts w:ascii="Times New Roman" w:hAnsi="Times New Roman" w:cs="Times New Roman"/>
          <w:sz w:val="28"/>
          <w:szCs w:val="28"/>
          <w:lang w:val="uk-UA"/>
        </w:rPr>
        <w:t xml:space="preserve"> </w:t>
      </w:r>
      <w:r w:rsidR="00746FDC" w:rsidRPr="00A41B49">
        <w:rPr>
          <w:rFonts w:ascii="Times New Roman" w:hAnsi="Times New Roman" w:cs="Times New Roman"/>
          <w:sz w:val="28"/>
          <w:szCs w:val="28"/>
          <w:lang w:val="uk-UA"/>
        </w:rPr>
        <w:t>-</w:t>
      </w:r>
      <w:r w:rsidR="002B12E9" w:rsidRPr="00A41B49">
        <w:rPr>
          <w:rFonts w:ascii="Times New Roman" w:hAnsi="Times New Roman" w:cs="Times New Roman"/>
          <w:sz w:val="28"/>
          <w:szCs w:val="28"/>
          <w:lang w:val="uk-UA"/>
        </w:rPr>
        <w:t xml:space="preserve"> </w:t>
      </w:r>
      <w:r w:rsidR="00F35E3E" w:rsidRPr="00A41B49">
        <w:rPr>
          <w:rFonts w:ascii="Times New Roman" w:hAnsi="Times New Roman" w:cs="Times New Roman"/>
          <w:sz w:val="28"/>
          <w:szCs w:val="28"/>
          <w:lang w:val="uk-UA"/>
        </w:rPr>
        <w:t xml:space="preserve">інтегральну </w:t>
      </w:r>
      <w:r w:rsidR="002B12E9" w:rsidRPr="00A41B49">
        <w:rPr>
          <w:rFonts w:ascii="Times New Roman" w:hAnsi="Times New Roman" w:cs="Times New Roman"/>
          <w:sz w:val="28"/>
          <w:szCs w:val="28"/>
          <w:lang w:val="uk-UA"/>
        </w:rPr>
        <w:t xml:space="preserve">характеристику об’єкту інвестування, що </w:t>
      </w:r>
      <w:r w:rsidR="00F23225" w:rsidRPr="00A41B49">
        <w:rPr>
          <w:rFonts w:ascii="Times New Roman" w:hAnsi="Times New Roman" w:cs="Times New Roman"/>
          <w:sz w:val="28"/>
          <w:szCs w:val="28"/>
          <w:lang w:val="uk-UA"/>
        </w:rPr>
        <w:t>визначає інтерес інвестора до цього об’єкта</w:t>
      </w:r>
      <w:r w:rsidR="00746FDC" w:rsidRPr="00A41B49">
        <w:rPr>
          <w:rFonts w:ascii="Times New Roman" w:hAnsi="Times New Roman" w:cs="Times New Roman"/>
          <w:sz w:val="28"/>
          <w:szCs w:val="28"/>
          <w:lang w:val="uk-UA"/>
        </w:rPr>
        <w:t xml:space="preserve">. </w:t>
      </w:r>
    </w:p>
    <w:p w14:paraId="17A86CF2" w14:textId="77777777" w:rsidR="00746FDC" w:rsidRPr="00A41B49" w:rsidRDefault="0068047C" w:rsidP="00F23225">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Інтерес інвестора до об’єкту інвестування визначається на основі оцінки його спроможності через інвестиції у конкретний </w:t>
      </w:r>
      <w:r w:rsidR="00115A96" w:rsidRPr="00A41B49">
        <w:rPr>
          <w:rFonts w:ascii="Times New Roman" w:hAnsi="Times New Roman" w:cs="Times New Roman"/>
          <w:sz w:val="28"/>
          <w:szCs w:val="28"/>
          <w:lang w:val="uk-UA"/>
        </w:rPr>
        <w:t>об’єкт</w:t>
      </w:r>
      <w:r w:rsidRPr="00A41B49">
        <w:rPr>
          <w:rFonts w:ascii="Times New Roman" w:hAnsi="Times New Roman" w:cs="Times New Roman"/>
          <w:sz w:val="28"/>
          <w:szCs w:val="28"/>
          <w:lang w:val="uk-UA"/>
        </w:rPr>
        <w:t xml:space="preserve"> досягнути своїх цілей</w:t>
      </w:r>
      <w:r w:rsidR="00115A96" w:rsidRPr="00A41B49">
        <w:rPr>
          <w:rFonts w:ascii="Times New Roman" w:hAnsi="Times New Roman" w:cs="Times New Roman"/>
          <w:sz w:val="28"/>
          <w:szCs w:val="28"/>
          <w:lang w:val="uk-UA"/>
        </w:rPr>
        <w:t xml:space="preserve">, на основі оцінки співвідношення доходності та ризику від </w:t>
      </w:r>
      <w:r w:rsidRPr="00A41B49">
        <w:rPr>
          <w:rFonts w:ascii="Times New Roman" w:hAnsi="Times New Roman" w:cs="Times New Roman"/>
          <w:sz w:val="28"/>
          <w:szCs w:val="28"/>
          <w:lang w:val="uk-UA"/>
        </w:rPr>
        <w:t xml:space="preserve"> </w:t>
      </w:r>
      <w:r w:rsidR="00115A96" w:rsidRPr="00A41B49">
        <w:rPr>
          <w:rFonts w:ascii="Times New Roman" w:hAnsi="Times New Roman" w:cs="Times New Roman"/>
          <w:sz w:val="28"/>
          <w:szCs w:val="28"/>
          <w:lang w:val="uk-UA"/>
        </w:rPr>
        <w:t xml:space="preserve">такої взаємодії із певним об’єктом. Таким чином, </w:t>
      </w:r>
      <w:r w:rsidR="007E1DE6" w:rsidRPr="00A41B49">
        <w:rPr>
          <w:rFonts w:ascii="Times New Roman" w:hAnsi="Times New Roman" w:cs="Times New Roman"/>
          <w:sz w:val="28"/>
          <w:szCs w:val="28"/>
          <w:lang w:val="uk-UA"/>
        </w:rPr>
        <w:t xml:space="preserve">поняття інвестиційна привабливість є суб’єктивним, залежить від конкретного інвестора та розуміння цінності ним об’єкта інвестицій з позиції досягнення своїх цілей та з позиції </w:t>
      </w:r>
      <w:r w:rsidR="00C91F8D" w:rsidRPr="00A41B49">
        <w:rPr>
          <w:rFonts w:ascii="Times New Roman" w:hAnsi="Times New Roman" w:cs="Times New Roman"/>
          <w:sz w:val="28"/>
          <w:szCs w:val="28"/>
          <w:lang w:val="uk-UA"/>
        </w:rPr>
        <w:t xml:space="preserve">отримання забезпечення для інвестора рівня доходності та ризикованості такої </w:t>
      </w:r>
      <w:r w:rsidR="00C47833" w:rsidRPr="00A41B49">
        <w:rPr>
          <w:rFonts w:ascii="Times New Roman" w:hAnsi="Times New Roman" w:cs="Times New Roman"/>
          <w:sz w:val="28"/>
          <w:szCs w:val="28"/>
          <w:lang w:val="uk-UA"/>
        </w:rPr>
        <w:t>діяльності.</w:t>
      </w:r>
    </w:p>
    <w:p w14:paraId="3368357D" w14:textId="77777777" w:rsidR="003361D3" w:rsidRPr="00A41B49" w:rsidRDefault="003361D3" w:rsidP="00FF19CF">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Як свідчить аналіз джерел [27-31], із поняттям</w:t>
      </w:r>
      <w:r w:rsidR="002476B8" w:rsidRPr="00A41B49">
        <w:rPr>
          <w:rFonts w:ascii="Times New Roman" w:hAnsi="Times New Roman" w:cs="Times New Roman"/>
          <w:sz w:val="28"/>
          <w:szCs w:val="28"/>
          <w:lang w:val="uk-UA"/>
        </w:rPr>
        <w:t xml:space="preserve">и «інвестиційний потенціал» та </w:t>
      </w:r>
      <w:r w:rsidR="00C20B85" w:rsidRPr="00A41B49">
        <w:rPr>
          <w:rFonts w:ascii="Times New Roman" w:hAnsi="Times New Roman" w:cs="Times New Roman"/>
          <w:sz w:val="28"/>
          <w:szCs w:val="28"/>
          <w:lang w:val="uk-UA"/>
        </w:rPr>
        <w:t xml:space="preserve">«інвестиційна привабливість» </w:t>
      </w:r>
      <w:r w:rsidRPr="00A41B49">
        <w:rPr>
          <w:rFonts w:ascii="Times New Roman" w:hAnsi="Times New Roman" w:cs="Times New Roman"/>
          <w:sz w:val="28"/>
          <w:szCs w:val="28"/>
          <w:lang w:val="uk-UA"/>
        </w:rPr>
        <w:t xml:space="preserve">тісно пов’язане </w:t>
      </w:r>
      <w:r w:rsidR="00C20B85" w:rsidRPr="00A41B49">
        <w:rPr>
          <w:rFonts w:ascii="Times New Roman" w:hAnsi="Times New Roman" w:cs="Times New Roman"/>
          <w:sz w:val="28"/>
          <w:szCs w:val="28"/>
          <w:lang w:val="uk-UA"/>
        </w:rPr>
        <w:t xml:space="preserve">поняття </w:t>
      </w:r>
      <w:r w:rsidRPr="00A41B49">
        <w:rPr>
          <w:rFonts w:ascii="Times New Roman" w:hAnsi="Times New Roman" w:cs="Times New Roman"/>
          <w:sz w:val="28"/>
          <w:szCs w:val="28"/>
          <w:lang w:val="uk-UA"/>
        </w:rPr>
        <w:t>«інвестиційний клімат»</w:t>
      </w:r>
      <w:r w:rsidR="00894938" w:rsidRPr="00A41B49">
        <w:rPr>
          <w:rFonts w:ascii="Times New Roman" w:hAnsi="Times New Roman" w:cs="Times New Roman"/>
          <w:sz w:val="28"/>
          <w:szCs w:val="28"/>
          <w:lang w:val="uk-UA"/>
        </w:rPr>
        <w:t>, під яким, як стверджує Мошляк І. О., доцільно розуміти «</w:t>
      </w:r>
      <w:r w:rsidR="00894938" w:rsidRPr="00A41B49">
        <w:rPr>
          <w:rFonts w:ascii="Times New Roman" w:hAnsi="Times New Roman" w:cs="Times New Roman"/>
          <w:sz w:val="28"/>
          <w:szCs w:val="28"/>
          <w:shd w:val="clear" w:color="auto" w:fill="FFFFFF"/>
          <w:lang w:val="uk-UA"/>
        </w:rPr>
        <w:t>ступінь сприятливості ситуації, що складається в тій чи іншій країні (регіоні,  галузі),  для  ймовірного надходження інвестицій у цю країну (регіон, галузь)</w:t>
      </w:r>
      <w:r w:rsidR="00894938" w:rsidRPr="00A41B49">
        <w:rPr>
          <w:rFonts w:ascii="Times New Roman" w:hAnsi="Times New Roman" w:cs="Times New Roman"/>
          <w:sz w:val="28"/>
          <w:szCs w:val="28"/>
          <w:lang w:val="uk-UA"/>
        </w:rPr>
        <w:t>» [</w:t>
      </w:r>
      <w:r w:rsidR="00E47990" w:rsidRPr="00A41B49">
        <w:rPr>
          <w:rFonts w:ascii="Times New Roman" w:hAnsi="Times New Roman" w:cs="Times New Roman"/>
          <w:sz w:val="28"/>
          <w:szCs w:val="28"/>
          <w:lang w:val="uk-UA"/>
        </w:rPr>
        <w:t>31</w:t>
      </w:r>
      <w:r w:rsidR="00894938" w:rsidRPr="00A41B49">
        <w:rPr>
          <w:rFonts w:ascii="Times New Roman" w:hAnsi="Times New Roman" w:cs="Times New Roman"/>
          <w:sz w:val="28"/>
          <w:szCs w:val="28"/>
          <w:lang w:val="uk-UA"/>
        </w:rPr>
        <w:t>]</w:t>
      </w:r>
      <w:r w:rsidR="00E47990" w:rsidRPr="00A41B49">
        <w:rPr>
          <w:rFonts w:ascii="Times New Roman" w:hAnsi="Times New Roman" w:cs="Times New Roman"/>
          <w:sz w:val="28"/>
          <w:szCs w:val="28"/>
          <w:lang w:val="uk-UA"/>
        </w:rPr>
        <w:t>. Сприятливість ситуації для інвестиційної діяльності в певній соціально-економічній системі визначається сукупністю політич</w:t>
      </w:r>
      <w:r w:rsidR="00221315" w:rsidRPr="00A41B49">
        <w:rPr>
          <w:rFonts w:ascii="Times New Roman" w:hAnsi="Times New Roman" w:cs="Times New Roman"/>
          <w:sz w:val="28"/>
          <w:szCs w:val="28"/>
          <w:lang w:val="uk-UA"/>
        </w:rPr>
        <w:t>них, інституційних, економічних, соціальн</w:t>
      </w:r>
      <w:r w:rsidR="00125206" w:rsidRPr="00A41B49">
        <w:rPr>
          <w:rFonts w:ascii="Times New Roman" w:hAnsi="Times New Roman" w:cs="Times New Roman"/>
          <w:sz w:val="28"/>
          <w:szCs w:val="28"/>
          <w:lang w:val="uk-UA"/>
        </w:rPr>
        <w:t>их, природних та інших факторів.</w:t>
      </w:r>
      <w:r w:rsidR="00510BBD" w:rsidRPr="00A41B49">
        <w:rPr>
          <w:rFonts w:ascii="Times New Roman" w:hAnsi="Times New Roman" w:cs="Times New Roman"/>
          <w:sz w:val="28"/>
          <w:szCs w:val="28"/>
          <w:lang w:val="uk-UA"/>
        </w:rPr>
        <w:t xml:space="preserve"> Таким чином, поняття «інвестиційний клімат», на відміну від поняття «інвестиційна привабливість» є поняттям об’єктивним, відображає умови, що склалися на певний момент часу для інвестування. </w:t>
      </w:r>
    </w:p>
    <w:p w14:paraId="3FD8D161" w14:textId="77777777" w:rsidR="00FF19CF" w:rsidRPr="00A41B49" w:rsidRDefault="00BC13B6" w:rsidP="00203630">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Схожу</w:t>
      </w:r>
      <w:r w:rsidR="00FF19CF" w:rsidRPr="00A41B49">
        <w:rPr>
          <w:rFonts w:ascii="Times New Roman" w:hAnsi="Times New Roman" w:cs="Times New Roman"/>
          <w:sz w:val="28"/>
          <w:szCs w:val="28"/>
          <w:lang w:val="uk-UA"/>
        </w:rPr>
        <w:t xml:space="preserve"> точку</w:t>
      </w:r>
      <w:r w:rsidR="00A06297" w:rsidRPr="00A41B49">
        <w:rPr>
          <w:rFonts w:ascii="Times New Roman" w:hAnsi="Times New Roman" w:cs="Times New Roman"/>
          <w:sz w:val="28"/>
          <w:szCs w:val="28"/>
          <w:lang w:val="uk-UA"/>
        </w:rPr>
        <w:t xml:space="preserve"> </w:t>
      </w:r>
      <w:r w:rsidR="00FF19CF" w:rsidRPr="00A41B49">
        <w:rPr>
          <w:rFonts w:ascii="Times New Roman" w:hAnsi="Times New Roman" w:cs="Times New Roman"/>
          <w:sz w:val="28"/>
          <w:szCs w:val="28"/>
          <w:lang w:val="uk-UA"/>
        </w:rPr>
        <w:t xml:space="preserve">зору </w:t>
      </w:r>
      <w:r w:rsidRPr="00A41B49">
        <w:rPr>
          <w:rFonts w:ascii="Times New Roman" w:hAnsi="Times New Roman" w:cs="Times New Roman"/>
          <w:sz w:val="28"/>
          <w:szCs w:val="28"/>
          <w:lang w:val="uk-UA"/>
        </w:rPr>
        <w:t xml:space="preserve"> </w:t>
      </w:r>
      <w:r w:rsidR="00A06297" w:rsidRPr="00A41B49">
        <w:rPr>
          <w:rFonts w:ascii="Times New Roman" w:hAnsi="Times New Roman" w:cs="Times New Roman"/>
          <w:sz w:val="28"/>
          <w:szCs w:val="28"/>
          <w:lang w:val="uk-UA"/>
        </w:rPr>
        <w:t>з</w:t>
      </w:r>
      <w:r w:rsidRPr="00A41B49">
        <w:rPr>
          <w:rFonts w:ascii="Times New Roman" w:hAnsi="Times New Roman" w:cs="Times New Roman"/>
          <w:sz w:val="28"/>
          <w:szCs w:val="28"/>
          <w:lang w:val="uk-UA"/>
        </w:rPr>
        <w:t>аймає Корінець Р</w:t>
      </w:r>
      <w:r w:rsidR="00A00855" w:rsidRPr="00A41B49">
        <w:rPr>
          <w:rFonts w:ascii="Times New Roman" w:hAnsi="Times New Roman" w:cs="Times New Roman"/>
          <w:sz w:val="28"/>
          <w:szCs w:val="28"/>
          <w:lang w:val="uk-UA"/>
        </w:rPr>
        <w:t>.</w:t>
      </w:r>
      <w:r w:rsidR="00203630" w:rsidRPr="00A41B49">
        <w:rPr>
          <w:rFonts w:ascii="Times New Roman" w:hAnsi="Times New Roman" w:cs="Times New Roman"/>
          <w:sz w:val="28"/>
          <w:szCs w:val="28"/>
          <w:lang w:val="uk-UA"/>
        </w:rPr>
        <w:t>, стверджуючи, що  «</w:t>
      </w:r>
      <w:r w:rsidR="002476B8" w:rsidRPr="00A41B49">
        <w:rPr>
          <w:rFonts w:ascii="Times New Roman" w:hAnsi="Times New Roman" w:cs="Times New Roman"/>
          <w:sz w:val="28"/>
          <w:szCs w:val="28"/>
          <w:lang w:val="uk-UA"/>
        </w:rPr>
        <w:t>і</w:t>
      </w:r>
      <w:r w:rsidR="00203630" w:rsidRPr="00A41B49">
        <w:rPr>
          <w:rFonts w:ascii="Times New Roman" w:hAnsi="Times New Roman" w:cs="Times New Roman"/>
          <w:sz w:val="28"/>
          <w:szCs w:val="28"/>
          <w:lang w:val="uk-UA"/>
        </w:rPr>
        <w:t>нвестиційна привабливість громади – сукупність певних параметрів та характеристик, притаманних громад, які дозволяють їй залучати необхідний обсяг капіталу на взаємовигідних з інвесторами умовах» [3</w:t>
      </w:r>
      <w:r w:rsidR="002476B8" w:rsidRPr="00A41B49">
        <w:rPr>
          <w:rFonts w:ascii="Times New Roman" w:hAnsi="Times New Roman" w:cs="Times New Roman"/>
          <w:sz w:val="28"/>
          <w:szCs w:val="28"/>
          <w:lang w:val="uk-UA"/>
        </w:rPr>
        <w:t>5</w:t>
      </w:r>
      <w:r w:rsidR="00203630" w:rsidRPr="00A41B49">
        <w:rPr>
          <w:rFonts w:ascii="Times New Roman" w:hAnsi="Times New Roman" w:cs="Times New Roman"/>
          <w:sz w:val="28"/>
          <w:szCs w:val="28"/>
          <w:lang w:val="uk-UA"/>
        </w:rPr>
        <w:t>].</w:t>
      </w:r>
      <w:r w:rsidR="00A06297" w:rsidRPr="00A41B49">
        <w:rPr>
          <w:rFonts w:ascii="Times New Roman" w:hAnsi="Times New Roman" w:cs="Times New Roman"/>
          <w:sz w:val="28"/>
          <w:szCs w:val="28"/>
          <w:lang w:val="uk-UA"/>
        </w:rPr>
        <w:t xml:space="preserve"> </w:t>
      </w:r>
      <w:r w:rsidR="00A00855" w:rsidRPr="00A41B49">
        <w:rPr>
          <w:rFonts w:ascii="Times New Roman" w:hAnsi="Times New Roman" w:cs="Times New Roman"/>
          <w:sz w:val="28"/>
          <w:szCs w:val="28"/>
          <w:lang w:val="uk-UA"/>
        </w:rPr>
        <w:t>При цьому, як зазначає Корінець Р., інвестиції можуть залучатися як національні, так і з-за кордону [3</w:t>
      </w:r>
      <w:r w:rsidR="002476B8" w:rsidRPr="00A41B49">
        <w:rPr>
          <w:rFonts w:ascii="Times New Roman" w:hAnsi="Times New Roman" w:cs="Times New Roman"/>
          <w:sz w:val="28"/>
          <w:szCs w:val="28"/>
          <w:lang w:val="uk-UA"/>
        </w:rPr>
        <w:t>5</w:t>
      </w:r>
      <w:r w:rsidR="00A00855" w:rsidRPr="00A41B49">
        <w:rPr>
          <w:rFonts w:ascii="Times New Roman" w:hAnsi="Times New Roman" w:cs="Times New Roman"/>
          <w:sz w:val="28"/>
          <w:szCs w:val="28"/>
          <w:lang w:val="uk-UA"/>
        </w:rPr>
        <w:t>].</w:t>
      </w:r>
    </w:p>
    <w:p w14:paraId="7BE54F53" w14:textId="77777777" w:rsidR="005A1D6A" w:rsidRPr="00A41B49" w:rsidRDefault="005C4AB3" w:rsidP="00F23225">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Зв'язок між визначеними вище поняттями поданий на рис.</w:t>
      </w:r>
      <w:r w:rsidR="00AB3308" w:rsidRPr="00A41B49">
        <w:rPr>
          <w:rFonts w:ascii="Times New Roman" w:hAnsi="Times New Roman" w:cs="Times New Roman"/>
          <w:sz w:val="28"/>
          <w:szCs w:val="28"/>
          <w:lang w:val="uk-UA"/>
        </w:rPr>
        <w:t xml:space="preserve"> 1.</w:t>
      </w:r>
      <w:r w:rsidRPr="00A41B49">
        <w:rPr>
          <w:rFonts w:ascii="Times New Roman" w:hAnsi="Times New Roman" w:cs="Times New Roman"/>
          <w:sz w:val="28"/>
          <w:szCs w:val="28"/>
          <w:lang w:val="uk-UA"/>
        </w:rPr>
        <w:t xml:space="preserve">2. </w:t>
      </w:r>
    </w:p>
    <w:p w14:paraId="2721223C" w14:textId="77777777" w:rsidR="005A1D6A" w:rsidRPr="00A41B49" w:rsidRDefault="005A1D6A" w:rsidP="00F23225">
      <w:pPr>
        <w:spacing w:after="0" w:line="240" w:lineRule="auto"/>
        <w:ind w:firstLine="709"/>
        <w:jc w:val="both"/>
        <w:rPr>
          <w:rFonts w:ascii="Times New Roman" w:hAnsi="Times New Roman" w:cs="Times New Roman"/>
          <w:sz w:val="28"/>
          <w:szCs w:val="28"/>
          <w:lang w:val="uk-UA"/>
        </w:rPr>
      </w:pPr>
    </w:p>
    <w:p w14:paraId="3D2B0DAC" w14:textId="77777777" w:rsidR="005A1D6A" w:rsidRPr="00A41B49" w:rsidRDefault="005A1D6A" w:rsidP="000B2B36">
      <w:pPr>
        <w:spacing w:after="0" w:line="240" w:lineRule="auto"/>
        <w:jc w:val="center"/>
        <w:rPr>
          <w:rFonts w:ascii="Times New Roman" w:hAnsi="Times New Roman" w:cs="Times New Roman"/>
          <w:sz w:val="28"/>
          <w:szCs w:val="28"/>
          <w:lang w:val="uk-UA"/>
        </w:rPr>
      </w:pPr>
      <w:r w:rsidRPr="00A41B49">
        <w:rPr>
          <w:rFonts w:ascii="Times New Roman" w:hAnsi="Times New Roman" w:cs="Times New Roman"/>
          <w:noProof/>
          <w:sz w:val="28"/>
          <w:szCs w:val="28"/>
          <w:lang w:eastAsia="ru-RU"/>
        </w:rPr>
        <w:lastRenderedPageBreak/>
        <w:drawing>
          <wp:inline distT="0" distB="0" distL="0" distR="0" wp14:anchorId="7FED0CC2" wp14:editId="440F6816">
            <wp:extent cx="5593177" cy="3276600"/>
            <wp:effectExtent l="0" t="0" r="762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saturation sat="33000"/>
                              </a14:imgEffect>
                            </a14:imgLayer>
                          </a14:imgProps>
                        </a:ext>
                      </a:extLst>
                    </a:blip>
                    <a:srcRect t="-1" b="819"/>
                    <a:stretch/>
                  </pic:blipFill>
                  <pic:spPr bwMode="auto">
                    <a:xfrm>
                      <a:off x="0" y="0"/>
                      <a:ext cx="5604623" cy="3283305"/>
                    </a:xfrm>
                    <a:prstGeom prst="rect">
                      <a:avLst/>
                    </a:prstGeom>
                    <a:ln>
                      <a:noFill/>
                    </a:ln>
                    <a:extLst>
                      <a:ext uri="{53640926-AAD7-44D8-BBD7-CCE9431645EC}">
                        <a14:shadowObscured xmlns:a14="http://schemas.microsoft.com/office/drawing/2010/main"/>
                      </a:ext>
                    </a:extLst>
                  </pic:spPr>
                </pic:pic>
              </a:graphicData>
            </a:graphic>
          </wp:inline>
        </w:drawing>
      </w:r>
    </w:p>
    <w:p w14:paraId="37B849F7" w14:textId="77777777" w:rsidR="00221315" w:rsidRPr="00A41B49" w:rsidRDefault="005A1D6A" w:rsidP="007F6AE8">
      <w:pPr>
        <w:spacing w:after="0" w:line="240" w:lineRule="auto"/>
        <w:ind w:firstLine="709"/>
        <w:jc w:val="center"/>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Рисунок </w:t>
      </w:r>
      <w:r w:rsidR="00AB3308" w:rsidRPr="00A41B49">
        <w:rPr>
          <w:rFonts w:ascii="Times New Roman" w:hAnsi="Times New Roman" w:cs="Times New Roman"/>
          <w:sz w:val="28"/>
          <w:szCs w:val="28"/>
          <w:lang w:val="uk-UA"/>
        </w:rPr>
        <w:t>1.</w:t>
      </w:r>
      <w:r w:rsidR="007F6AE8" w:rsidRPr="00A41B49">
        <w:rPr>
          <w:rFonts w:ascii="Times New Roman" w:hAnsi="Times New Roman" w:cs="Times New Roman"/>
          <w:sz w:val="28"/>
          <w:szCs w:val="28"/>
          <w:lang w:val="uk-UA"/>
        </w:rPr>
        <w:t>2 –</w:t>
      </w:r>
      <w:r w:rsidRPr="00A41B49">
        <w:rPr>
          <w:rFonts w:ascii="Times New Roman" w:hAnsi="Times New Roman" w:cs="Times New Roman"/>
          <w:sz w:val="28"/>
          <w:szCs w:val="28"/>
          <w:lang w:val="uk-UA"/>
        </w:rPr>
        <w:t xml:space="preserve"> </w:t>
      </w:r>
      <w:r w:rsidR="007F6AE8" w:rsidRPr="00A41B49">
        <w:rPr>
          <w:rFonts w:ascii="Times New Roman" w:hAnsi="Times New Roman" w:cs="Times New Roman"/>
          <w:sz w:val="28"/>
          <w:szCs w:val="28"/>
          <w:lang w:val="uk-UA"/>
        </w:rPr>
        <w:t>Взаємозв’язок між поняттями «інвестиційний клімат», «інвестиційний потенціал» та «інвестиційна привабливість»</w:t>
      </w:r>
      <w:r w:rsidR="009603F7" w:rsidRPr="00A41B49">
        <w:rPr>
          <w:rFonts w:ascii="Times New Roman" w:hAnsi="Times New Roman" w:cs="Times New Roman"/>
          <w:sz w:val="28"/>
          <w:szCs w:val="28"/>
          <w:lang w:val="uk-UA"/>
        </w:rPr>
        <w:t xml:space="preserve"> різнорівневих соціально-економічних систем </w:t>
      </w:r>
    </w:p>
    <w:p w14:paraId="33FA5156" w14:textId="77777777" w:rsidR="00C47833" w:rsidRPr="00A41B49" w:rsidRDefault="007F6AE8" w:rsidP="00F23225">
      <w:pPr>
        <w:spacing w:after="0" w:line="240" w:lineRule="auto"/>
        <w:ind w:firstLine="709"/>
        <w:jc w:val="both"/>
        <w:rPr>
          <w:rFonts w:ascii="Times New Roman" w:hAnsi="Times New Roman" w:cs="Times New Roman"/>
          <w:i/>
          <w:sz w:val="24"/>
          <w:szCs w:val="24"/>
          <w:lang w:val="uk-UA"/>
        </w:rPr>
      </w:pPr>
      <w:r w:rsidRPr="00A41B49">
        <w:rPr>
          <w:rFonts w:ascii="Times New Roman" w:hAnsi="Times New Roman" w:cs="Times New Roman"/>
          <w:i/>
          <w:sz w:val="24"/>
          <w:szCs w:val="24"/>
          <w:lang w:val="uk-UA"/>
        </w:rPr>
        <w:t>Джерело: складено автором на основі даних [27-31]</w:t>
      </w:r>
    </w:p>
    <w:p w14:paraId="250F2A75" w14:textId="77777777" w:rsidR="00A06297" w:rsidRPr="00A41B49" w:rsidRDefault="00A06297" w:rsidP="00F23225">
      <w:pPr>
        <w:spacing w:after="0" w:line="240" w:lineRule="auto"/>
        <w:ind w:firstLine="709"/>
        <w:jc w:val="both"/>
        <w:rPr>
          <w:rFonts w:ascii="Times New Roman" w:hAnsi="Times New Roman" w:cs="Times New Roman"/>
          <w:sz w:val="28"/>
          <w:szCs w:val="28"/>
          <w:lang w:val="uk-UA"/>
        </w:rPr>
      </w:pPr>
    </w:p>
    <w:p w14:paraId="51DC98A7" w14:textId="77777777" w:rsidR="00C91F8D" w:rsidRPr="00A41B49" w:rsidRDefault="009D7327" w:rsidP="00F23225">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Беручи до уваги все зазначене вище, </w:t>
      </w:r>
      <w:r w:rsidR="000B2B36" w:rsidRPr="00A41B49">
        <w:rPr>
          <w:rFonts w:ascii="Times New Roman" w:hAnsi="Times New Roman" w:cs="Times New Roman"/>
          <w:sz w:val="28"/>
          <w:szCs w:val="28"/>
          <w:lang w:val="uk-UA"/>
        </w:rPr>
        <w:t xml:space="preserve">інвестиційний клімат є вихідною умовою, що визначає інвестиційну привабливість та спроможність різнорівневих соціально-економічних систем </w:t>
      </w:r>
      <w:r w:rsidR="004436D4" w:rsidRPr="00A41B49">
        <w:rPr>
          <w:rFonts w:ascii="Times New Roman" w:hAnsi="Times New Roman" w:cs="Times New Roman"/>
          <w:sz w:val="28"/>
          <w:szCs w:val="28"/>
          <w:lang w:val="uk-UA"/>
        </w:rPr>
        <w:t>реалізувати свій інвестиційний потенціал.</w:t>
      </w:r>
    </w:p>
    <w:p w14:paraId="16D929D1" w14:textId="77777777" w:rsidR="00A443CC" w:rsidRPr="00A41B49" w:rsidRDefault="00E764C3" w:rsidP="00AC63C3">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У умовах реалізації в Україні реформи децентралізації, соціально-економічні системи мезорівня (</w:t>
      </w:r>
      <w:r w:rsidR="0052792E" w:rsidRPr="00A41B49">
        <w:rPr>
          <w:rFonts w:ascii="Times New Roman" w:hAnsi="Times New Roman" w:cs="Times New Roman"/>
          <w:sz w:val="28"/>
          <w:szCs w:val="28"/>
          <w:lang w:val="uk-UA"/>
        </w:rPr>
        <w:t>регіони та міста), крім зростання власн</w:t>
      </w:r>
      <w:r w:rsidR="00325C50" w:rsidRPr="00A41B49">
        <w:rPr>
          <w:rFonts w:ascii="Times New Roman" w:hAnsi="Times New Roman" w:cs="Times New Roman"/>
          <w:sz w:val="28"/>
          <w:szCs w:val="28"/>
          <w:lang w:val="uk-UA"/>
        </w:rPr>
        <w:t>ої</w:t>
      </w:r>
      <w:r w:rsidR="0052792E" w:rsidRPr="00A41B49">
        <w:rPr>
          <w:rFonts w:ascii="Times New Roman" w:hAnsi="Times New Roman" w:cs="Times New Roman"/>
          <w:sz w:val="28"/>
          <w:szCs w:val="28"/>
          <w:lang w:val="uk-UA"/>
        </w:rPr>
        <w:t xml:space="preserve"> фінансов</w:t>
      </w:r>
      <w:r w:rsidR="00325C50" w:rsidRPr="00A41B49">
        <w:rPr>
          <w:rFonts w:ascii="Times New Roman" w:hAnsi="Times New Roman" w:cs="Times New Roman"/>
          <w:sz w:val="28"/>
          <w:szCs w:val="28"/>
          <w:lang w:val="uk-UA"/>
        </w:rPr>
        <w:t>ої спроможності</w:t>
      </w:r>
      <w:r w:rsidR="0052792E" w:rsidRPr="00A41B49">
        <w:rPr>
          <w:rFonts w:ascii="Times New Roman" w:hAnsi="Times New Roman" w:cs="Times New Roman"/>
          <w:sz w:val="28"/>
          <w:szCs w:val="28"/>
          <w:lang w:val="uk-UA"/>
        </w:rPr>
        <w:t xml:space="preserve">, отримали нові повноваження та можливості щодо задоволення своїх фінансових потреб </w:t>
      </w:r>
      <w:r w:rsidR="0052792E" w:rsidRPr="00A41B49">
        <w:rPr>
          <w:rFonts w:ascii="Times New Roman" w:hAnsi="Times New Roman" w:cs="Times New Roman"/>
          <w:sz w:val="28"/>
          <w:szCs w:val="28"/>
          <w:shd w:val="clear" w:color="auto" w:fill="FFFFFF"/>
          <w:lang w:val="uk-UA"/>
        </w:rPr>
        <w:t> – здійснення зовнішніх запозичень</w:t>
      </w:r>
      <w:r w:rsidR="00CF7067" w:rsidRPr="00A41B49">
        <w:rPr>
          <w:rFonts w:ascii="Times New Roman" w:hAnsi="Times New Roman" w:cs="Times New Roman"/>
          <w:sz w:val="28"/>
          <w:szCs w:val="28"/>
          <w:shd w:val="clear" w:color="auto" w:fill="FFFFFF"/>
          <w:lang w:val="uk-UA"/>
        </w:rPr>
        <w:t xml:space="preserve"> </w:t>
      </w:r>
      <w:r w:rsidR="00285EDB" w:rsidRPr="00A41B49">
        <w:rPr>
          <w:rFonts w:ascii="Times New Roman" w:hAnsi="Times New Roman" w:cs="Times New Roman"/>
          <w:sz w:val="28"/>
          <w:szCs w:val="28"/>
          <w:shd w:val="clear" w:color="auto" w:fill="FFFFFF"/>
          <w:lang w:val="uk-UA"/>
        </w:rPr>
        <w:t xml:space="preserve">як у національних, так і зарубіжних позичальників </w:t>
      </w:r>
      <w:r w:rsidR="002476B8" w:rsidRPr="00A41B49">
        <w:rPr>
          <w:rFonts w:ascii="Times New Roman" w:hAnsi="Times New Roman" w:cs="Times New Roman"/>
          <w:sz w:val="28"/>
          <w:szCs w:val="28"/>
          <w:shd w:val="clear" w:color="auto" w:fill="FFFFFF"/>
          <w:lang w:val="uk-UA"/>
        </w:rPr>
        <w:t>(у вигляді прямих іноземних інвестицій – далі ПІІ та портфельних зарубіжних інвестицій – ПЗІ)</w:t>
      </w:r>
      <w:r w:rsidR="0052792E" w:rsidRPr="00A41B49">
        <w:rPr>
          <w:rFonts w:ascii="Times New Roman" w:hAnsi="Times New Roman" w:cs="Times New Roman"/>
          <w:sz w:val="28"/>
          <w:szCs w:val="28"/>
          <w:shd w:val="clear" w:color="auto" w:fill="FFFFFF"/>
          <w:lang w:val="uk-UA"/>
        </w:rPr>
        <w:t>, самостійне обрання установ з обслуговування коштів місцевих бюджетів відносно розвитку та власних надходжень бюджетних устано</w:t>
      </w:r>
      <w:r w:rsidR="00E66926" w:rsidRPr="00A41B49">
        <w:rPr>
          <w:rFonts w:ascii="Times New Roman" w:hAnsi="Times New Roman" w:cs="Times New Roman"/>
          <w:sz w:val="28"/>
          <w:szCs w:val="28"/>
          <w:shd w:val="clear" w:color="auto" w:fill="FFFFFF"/>
          <w:lang w:val="uk-UA"/>
        </w:rPr>
        <w:t>в</w:t>
      </w:r>
      <w:r w:rsidR="004D4996" w:rsidRPr="00A41B49">
        <w:rPr>
          <w:rFonts w:ascii="Times New Roman" w:hAnsi="Times New Roman" w:cs="Times New Roman"/>
          <w:sz w:val="28"/>
          <w:szCs w:val="28"/>
          <w:shd w:val="clear" w:color="auto" w:fill="FFFFFF"/>
          <w:lang w:val="uk-UA"/>
        </w:rPr>
        <w:t xml:space="preserve"> тощ</w:t>
      </w:r>
      <w:r w:rsidR="006419E8" w:rsidRPr="00A41B49">
        <w:rPr>
          <w:rFonts w:ascii="Times New Roman" w:hAnsi="Times New Roman" w:cs="Times New Roman"/>
          <w:sz w:val="28"/>
          <w:szCs w:val="28"/>
          <w:shd w:val="clear" w:color="auto" w:fill="FFFFFF"/>
          <w:lang w:val="uk-UA"/>
        </w:rPr>
        <w:t>о</w:t>
      </w:r>
      <w:r w:rsidR="00E66926" w:rsidRPr="00A41B49">
        <w:rPr>
          <w:rFonts w:ascii="Times New Roman" w:hAnsi="Times New Roman" w:cs="Times New Roman"/>
          <w:sz w:val="28"/>
          <w:szCs w:val="28"/>
          <w:shd w:val="clear" w:color="auto" w:fill="FFFFFF"/>
          <w:lang w:val="uk-UA"/>
        </w:rPr>
        <w:t>, що суттєво актуалізувала проблему чіткого визначення сутності поняття «інвестиційна привабливість міста» та дієвих факторі</w:t>
      </w:r>
      <w:r w:rsidR="004D4996" w:rsidRPr="00A41B49">
        <w:rPr>
          <w:rFonts w:ascii="Times New Roman" w:hAnsi="Times New Roman" w:cs="Times New Roman"/>
          <w:sz w:val="28"/>
          <w:szCs w:val="28"/>
          <w:shd w:val="clear" w:color="auto" w:fill="FFFFFF"/>
          <w:lang w:val="uk-UA"/>
        </w:rPr>
        <w:t xml:space="preserve">в та інструментів її підвищення, адже, як справедливо зазначають </w:t>
      </w:r>
      <w:r w:rsidR="004D4996" w:rsidRPr="00A41B49">
        <w:rPr>
          <w:rFonts w:ascii="Times New Roman" w:hAnsi="Times New Roman" w:cs="Times New Roman"/>
          <w:sz w:val="28"/>
          <w:szCs w:val="28"/>
          <w:lang w:val="uk-UA"/>
        </w:rPr>
        <w:t>Жук</w:t>
      </w:r>
      <w:r w:rsidR="00982FB4" w:rsidRPr="00A41B49">
        <w:rPr>
          <w:rFonts w:ascii="Times New Roman" w:hAnsi="Times New Roman" w:cs="Times New Roman"/>
          <w:sz w:val="28"/>
          <w:szCs w:val="28"/>
          <w:lang w:val="uk-UA"/>
        </w:rPr>
        <w:t xml:space="preserve"> П. В.</w:t>
      </w:r>
      <w:r w:rsidR="004D4996" w:rsidRPr="00A41B49">
        <w:rPr>
          <w:rFonts w:ascii="Times New Roman" w:hAnsi="Times New Roman" w:cs="Times New Roman"/>
          <w:sz w:val="28"/>
          <w:szCs w:val="28"/>
          <w:lang w:val="uk-UA"/>
        </w:rPr>
        <w:t>, Сірик</w:t>
      </w:r>
      <w:r w:rsidR="00982FB4" w:rsidRPr="00A41B49">
        <w:rPr>
          <w:rFonts w:ascii="Times New Roman" w:hAnsi="Times New Roman" w:cs="Times New Roman"/>
          <w:sz w:val="28"/>
          <w:szCs w:val="28"/>
          <w:lang w:val="uk-UA"/>
        </w:rPr>
        <w:t xml:space="preserve"> З. О., «Територіальна громада наділена державою правом місцевого самоврядування. Але це лише право, яке необхідно реалізувати</w:t>
      </w:r>
      <w:r w:rsidR="00E16E83" w:rsidRPr="00A41B49">
        <w:rPr>
          <w:rFonts w:ascii="Times New Roman" w:hAnsi="Times New Roman" w:cs="Times New Roman"/>
          <w:sz w:val="28"/>
          <w:szCs w:val="28"/>
          <w:lang w:val="uk-UA"/>
        </w:rPr>
        <w:t>… роль органів місцевого самоврядування в процесі залучення інвестицій має зводитися до виконання таких функцій: формування привабливого для інвестора іміджу територіальної громади; створення сприятливих умов для надходжень та ефективної реалізації інвестицій; створення ефективних каналів для поширення інформації про інвестиційний потенціал відповідної території; посередництво в налагодженні контактів і співпраці між представниками місцевого бізнесу і потенційними інвесторами</w:t>
      </w:r>
      <w:r w:rsidR="00982FB4" w:rsidRPr="00A41B49">
        <w:rPr>
          <w:rFonts w:ascii="Times New Roman" w:hAnsi="Times New Roman" w:cs="Times New Roman"/>
          <w:sz w:val="28"/>
          <w:szCs w:val="28"/>
          <w:lang w:val="uk-UA"/>
        </w:rPr>
        <w:t>» [29].</w:t>
      </w:r>
      <w:r w:rsidR="00A443CC" w:rsidRPr="00A41B49">
        <w:rPr>
          <w:rFonts w:ascii="Times New Roman" w:hAnsi="Times New Roman" w:cs="Times New Roman"/>
          <w:sz w:val="28"/>
          <w:szCs w:val="28"/>
          <w:lang w:val="uk-UA"/>
        </w:rPr>
        <w:t xml:space="preserve"> </w:t>
      </w:r>
    </w:p>
    <w:p w14:paraId="24260707" w14:textId="77777777" w:rsidR="00E66926" w:rsidRPr="00A41B49" w:rsidRDefault="006419E8" w:rsidP="00AC63C3">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lastRenderedPageBreak/>
        <w:t>Таким чином, на сучасному етапі розвитку теорії та практики забезпечення інвестиційної привабливості міста:</w:t>
      </w:r>
    </w:p>
    <w:p w14:paraId="61E851B0" w14:textId="77777777" w:rsidR="006419E8" w:rsidRPr="00A41B49" w:rsidRDefault="00EC7E1E" w:rsidP="00AC63C3">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і</w:t>
      </w:r>
      <w:r w:rsidR="00DD4B91" w:rsidRPr="00A41B49">
        <w:rPr>
          <w:rFonts w:ascii="Times New Roman" w:hAnsi="Times New Roman" w:cs="Times New Roman"/>
          <w:sz w:val="28"/>
          <w:szCs w:val="28"/>
          <w:lang w:val="uk-UA"/>
        </w:rPr>
        <w:t>нвестиційна привабливість міста може розглядатися як інтегральна характеристика спроможності міста виступати привабливим для інвестування об’єктом</w:t>
      </w:r>
      <w:r w:rsidR="00AC69E2" w:rsidRPr="00A41B49">
        <w:rPr>
          <w:rFonts w:ascii="Times New Roman" w:hAnsi="Times New Roman" w:cs="Times New Roman"/>
          <w:sz w:val="28"/>
          <w:szCs w:val="28"/>
          <w:lang w:val="uk-UA"/>
        </w:rPr>
        <w:t>;</w:t>
      </w:r>
    </w:p>
    <w:p w14:paraId="2892A4FB" w14:textId="77777777" w:rsidR="00333FB3" w:rsidRPr="00A41B49" w:rsidRDefault="00AC63C3" w:rsidP="009173D6">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органи місцевого самоврядування мають </w:t>
      </w:r>
      <w:r w:rsidR="009173D6" w:rsidRPr="00A41B49">
        <w:rPr>
          <w:rFonts w:ascii="Times New Roman" w:hAnsi="Times New Roman" w:cs="Times New Roman"/>
          <w:sz w:val="28"/>
          <w:szCs w:val="28"/>
          <w:lang w:val="uk-UA"/>
        </w:rPr>
        <w:t>активно</w:t>
      </w:r>
      <w:r w:rsidRPr="00A41B49">
        <w:rPr>
          <w:rFonts w:ascii="Times New Roman" w:hAnsi="Times New Roman" w:cs="Times New Roman"/>
          <w:sz w:val="28"/>
          <w:szCs w:val="28"/>
          <w:lang w:val="uk-UA"/>
        </w:rPr>
        <w:t xml:space="preserve"> включатися у процес </w:t>
      </w:r>
      <w:r w:rsidR="009173D6" w:rsidRPr="00A41B49">
        <w:rPr>
          <w:rFonts w:ascii="Times New Roman" w:hAnsi="Times New Roman" w:cs="Times New Roman"/>
          <w:sz w:val="28"/>
          <w:szCs w:val="28"/>
          <w:lang w:val="uk-UA"/>
        </w:rPr>
        <w:t>забезпечення</w:t>
      </w:r>
      <w:r w:rsidRPr="00A41B49">
        <w:rPr>
          <w:rFonts w:ascii="Times New Roman" w:hAnsi="Times New Roman" w:cs="Times New Roman"/>
          <w:sz w:val="28"/>
          <w:szCs w:val="28"/>
          <w:lang w:val="uk-UA"/>
        </w:rPr>
        <w:t xml:space="preserve"> та підвищення </w:t>
      </w:r>
      <w:r w:rsidR="009173D6" w:rsidRPr="00A41B49">
        <w:rPr>
          <w:rFonts w:ascii="Times New Roman" w:hAnsi="Times New Roman" w:cs="Times New Roman"/>
          <w:sz w:val="28"/>
          <w:szCs w:val="28"/>
          <w:lang w:val="uk-UA"/>
        </w:rPr>
        <w:t>інвестиційної</w:t>
      </w:r>
      <w:r w:rsidRPr="00A41B49">
        <w:rPr>
          <w:rFonts w:ascii="Times New Roman" w:hAnsi="Times New Roman" w:cs="Times New Roman"/>
          <w:sz w:val="28"/>
          <w:szCs w:val="28"/>
          <w:lang w:val="uk-UA"/>
        </w:rPr>
        <w:t xml:space="preserve"> привабливості міста, адже залучення інвестицій на місцевий рівень є показником стабільності й успішності </w:t>
      </w:r>
      <w:r w:rsidR="009173D6" w:rsidRPr="00A41B49">
        <w:rPr>
          <w:rFonts w:ascii="Times New Roman" w:hAnsi="Times New Roman" w:cs="Times New Roman"/>
          <w:sz w:val="28"/>
          <w:szCs w:val="28"/>
          <w:lang w:val="uk-UA"/>
        </w:rPr>
        <w:t xml:space="preserve">його </w:t>
      </w:r>
      <w:r w:rsidRPr="00A41B49">
        <w:rPr>
          <w:rFonts w:ascii="Times New Roman" w:hAnsi="Times New Roman" w:cs="Times New Roman"/>
          <w:sz w:val="28"/>
          <w:szCs w:val="28"/>
          <w:lang w:val="uk-UA"/>
        </w:rPr>
        <w:t>соціально-економічного розвитку громади</w:t>
      </w:r>
      <w:r w:rsidR="009173D6"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[29]</w:t>
      </w:r>
      <w:r w:rsidR="009173D6" w:rsidRPr="00A41B49">
        <w:rPr>
          <w:rFonts w:ascii="Times New Roman" w:hAnsi="Times New Roman" w:cs="Times New Roman"/>
          <w:sz w:val="28"/>
          <w:szCs w:val="28"/>
          <w:lang w:val="uk-UA"/>
        </w:rPr>
        <w:t xml:space="preserve">, сприяє «… підвищенню </w:t>
      </w:r>
      <w:r w:rsidR="006419E8" w:rsidRPr="00A41B49">
        <w:rPr>
          <w:rFonts w:ascii="Times New Roman" w:hAnsi="Times New Roman" w:cs="Times New Roman"/>
          <w:sz w:val="28"/>
          <w:szCs w:val="28"/>
          <w:lang w:val="uk-UA"/>
        </w:rPr>
        <w:t>ефективності місцевих виробництв, забезпечують соціально-економічну стабільність громад і вирішенню їх виробничих, інфраструктурних та екологічних проблем</w:t>
      </w:r>
      <w:r w:rsidR="009173D6" w:rsidRPr="00A41B49">
        <w:rPr>
          <w:rFonts w:ascii="Times New Roman" w:hAnsi="Times New Roman" w:cs="Times New Roman"/>
          <w:sz w:val="28"/>
          <w:szCs w:val="28"/>
          <w:lang w:val="uk-UA"/>
        </w:rPr>
        <w:t>»</w:t>
      </w:r>
      <w:r w:rsidR="006419E8" w:rsidRPr="00A41B49">
        <w:rPr>
          <w:rFonts w:ascii="Times New Roman" w:hAnsi="Times New Roman" w:cs="Times New Roman"/>
          <w:sz w:val="28"/>
          <w:szCs w:val="28"/>
          <w:lang w:val="uk-UA"/>
        </w:rPr>
        <w:t xml:space="preserve"> [16]</w:t>
      </w:r>
      <w:r w:rsidR="00AC69E2" w:rsidRPr="00A41B49">
        <w:rPr>
          <w:rFonts w:ascii="Times New Roman" w:hAnsi="Times New Roman" w:cs="Times New Roman"/>
          <w:sz w:val="28"/>
          <w:szCs w:val="28"/>
          <w:lang w:val="uk-UA"/>
        </w:rPr>
        <w:t>;</w:t>
      </w:r>
    </w:p>
    <w:p w14:paraId="1CCFF512" w14:textId="77777777" w:rsidR="003E0CE9" w:rsidRPr="00A41B49" w:rsidRDefault="00AC69E2" w:rsidP="003E0CE9">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форми інвестиційно</w:t>
      </w:r>
      <w:r w:rsidR="00AE4314" w:rsidRPr="00A41B49">
        <w:rPr>
          <w:rFonts w:ascii="Times New Roman" w:hAnsi="Times New Roman" w:cs="Times New Roman"/>
          <w:sz w:val="28"/>
          <w:szCs w:val="28"/>
          <w:lang w:val="uk-UA"/>
        </w:rPr>
        <w:t xml:space="preserve">го забезпечення розвитку міста </w:t>
      </w:r>
      <w:r w:rsidRPr="00A41B49">
        <w:rPr>
          <w:rFonts w:ascii="Times New Roman" w:hAnsi="Times New Roman" w:cs="Times New Roman"/>
          <w:sz w:val="28"/>
          <w:szCs w:val="28"/>
          <w:lang w:val="uk-UA"/>
        </w:rPr>
        <w:t xml:space="preserve">суттєво різнять за рівнем ризикованості та </w:t>
      </w:r>
      <w:r w:rsidR="00AE4314" w:rsidRPr="00A41B49">
        <w:rPr>
          <w:rFonts w:ascii="Times New Roman" w:hAnsi="Times New Roman" w:cs="Times New Roman"/>
          <w:sz w:val="28"/>
          <w:szCs w:val="28"/>
          <w:lang w:val="uk-UA"/>
        </w:rPr>
        <w:t xml:space="preserve">джерелами формування інвестиційних ресурсів. На сучасному етапі розвитку інвестиційне забезпечення розвитку міста формується за рахунок таких джерел: бюджетне інвестування; </w:t>
      </w:r>
      <w:r w:rsidR="00A307C3" w:rsidRPr="00A41B49">
        <w:rPr>
          <w:rFonts w:ascii="Times New Roman" w:hAnsi="Times New Roman" w:cs="Times New Roman"/>
          <w:sz w:val="28"/>
          <w:szCs w:val="28"/>
          <w:lang w:val="uk-UA"/>
        </w:rPr>
        <w:t>інвестування</w:t>
      </w:r>
      <w:r w:rsidR="00AE4314" w:rsidRPr="00A41B49">
        <w:rPr>
          <w:rFonts w:ascii="Times New Roman" w:hAnsi="Times New Roman" w:cs="Times New Roman"/>
          <w:sz w:val="28"/>
          <w:szCs w:val="28"/>
          <w:lang w:val="uk-UA"/>
        </w:rPr>
        <w:t xml:space="preserve"> за рахунок власних коштів підприємств, організацій; інвестування за рахунок кредитів і позик; внутрішні і зовнішні інвестиції</w:t>
      </w:r>
      <w:r w:rsidR="00810E6C" w:rsidRPr="00A41B49">
        <w:rPr>
          <w:rFonts w:ascii="Times New Roman" w:hAnsi="Times New Roman" w:cs="Times New Roman"/>
          <w:sz w:val="28"/>
          <w:szCs w:val="28"/>
          <w:lang w:val="uk-UA"/>
        </w:rPr>
        <w:t>. Перші два джерела інвестиційної діяльності (бюджетне інвестування; інвестування за рахунок власних коштів підприємств, організацій)</w:t>
      </w:r>
      <w:r w:rsidR="00AE4314" w:rsidRPr="00A41B49">
        <w:rPr>
          <w:rFonts w:ascii="Times New Roman" w:hAnsi="Times New Roman" w:cs="Times New Roman"/>
          <w:sz w:val="28"/>
          <w:szCs w:val="28"/>
          <w:lang w:val="uk-UA"/>
        </w:rPr>
        <w:t xml:space="preserve"> </w:t>
      </w:r>
      <w:r w:rsidR="00810E6C" w:rsidRPr="00A41B49">
        <w:rPr>
          <w:rFonts w:ascii="Times New Roman" w:hAnsi="Times New Roman" w:cs="Times New Roman"/>
          <w:sz w:val="28"/>
          <w:szCs w:val="28"/>
          <w:lang w:val="uk-UA"/>
        </w:rPr>
        <w:t>характеризуються, як правило, низьким рівнем ризику</w:t>
      </w:r>
      <w:r w:rsidR="00AE685B" w:rsidRPr="00A41B49">
        <w:rPr>
          <w:rFonts w:ascii="Times New Roman" w:hAnsi="Times New Roman" w:cs="Times New Roman"/>
          <w:sz w:val="28"/>
          <w:szCs w:val="28"/>
          <w:lang w:val="uk-UA"/>
        </w:rPr>
        <w:t xml:space="preserve">, другі дві (інвестування за рахунок кредитів і позик; внутрішні і зовнішні інвестиції) – високим та середнім відповідно </w:t>
      </w:r>
      <w:r w:rsidR="00A307C3" w:rsidRPr="00A41B49">
        <w:rPr>
          <w:rFonts w:ascii="Times New Roman" w:hAnsi="Times New Roman" w:cs="Times New Roman"/>
          <w:sz w:val="28"/>
          <w:szCs w:val="28"/>
          <w:lang w:val="uk-UA"/>
        </w:rPr>
        <w:t>[11]</w:t>
      </w:r>
      <w:r w:rsidR="003E0CE9" w:rsidRPr="00A41B49">
        <w:rPr>
          <w:rFonts w:ascii="Times New Roman" w:hAnsi="Times New Roman" w:cs="Times New Roman"/>
          <w:sz w:val="28"/>
          <w:szCs w:val="28"/>
          <w:lang w:val="uk-UA"/>
        </w:rPr>
        <w:t>.</w:t>
      </w:r>
    </w:p>
    <w:p w14:paraId="70F97CBE" w14:textId="77777777" w:rsidR="006B3A6F" w:rsidRPr="00A41B49" w:rsidRDefault="00323B71" w:rsidP="00410A1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На сучасному етапі розвитку теорії та практики інвестиційної діяльності різнорівневих соціально-економічних систем, з огляду на відсутність </w:t>
      </w:r>
      <w:r w:rsidR="00AE685B" w:rsidRPr="00A41B49">
        <w:rPr>
          <w:rFonts w:ascii="Times New Roman" w:hAnsi="Times New Roman" w:cs="Times New Roman"/>
          <w:sz w:val="28"/>
          <w:szCs w:val="28"/>
          <w:lang w:val="uk-UA"/>
        </w:rPr>
        <w:t>загальноприйнятого</w:t>
      </w:r>
      <w:r w:rsidRPr="00A41B49">
        <w:rPr>
          <w:rFonts w:ascii="Times New Roman" w:hAnsi="Times New Roman" w:cs="Times New Roman"/>
          <w:sz w:val="28"/>
          <w:szCs w:val="28"/>
          <w:lang w:val="uk-UA"/>
        </w:rPr>
        <w:t xml:space="preserve"> підходу до розуміння сутності </w:t>
      </w:r>
      <w:r w:rsidR="00AE685B" w:rsidRPr="00A41B49">
        <w:rPr>
          <w:rFonts w:ascii="Times New Roman" w:hAnsi="Times New Roman" w:cs="Times New Roman"/>
          <w:sz w:val="28"/>
          <w:szCs w:val="28"/>
          <w:lang w:val="uk-UA"/>
        </w:rPr>
        <w:t>поняття</w:t>
      </w:r>
      <w:r w:rsidRPr="00A41B49">
        <w:rPr>
          <w:rFonts w:ascii="Times New Roman" w:hAnsi="Times New Roman" w:cs="Times New Roman"/>
          <w:sz w:val="28"/>
          <w:szCs w:val="28"/>
          <w:lang w:val="uk-UA"/>
        </w:rPr>
        <w:t xml:space="preserve"> «</w:t>
      </w:r>
      <w:r w:rsidR="00AE685B" w:rsidRPr="00A41B49">
        <w:rPr>
          <w:rFonts w:ascii="Times New Roman" w:hAnsi="Times New Roman" w:cs="Times New Roman"/>
          <w:sz w:val="28"/>
          <w:szCs w:val="28"/>
          <w:lang w:val="uk-UA"/>
        </w:rPr>
        <w:t>інвестиційна</w:t>
      </w:r>
      <w:r w:rsidRPr="00A41B49">
        <w:rPr>
          <w:rFonts w:ascii="Times New Roman" w:hAnsi="Times New Roman" w:cs="Times New Roman"/>
          <w:sz w:val="28"/>
          <w:szCs w:val="28"/>
          <w:lang w:val="uk-UA"/>
        </w:rPr>
        <w:t xml:space="preserve"> привабливість», невизначені</w:t>
      </w:r>
      <w:r w:rsidR="0043325A" w:rsidRPr="00A41B49">
        <w:rPr>
          <w:rFonts w:ascii="Times New Roman" w:hAnsi="Times New Roman" w:cs="Times New Roman"/>
          <w:sz w:val="28"/>
          <w:szCs w:val="28"/>
          <w:lang w:val="uk-UA"/>
        </w:rPr>
        <w:t xml:space="preserve">сть його у сфері законодавства, </w:t>
      </w:r>
      <w:r w:rsidR="006B3A6F" w:rsidRPr="00A41B49">
        <w:rPr>
          <w:rFonts w:ascii="Times New Roman" w:hAnsi="Times New Roman" w:cs="Times New Roman"/>
          <w:sz w:val="28"/>
          <w:szCs w:val="28"/>
          <w:lang w:val="uk-UA"/>
        </w:rPr>
        <w:t xml:space="preserve">наявність широкого переліку класифікаційних критеріїв, на </w:t>
      </w:r>
      <w:r w:rsidR="002A3D84" w:rsidRPr="00A41B49">
        <w:rPr>
          <w:rFonts w:ascii="Times New Roman" w:hAnsi="Times New Roman" w:cs="Times New Roman"/>
          <w:sz w:val="28"/>
          <w:szCs w:val="28"/>
          <w:lang w:val="uk-UA"/>
        </w:rPr>
        <w:t>підґрунті</w:t>
      </w:r>
      <w:r w:rsidR="006B3A6F" w:rsidRPr="00A41B49">
        <w:rPr>
          <w:rFonts w:ascii="Times New Roman" w:hAnsi="Times New Roman" w:cs="Times New Roman"/>
          <w:sz w:val="28"/>
          <w:szCs w:val="28"/>
          <w:lang w:val="uk-UA"/>
        </w:rPr>
        <w:t xml:space="preserve"> яких здійснюється диференціація факторів інвестиційної привабливості, </w:t>
      </w:r>
      <w:r w:rsidR="0043325A" w:rsidRPr="00A41B49">
        <w:rPr>
          <w:rFonts w:ascii="Times New Roman" w:hAnsi="Times New Roman" w:cs="Times New Roman"/>
          <w:sz w:val="28"/>
          <w:szCs w:val="28"/>
          <w:lang w:val="uk-UA"/>
        </w:rPr>
        <w:t>закономірно</w:t>
      </w:r>
      <w:r w:rsidR="006B3A6F" w:rsidRPr="00A41B49">
        <w:rPr>
          <w:rFonts w:ascii="Times New Roman" w:hAnsi="Times New Roman" w:cs="Times New Roman"/>
          <w:sz w:val="28"/>
          <w:szCs w:val="28"/>
          <w:lang w:val="uk-UA"/>
        </w:rPr>
        <w:t>, що</w:t>
      </w:r>
      <w:r w:rsidR="0043325A" w:rsidRPr="00A41B49">
        <w:rPr>
          <w:rFonts w:ascii="Times New Roman" w:hAnsi="Times New Roman" w:cs="Times New Roman"/>
          <w:sz w:val="28"/>
          <w:szCs w:val="28"/>
          <w:lang w:val="uk-UA"/>
        </w:rPr>
        <w:t xml:space="preserve"> не </w:t>
      </w:r>
      <w:r w:rsidR="006B3A6F" w:rsidRPr="00A41B49">
        <w:rPr>
          <w:rFonts w:ascii="Times New Roman" w:hAnsi="Times New Roman" w:cs="Times New Roman"/>
          <w:sz w:val="28"/>
          <w:szCs w:val="28"/>
          <w:lang w:val="uk-UA"/>
        </w:rPr>
        <w:t>існує</w:t>
      </w:r>
      <w:r w:rsidR="0043325A" w:rsidRPr="00A41B49">
        <w:rPr>
          <w:rFonts w:ascii="Times New Roman" w:hAnsi="Times New Roman" w:cs="Times New Roman"/>
          <w:sz w:val="28"/>
          <w:szCs w:val="28"/>
          <w:lang w:val="uk-UA"/>
        </w:rPr>
        <w:t xml:space="preserve"> загальноприйнятого переліку детермінантів інвестиційної привабливості. </w:t>
      </w:r>
    </w:p>
    <w:p w14:paraId="2E33709F" w14:textId="77777777" w:rsidR="00D8559D" w:rsidRPr="00A41B49" w:rsidRDefault="00D8559D" w:rsidP="00410A1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Так, Нікольчук  Ю., Лопатовська  О. стверджують, що на </w:t>
      </w:r>
      <w:r w:rsidR="006B3A6F" w:rsidRPr="00A41B49">
        <w:rPr>
          <w:rFonts w:ascii="Times New Roman" w:hAnsi="Times New Roman" w:cs="Times New Roman"/>
          <w:sz w:val="28"/>
          <w:szCs w:val="28"/>
          <w:lang w:val="uk-UA"/>
        </w:rPr>
        <w:t>інвестиційну привабливість соціально-економічних систем впливають три групи факторів:</w:t>
      </w:r>
    </w:p>
    <w:p w14:paraId="06745750" w14:textId="77777777" w:rsidR="006B3A6F" w:rsidRPr="00A41B49" w:rsidRDefault="001B0267" w:rsidP="00410A1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ф</w:t>
      </w:r>
      <w:r w:rsidR="006B3A6F" w:rsidRPr="00A41B49">
        <w:rPr>
          <w:rFonts w:ascii="Times New Roman" w:hAnsi="Times New Roman" w:cs="Times New Roman"/>
          <w:sz w:val="28"/>
          <w:szCs w:val="28"/>
          <w:lang w:val="uk-UA"/>
        </w:rPr>
        <w:t xml:space="preserve">актори безпосереднього впливу на </w:t>
      </w:r>
      <w:r w:rsidRPr="00A41B49">
        <w:rPr>
          <w:rFonts w:ascii="Times New Roman" w:hAnsi="Times New Roman" w:cs="Times New Roman"/>
          <w:sz w:val="28"/>
          <w:szCs w:val="28"/>
          <w:lang w:val="uk-UA"/>
        </w:rPr>
        <w:t xml:space="preserve">інвестиційний потенціал (трудовий, природний, </w:t>
      </w:r>
      <w:r w:rsidR="00161629" w:rsidRPr="00A41B49">
        <w:rPr>
          <w:rFonts w:ascii="Times New Roman" w:hAnsi="Times New Roman" w:cs="Times New Roman"/>
          <w:sz w:val="28"/>
          <w:szCs w:val="28"/>
          <w:lang w:val="uk-UA"/>
        </w:rPr>
        <w:t>інфраструктурний</w:t>
      </w:r>
      <w:r w:rsidRPr="00A41B49">
        <w:rPr>
          <w:rFonts w:ascii="Times New Roman" w:hAnsi="Times New Roman" w:cs="Times New Roman"/>
          <w:sz w:val="28"/>
          <w:szCs w:val="28"/>
          <w:lang w:val="uk-UA"/>
        </w:rPr>
        <w:t>, виробничий, інноваційний, інституційний, фінансовий та споживчий  потенціал);</w:t>
      </w:r>
    </w:p>
    <w:p w14:paraId="3846397B" w14:textId="77777777" w:rsidR="001B0267" w:rsidRPr="00A41B49" w:rsidRDefault="001B0267" w:rsidP="00410A1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фактори, що визначають рівень некомерційних інвестиційних ризиків (</w:t>
      </w:r>
      <w:r w:rsidR="00436F02" w:rsidRPr="00A41B49">
        <w:rPr>
          <w:rFonts w:ascii="Times New Roman" w:hAnsi="Times New Roman" w:cs="Times New Roman"/>
          <w:sz w:val="28"/>
          <w:szCs w:val="28"/>
          <w:lang w:val="uk-UA"/>
        </w:rPr>
        <w:t>законодавчі, політичні, соціальні, економічні, екологічні, кримінальні ризики</w:t>
      </w:r>
      <w:r w:rsidRPr="00A41B49">
        <w:rPr>
          <w:rFonts w:ascii="Times New Roman" w:hAnsi="Times New Roman" w:cs="Times New Roman"/>
          <w:sz w:val="28"/>
          <w:szCs w:val="28"/>
          <w:lang w:val="uk-UA"/>
        </w:rPr>
        <w:t>)</w:t>
      </w:r>
      <w:r w:rsidR="00436F02" w:rsidRPr="00A41B49">
        <w:rPr>
          <w:rFonts w:ascii="Times New Roman" w:hAnsi="Times New Roman" w:cs="Times New Roman"/>
          <w:sz w:val="28"/>
          <w:szCs w:val="28"/>
          <w:lang w:val="uk-UA"/>
        </w:rPr>
        <w:t>;</w:t>
      </w:r>
    </w:p>
    <w:p w14:paraId="7917FDF8" w14:textId="77777777" w:rsidR="00436F02" w:rsidRPr="00A41B49" w:rsidRDefault="00436F02" w:rsidP="00410A1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фактори, що визначають рівень комерційних інвестиційних ризиків (концентрація і розподіл інвестиційного капіталу, активізація впровадження нових виробничих потужностей, розвиток прямих та портфельних інвестицій) тощо [28].</w:t>
      </w:r>
    </w:p>
    <w:p w14:paraId="28770E94" w14:textId="77777777" w:rsidR="00D71C63" w:rsidRPr="00A41B49" w:rsidRDefault="00D71C63" w:rsidP="00410A1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Крім того, як зазначає Нікольчук  Ю., Лопатовська  О. усі фактори, що впливають на інвестиційну привабливість соціально-економічних систем можна поділити на статичні (не підлягають впливу управлінських </w:t>
      </w:r>
      <w:r w:rsidR="000A7F2B" w:rsidRPr="00A41B49">
        <w:rPr>
          <w:rFonts w:ascii="Times New Roman" w:hAnsi="Times New Roman" w:cs="Times New Roman"/>
          <w:sz w:val="28"/>
          <w:szCs w:val="28"/>
          <w:lang w:val="uk-UA"/>
        </w:rPr>
        <w:t>структур</w:t>
      </w:r>
      <w:r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lastRenderedPageBreak/>
        <w:t xml:space="preserve">інерційні </w:t>
      </w:r>
      <w:r w:rsidR="00376F36" w:rsidRPr="00A41B49">
        <w:rPr>
          <w:rFonts w:ascii="Times New Roman" w:hAnsi="Times New Roman" w:cs="Times New Roman"/>
          <w:sz w:val="28"/>
          <w:szCs w:val="28"/>
          <w:lang w:val="uk-UA"/>
        </w:rPr>
        <w:t>(потребують системного та тривалого управлінського впливу та фокусування), динамічні (є керованими, підлягають впливу управлінських структур) [28].</w:t>
      </w:r>
    </w:p>
    <w:p w14:paraId="7A77046D" w14:textId="77777777" w:rsidR="00A02749" w:rsidRPr="00A41B49" w:rsidRDefault="000A7F2B" w:rsidP="00A02749">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Пиртко М.С., </w:t>
      </w:r>
      <w:r w:rsidR="006F4325" w:rsidRPr="00A41B49">
        <w:rPr>
          <w:rFonts w:ascii="Times New Roman" w:hAnsi="Times New Roman" w:cs="Times New Roman"/>
          <w:sz w:val="28"/>
          <w:szCs w:val="28"/>
          <w:lang w:val="uk-UA"/>
        </w:rPr>
        <w:t>Мунька С.</w:t>
      </w:r>
      <w:r w:rsidRPr="00A41B49">
        <w:rPr>
          <w:rFonts w:ascii="Times New Roman" w:hAnsi="Times New Roman" w:cs="Times New Roman"/>
          <w:sz w:val="28"/>
          <w:szCs w:val="28"/>
          <w:lang w:val="uk-UA"/>
        </w:rPr>
        <w:t>С.</w:t>
      </w:r>
      <w:r w:rsidR="006F4325" w:rsidRPr="00A41B49">
        <w:rPr>
          <w:rFonts w:ascii="Times New Roman" w:hAnsi="Times New Roman" w:cs="Times New Roman"/>
          <w:sz w:val="28"/>
          <w:szCs w:val="28"/>
          <w:lang w:val="uk-UA"/>
        </w:rPr>
        <w:t xml:space="preserve"> [32]</w:t>
      </w:r>
      <w:r w:rsidRPr="00A41B49">
        <w:rPr>
          <w:rFonts w:ascii="Times New Roman" w:hAnsi="Times New Roman" w:cs="Times New Roman"/>
          <w:sz w:val="28"/>
          <w:szCs w:val="28"/>
          <w:lang w:val="uk-UA"/>
        </w:rPr>
        <w:t xml:space="preserve"> фактори інвестиційної привабливості соціально-економічних систем поділяють  на </w:t>
      </w:r>
      <w:r w:rsidR="00AF720D" w:rsidRPr="00A41B49">
        <w:rPr>
          <w:rFonts w:ascii="Times New Roman" w:hAnsi="Times New Roman" w:cs="Times New Roman"/>
          <w:sz w:val="28"/>
          <w:szCs w:val="28"/>
          <w:lang w:val="uk-UA"/>
        </w:rPr>
        <w:t xml:space="preserve">фактори-стимулятори та фактори-дестимулятори, </w:t>
      </w:r>
      <w:r w:rsidRPr="00A41B49">
        <w:rPr>
          <w:rFonts w:ascii="Times New Roman" w:hAnsi="Times New Roman" w:cs="Times New Roman"/>
          <w:sz w:val="28"/>
          <w:szCs w:val="28"/>
          <w:lang w:val="uk-UA"/>
        </w:rPr>
        <w:t xml:space="preserve">загальні та специфічні. При цьому до загальних факторів </w:t>
      </w:r>
      <w:r w:rsidR="00AF720D" w:rsidRPr="00A41B49">
        <w:rPr>
          <w:rFonts w:ascii="Times New Roman" w:hAnsi="Times New Roman" w:cs="Times New Roman"/>
          <w:sz w:val="28"/>
          <w:szCs w:val="28"/>
          <w:lang w:val="uk-UA"/>
        </w:rPr>
        <w:t xml:space="preserve">дестимуляторів зазначені вище автори відносять: недосконалість, нестабільність та суперечливість законодавчої бази, що регулює інвестування; бюрократичні бар’єри започаткування та провадження інвестування; нестабільність фінансово-економічної політики валютного регулювання; </w:t>
      </w:r>
      <w:r w:rsidR="006F4325" w:rsidRPr="00A41B49">
        <w:rPr>
          <w:rFonts w:ascii="Times New Roman" w:hAnsi="Times New Roman" w:cs="Times New Roman"/>
          <w:sz w:val="28"/>
          <w:szCs w:val="28"/>
          <w:lang w:val="uk-UA"/>
        </w:rPr>
        <w:t>н</w:t>
      </w:r>
      <w:r w:rsidR="00AF720D" w:rsidRPr="00A41B49">
        <w:rPr>
          <w:rFonts w:ascii="Times New Roman" w:hAnsi="Times New Roman" w:cs="Times New Roman"/>
          <w:sz w:val="28"/>
          <w:szCs w:val="28"/>
          <w:lang w:val="uk-UA"/>
        </w:rPr>
        <w:t>естабільність</w:t>
      </w:r>
      <w:r w:rsidR="006F4325" w:rsidRPr="00A41B49">
        <w:rPr>
          <w:rFonts w:ascii="Times New Roman" w:hAnsi="Times New Roman" w:cs="Times New Roman"/>
          <w:sz w:val="28"/>
          <w:szCs w:val="28"/>
          <w:lang w:val="uk-UA"/>
        </w:rPr>
        <w:t xml:space="preserve"> </w:t>
      </w:r>
      <w:r w:rsidR="00AF720D" w:rsidRPr="00A41B49">
        <w:rPr>
          <w:rFonts w:ascii="Times New Roman" w:hAnsi="Times New Roman" w:cs="Times New Roman"/>
          <w:sz w:val="28"/>
          <w:szCs w:val="28"/>
          <w:lang w:val="uk-UA"/>
        </w:rPr>
        <w:t>інформаційного</w:t>
      </w:r>
      <w:r w:rsidR="006F4325" w:rsidRPr="00A41B49">
        <w:rPr>
          <w:rFonts w:ascii="Times New Roman" w:hAnsi="Times New Roman" w:cs="Times New Roman"/>
          <w:sz w:val="28"/>
          <w:szCs w:val="28"/>
          <w:lang w:val="uk-UA"/>
        </w:rPr>
        <w:t xml:space="preserve"> </w:t>
      </w:r>
      <w:r w:rsidR="00AF720D" w:rsidRPr="00A41B49">
        <w:rPr>
          <w:rFonts w:ascii="Times New Roman" w:hAnsi="Times New Roman" w:cs="Times New Roman"/>
          <w:sz w:val="28"/>
          <w:szCs w:val="28"/>
          <w:lang w:val="uk-UA"/>
        </w:rPr>
        <w:t>забезпечення</w:t>
      </w:r>
      <w:r w:rsidR="006F4325" w:rsidRPr="00A41B49">
        <w:rPr>
          <w:rFonts w:ascii="Times New Roman" w:hAnsi="Times New Roman" w:cs="Times New Roman"/>
          <w:sz w:val="28"/>
          <w:szCs w:val="28"/>
          <w:lang w:val="uk-UA"/>
        </w:rPr>
        <w:t>; військово-політична нестабільність у державі. До специфічних – нерозвиненість інфраструктури підтримки інвестування; невизначеність пріоритетів розвитку територій – неконкретизована потреба в інвестиціях; неузгодженість потреб соціально-економічних систем та інвестора; відсутність дієвих механізмів стимулювання внутрішніх інвестицій.</w:t>
      </w:r>
      <w:r w:rsidR="00123A5E" w:rsidRPr="00A41B49">
        <w:rPr>
          <w:rFonts w:ascii="Times New Roman" w:hAnsi="Times New Roman" w:cs="Times New Roman"/>
          <w:sz w:val="28"/>
          <w:szCs w:val="28"/>
          <w:lang w:val="uk-UA"/>
        </w:rPr>
        <w:t xml:space="preserve"> У цілому ж, як стверджують зазначені вище автори, на рівень інвестиційної привабливості соціально-економічних систем </w:t>
      </w:r>
      <w:r w:rsidR="00A02749" w:rsidRPr="00A41B49">
        <w:rPr>
          <w:rFonts w:ascii="Times New Roman" w:hAnsi="Times New Roman" w:cs="Times New Roman"/>
          <w:sz w:val="28"/>
          <w:szCs w:val="28"/>
          <w:lang w:val="uk-UA"/>
        </w:rPr>
        <w:t>впливає її потенціал, зокрема: виробничий потенціал; трудовий потенціал; споживчий потенціал; інфраструктурний потенціал; фінансовий потенціал;</w:t>
      </w:r>
      <w:r w:rsidR="00BC0E3F" w:rsidRPr="00A41B49">
        <w:rPr>
          <w:rFonts w:ascii="Times New Roman" w:hAnsi="Times New Roman" w:cs="Times New Roman"/>
          <w:sz w:val="28"/>
          <w:szCs w:val="28"/>
          <w:lang w:val="uk-UA"/>
        </w:rPr>
        <w:t xml:space="preserve"> </w:t>
      </w:r>
      <w:r w:rsidR="00A02749" w:rsidRPr="00A41B49">
        <w:rPr>
          <w:rFonts w:ascii="Times New Roman" w:hAnsi="Times New Roman" w:cs="Times New Roman"/>
          <w:sz w:val="28"/>
          <w:szCs w:val="28"/>
          <w:lang w:val="uk-UA"/>
        </w:rPr>
        <w:t>інституційний потенціал;</w:t>
      </w:r>
      <w:r w:rsidR="00BC0E3F" w:rsidRPr="00A41B49">
        <w:rPr>
          <w:rFonts w:ascii="Times New Roman" w:hAnsi="Times New Roman" w:cs="Times New Roman"/>
          <w:sz w:val="28"/>
          <w:szCs w:val="28"/>
          <w:lang w:val="uk-UA"/>
        </w:rPr>
        <w:t xml:space="preserve"> </w:t>
      </w:r>
      <w:r w:rsidR="00A02749" w:rsidRPr="00A41B49">
        <w:rPr>
          <w:rFonts w:ascii="Times New Roman" w:hAnsi="Times New Roman" w:cs="Times New Roman"/>
          <w:sz w:val="28"/>
          <w:szCs w:val="28"/>
          <w:lang w:val="uk-UA"/>
        </w:rPr>
        <w:t>інноваційний потенціал;</w:t>
      </w:r>
      <w:r w:rsidR="00BC0E3F" w:rsidRPr="00A41B49">
        <w:rPr>
          <w:rFonts w:ascii="Times New Roman" w:hAnsi="Times New Roman" w:cs="Times New Roman"/>
          <w:sz w:val="28"/>
          <w:szCs w:val="28"/>
          <w:lang w:val="uk-UA"/>
        </w:rPr>
        <w:t xml:space="preserve"> </w:t>
      </w:r>
      <w:r w:rsidR="00A02749" w:rsidRPr="00A41B49">
        <w:rPr>
          <w:rFonts w:ascii="Times New Roman" w:hAnsi="Times New Roman" w:cs="Times New Roman"/>
          <w:sz w:val="28"/>
          <w:szCs w:val="28"/>
          <w:lang w:val="uk-UA"/>
        </w:rPr>
        <w:t>природно-ресурсний потенціал</w:t>
      </w:r>
      <w:r w:rsidR="00BC0E3F" w:rsidRPr="00A41B49">
        <w:rPr>
          <w:rFonts w:ascii="Times New Roman" w:hAnsi="Times New Roman" w:cs="Times New Roman"/>
          <w:sz w:val="28"/>
          <w:szCs w:val="28"/>
          <w:lang w:val="uk-UA"/>
        </w:rPr>
        <w:t xml:space="preserve"> тощо.</w:t>
      </w:r>
    </w:p>
    <w:p w14:paraId="42F1C06F" w14:textId="77777777" w:rsidR="001E4F47" w:rsidRPr="00A41B49" w:rsidRDefault="001E4F47" w:rsidP="001E4F47">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Гуткевич С.О., Пулій О.В.</w:t>
      </w:r>
      <w:r w:rsidR="00345F69"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 xml:space="preserve">пропонують розділити всі фактори, що впливають на інвестиційну привабливість, на: </w:t>
      </w:r>
    </w:p>
    <w:p w14:paraId="4F703F76" w14:textId="77777777" w:rsidR="001E4F47" w:rsidRPr="00A41B49" w:rsidRDefault="001E4F47" w:rsidP="001E4F47">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загальні фактори (стабільність (політичну, правову тощо), правовий захист інвестора, рівень розвитку інфраструктури (виробничої та невиробничої), рівень розвитку ринкових відносин, рівень ризиків різної етіології, рівень державного регулювання/ втручання в економіку, частку державної власності</w:t>
      </w:r>
      <w:r w:rsidR="00B6339E" w:rsidRPr="00A41B49">
        <w:rPr>
          <w:rFonts w:ascii="Times New Roman" w:hAnsi="Times New Roman" w:cs="Times New Roman"/>
          <w:sz w:val="28"/>
          <w:szCs w:val="28"/>
          <w:lang w:val="uk-UA"/>
        </w:rPr>
        <w:t>);</w:t>
      </w:r>
    </w:p>
    <w:p w14:paraId="203F633E" w14:textId="77777777" w:rsidR="001E4F47" w:rsidRPr="00A41B49" w:rsidRDefault="001E4F47" w:rsidP="001E4F47">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галузеві фактори (</w:t>
      </w:r>
      <w:r w:rsidR="00B6339E" w:rsidRPr="00A41B49">
        <w:rPr>
          <w:rFonts w:ascii="Times New Roman" w:hAnsi="Times New Roman" w:cs="Times New Roman"/>
          <w:sz w:val="28"/>
          <w:szCs w:val="28"/>
          <w:lang w:val="uk-UA"/>
        </w:rPr>
        <w:t>капіталомісткість, оборотність, віддач</w:t>
      </w:r>
      <w:r w:rsidR="00345F69" w:rsidRPr="00A41B49">
        <w:rPr>
          <w:rFonts w:ascii="Times New Roman" w:hAnsi="Times New Roman" w:cs="Times New Roman"/>
          <w:sz w:val="28"/>
          <w:szCs w:val="28"/>
          <w:lang w:val="uk-UA"/>
        </w:rPr>
        <w:t>а</w:t>
      </w:r>
      <w:r w:rsidR="00B6339E" w:rsidRPr="00A41B49">
        <w:rPr>
          <w:rFonts w:ascii="Times New Roman" w:hAnsi="Times New Roman" w:cs="Times New Roman"/>
          <w:sz w:val="28"/>
          <w:szCs w:val="28"/>
          <w:lang w:val="uk-UA"/>
        </w:rPr>
        <w:t xml:space="preserve"> активів, капіталу, засобів, що було вкладено у певний вид діяльності, галузь економіки</w:t>
      </w:r>
      <w:r w:rsidRPr="00A41B49">
        <w:rPr>
          <w:rFonts w:ascii="Times New Roman" w:hAnsi="Times New Roman" w:cs="Times New Roman"/>
          <w:sz w:val="28"/>
          <w:szCs w:val="28"/>
          <w:lang w:val="uk-UA"/>
        </w:rPr>
        <w:t>)</w:t>
      </w:r>
      <w:r w:rsidR="00B6339E" w:rsidRPr="00A41B49">
        <w:rPr>
          <w:rFonts w:ascii="Times New Roman" w:hAnsi="Times New Roman" w:cs="Times New Roman"/>
          <w:sz w:val="28"/>
          <w:szCs w:val="28"/>
          <w:lang w:val="uk-UA"/>
        </w:rPr>
        <w:t>;</w:t>
      </w:r>
    </w:p>
    <w:p w14:paraId="3ACEFF0A" w14:textId="77777777" w:rsidR="001E4F47" w:rsidRPr="00A41B49" w:rsidRDefault="001E4F47" w:rsidP="001E4F47">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територіальні фактори</w:t>
      </w:r>
      <w:r w:rsidR="00345F69"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w:t>
      </w:r>
      <w:r w:rsidR="00345F69" w:rsidRPr="00A41B49">
        <w:rPr>
          <w:rFonts w:ascii="Times New Roman" w:hAnsi="Times New Roman" w:cs="Times New Roman"/>
          <w:sz w:val="28"/>
          <w:szCs w:val="28"/>
          <w:lang w:val="uk-UA"/>
        </w:rPr>
        <w:t>забезпеченість обмеженими економічними ресурсами, робочою силою певної території, її специфічні територіальні особливості, у т.ч. природно-кліматичні умови</w:t>
      </w:r>
      <w:r w:rsidRPr="00A41B49">
        <w:rPr>
          <w:rFonts w:ascii="Times New Roman" w:hAnsi="Times New Roman" w:cs="Times New Roman"/>
          <w:sz w:val="28"/>
          <w:szCs w:val="28"/>
          <w:lang w:val="uk-UA"/>
        </w:rPr>
        <w:t>)</w:t>
      </w:r>
    </w:p>
    <w:p w14:paraId="321B0158" w14:textId="77777777" w:rsidR="001E4F47" w:rsidRPr="00A41B49" w:rsidRDefault="001E4F47" w:rsidP="001E4F47">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індивідуальні фактори (</w:t>
      </w:r>
      <w:r w:rsidR="00345F69" w:rsidRPr="00A41B49">
        <w:rPr>
          <w:rFonts w:ascii="Times New Roman" w:hAnsi="Times New Roman" w:cs="Times New Roman"/>
          <w:sz w:val="28"/>
          <w:szCs w:val="28"/>
          <w:lang w:val="uk-UA"/>
        </w:rPr>
        <w:t>наявні виробничі потужності; показники ефективності фінансово-економічної діяльності тощо</w:t>
      </w:r>
      <w:r w:rsidRPr="00A41B49">
        <w:rPr>
          <w:rFonts w:ascii="Times New Roman" w:hAnsi="Times New Roman" w:cs="Times New Roman"/>
          <w:sz w:val="28"/>
          <w:szCs w:val="28"/>
          <w:lang w:val="uk-UA"/>
        </w:rPr>
        <w:t>) [</w:t>
      </w:r>
      <w:r w:rsidR="00B6339E" w:rsidRPr="00A41B49">
        <w:rPr>
          <w:rFonts w:ascii="Times New Roman" w:hAnsi="Times New Roman" w:cs="Times New Roman"/>
          <w:sz w:val="28"/>
          <w:szCs w:val="28"/>
          <w:lang w:val="uk-UA"/>
        </w:rPr>
        <w:t>39</w:t>
      </w:r>
      <w:r w:rsidRPr="00A41B49">
        <w:rPr>
          <w:rFonts w:ascii="Times New Roman" w:hAnsi="Times New Roman" w:cs="Times New Roman"/>
          <w:sz w:val="28"/>
          <w:szCs w:val="28"/>
          <w:lang w:val="uk-UA"/>
        </w:rPr>
        <w:t>].</w:t>
      </w:r>
    </w:p>
    <w:p w14:paraId="510F5739" w14:textId="77777777" w:rsidR="00C51BD7" w:rsidRPr="00A41B49" w:rsidRDefault="00C51BD7" w:rsidP="001E4F47">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Корінець Р. пропонує фактори </w:t>
      </w:r>
      <w:r w:rsidR="00161629" w:rsidRPr="00A41B49">
        <w:rPr>
          <w:rFonts w:ascii="Times New Roman" w:hAnsi="Times New Roman" w:cs="Times New Roman"/>
          <w:sz w:val="28"/>
          <w:szCs w:val="28"/>
          <w:lang w:val="uk-UA"/>
        </w:rPr>
        <w:t>інвестиційної</w:t>
      </w:r>
      <w:r w:rsidRPr="00A41B49">
        <w:rPr>
          <w:rFonts w:ascii="Times New Roman" w:hAnsi="Times New Roman" w:cs="Times New Roman"/>
          <w:sz w:val="28"/>
          <w:szCs w:val="28"/>
          <w:lang w:val="uk-UA"/>
        </w:rPr>
        <w:t xml:space="preserve"> привабливості </w:t>
      </w:r>
      <w:r w:rsidR="00161629" w:rsidRPr="00A41B49">
        <w:rPr>
          <w:rFonts w:ascii="Times New Roman" w:hAnsi="Times New Roman" w:cs="Times New Roman"/>
          <w:sz w:val="28"/>
          <w:szCs w:val="28"/>
          <w:lang w:val="uk-UA"/>
        </w:rPr>
        <w:t>поділяти</w:t>
      </w:r>
      <w:r w:rsidRPr="00A41B49">
        <w:rPr>
          <w:rFonts w:ascii="Times New Roman" w:hAnsi="Times New Roman" w:cs="Times New Roman"/>
          <w:sz w:val="28"/>
          <w:szCs w:val="28"/>
          <w:lang w:val="uk-UA"/>
        </w:rPr>
        <w:t xml:space="preserve"> на </w:t>
      </w:r>
      <w:r w:rsidR="00161629" w:rsidRPr="00A41B49">
        <w:rPr>
          <w:rFonts w:ascii="Times New Roman" w:hAnsi="Times New Roman" w:cs="Times New Roman"/>
          <w:sz w:val="28"/>
          <w:szCs w:val="28"/>
          <w:lang w:val="uk-UA"/>
        </w:rPr>
        <w:t>жорсткі</w:t>
      </w:r>
      <w:r w:rsidRPr="00A41B49">
        <w:rPr>
          <w:rFonts w:ascii="Times New Roman" w:hAnsi="Times New Roman" w:cs="Times New Roman"/>
          <w:sz w:val="28"/>
          <w:szCs w:val="28"/>
          <w:lang w:val="uk-UA"/>
        </w:rPr>
        <w:t xml:space="preserve"> (географічне розташування, природні ресурси, робоча сила, науково-</w:t>
      </w:r>
      <w:r w:rsidR="00161629" w:rsidRPr="00A41B49">
        <w:rPr>
          <w:rFonts w:ascii="Times New Roman" w:hAnsi="Times New Roman" w:cs="Times New Roman"/>
          <w:sz w:val="28"/>
          <w:szCs w:val="28"/>
          <w:lang w:val="uk-UA"/>
        </w:rPr>
        <w:t xml:space="preserve">дослідницький </w:t>
      </w:r>
      <w:r w:rsidRPr="00A41B49">
        <w:rPr>
          <w:rFonts w:ascii="Times New Roman" w:hAnsi="Times New Roman" w:cs="Times New Roman"/>
          <w:sz w:val="28"/>
          <w:szCs w:val="28"/>
          <w:lang w:val="uk-UA"/>
        </w:rPr>
        <w:t xml:space="preserve">потенціал, споживчий сегмент, інфраструктура) та </w:t>
      </w:r>
      <w:r w:rsidR="00161629" w:rsidRPr="00A41B49">
        <w:rPr>
          <w:rFonts w:ascii="Times New Roman" w:hAnsi="Times New Roman" w:cs="Times New Roman"/>
          <w:sz w:val="28"/>
          <w:szCs w:val="28"/>
          <w:lang w:val="uk-UA"/>
        </w:rPr>
        <w:t>м’які</w:t>
      </w:r>
      <w:r w:rsidRPr="00A41B49">
        <w:rPr>
          <w:rFonts w:ascii="Times New Roman" w:hAnsi="Times New Roman" w:cs="Times New Roman"/>
          <w:sz w:val="28"/>
          <w:szCs w:val="28"/>
          <w:lang w:val="uk-UA"/>
        </w:rPr>
        <w:t xml:space="preserve"> (діловий клімат, правила та процедури, успішний досвід реалізації інвестиційних проєктів, відкритість влади, діловий оптимізм тощо) [36].</w:t>
      </w:r>
    </w:p>
    <w:p w14:paraId="5491FFC5" w14:textId="77777777" w:rsidR="00A02749" w:rsidRPr="00A41B49" w:rsidRDefault="00597FCF" w:rsidP="006F4325">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Таким чином, більшість авторів зводять фактори інвестиційної привабливості до </w:t>
      </w:r>
      <w:r w:rsidR="007213CF" w:rsidRPr="00A41B49">
        <w:rPr>
          <w:rFonts w:ascii="Times New Roman" w:hAnsi="Times New Roman" w:cs="Times New Roman"/>
          <w:sz w:val="28"/>
          <w:szCs w:val="28"/>
          <w:lang w:val="uk-UA"/>
        </w:rPr>
        <w:t>ПЕСТ-факторів (політичних, економічних, соціальних та технологічних факторів) та потенціалу соціально-економічної системи, що визначають її актуальний стан та потенціал розвитку.</w:t>
      </w:r>
    </w:p>
    <w:p w14:paraId="000E0F26" w14:textId="77777777" w:rsidR="00EE7C30" w:rsidRPr="00A41B49" w:rsidRDefault="006B3A6F" w:rsidP="00410A1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lastRenderedPageBreak/>
        <w:t>При цьому, як свідчить аналіз джерел [1-3</w:t>
      </w:r>
      <w:r w:rsidR="002A3D84" w:rsidRPr="00A41B49">
        <w:rPr>
          <w:rFonts w:ascii="Times New Roman" w:hAnsi="Times New Roman" w:cs="Times New Roman"/>
          <w:sz w:val="28"/>
          <w:szCs w:val="28"/>
          <w:lang w:val="uk-UA"/>
        </w:rPr>
        <w:t>8</w:t>
      </w:r>
      <w:r w:rsidRPr="00A41B49">
        <w:rPr>
          <w:rFonts w:ascii="Times New Roman" w:hAnsi="Times New Roman" w:cs="Times New Roman"/>
          <w:sz w:val="28"/>
          <w:szCs w:val="28"/>
          <w:lang w:val="uk-UA"/>
        </w:rPr>
        <w:t xml:space="preserve">], перелік детермінантів </w:t>
      </w:r>
      <w:r w:rsidR="00161629" w:rsidRPr="00A41B49">
        <w:rPr>
          <w:rFonts w:ascii="Times New Roman" w:hAnsi="Times New Roman" w:cs="Times New Roman"/>
          <w:sz w:val="28"/>
          <w:szCs w:val="28"/>
          <w:lang w:val="uk-UA"/>
        </w:rPr>
        <w:t>інвестиційної</w:t>
      </w:r>
      <w:r w:rsidRPr="00A41B49">
        <w:rPr>
          <w:rFonts w:ascii="Times New Roman" w:hAnsi="Times New Roman" w:cs="Times New Roman"/>
          <w:sz w:val="28"/>
          <w:szCs w:val="28"/>
          <w:lang w:val="uk-UA"/>
        </w:rPr>
        <w:t xml:space="preserve"> привабливості, що визначаються в науковій літературі, суттєво варіюється залежно від того, інвестиційну привабливість якої соціально-економічної системи розглядають (залежно від рівня).</w:t>
      </w:r>
      <w:r w:rsidR="002A3D84" w:rsidRPr="00A41B49">
        <w:rPr>
          <w:rFonts w:ascii="Times New Roman" w:hAnsi="Times New Roman" w:cs="Times New Roman"/>
          <w:sz w:val="28"/>
          <w:szCs w:val="28"/>
          <w:lang w:val="uk-UA"/>
        </w:rPr>
        <w:t xml:space="preserve"> </w:t>
      </w:r>
    </w:p>
    <w:p w14:paraId="3667CB78" w14:textId="77777777" w:rsidR="00EE7C30" w:rsidRPr="00A41B49" w:rsidRDefault="002A3D84" w:rsidP="00410A1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Разом із тим, як свідчить аналіз джерел [1-38], в</w:t>
      </w:r>
      <w:r w:rsidR="005B5AA8" w:rsidRPr="00A41B49">
        <w:rPr>
          <w:rFonts w:ascii="Times New Roman" w:hAnsi="Times New Roman" w:cs="Times New Roman"/>
          <w:sz w:val="28"/>
          <w:szCs w:val="28"/>
          <w:lang w:val="uk-UA"/>
        </w:rPr>
        <w:t>заємозв’язок</w:t>
      </w:r>
      <w:r w:rsidR="00410A1E" w:rsidRPr="00A41B49">
        <w:rPr>
          <w:rFonts w:ascii="Times New Roman" w:hAnsi="Times New Roman" w:cs="Times New Roman"/>
          <w:sz w:val="28"/>
          <w:szCs w:val="28"/>
          <w:lang w:val="uk-UA"/>
        </w:rPr>
        <w:t xml:space="preserve"> між соціально-економічними системами різних рівнів (макро</w:t>
      </w:r>
      <w:r w:rsidR="00161629" w:rsidRPr="00A41B49">
        <w:rPr>
          <w:rFonts w:ascii="Times New Roman" w:hAnsi="Times New Roman" w:cs="Times New Roman"/>
          <w:sz w:val="28"/>
          <w:szCs w:val="28"/>
          <w:lang w:val="uk-UA"/>
        </w:rPr>
        <w:t>-</w:t>
      </w:r>
      <w:r w:rsidR="00410A1E" w:rsidRPr="00A41B49">
        <w:rPr>
          <w:rFonts w:ascii="Times New Roman" w:hAnsi="Times New Roman" w:cs="Times New Roman"/>
          <w:sz w:val="28"/>
          <w:szCs w:val="28"/>
          <w:lang w:val="uk-UA"/>
        </w:rPr>
        <w:t xml:space="preserve">, мікро- та мезо-) обумовлює </w:t>
      </w:r>
      <w:r w:rsidRPr="00A41B49">
        <w:rPr>
          <w:rFonts w:ascii="Times New Roman" w:hAnsi="Times New Roman" w:cs="Times New Roman"/>
          <w:sz w:val="28"/>
          <w:szCs w:val="28"/>
          <w:lang w:val="uk-UA"/>
        </w:rPr>
        <w:t xml:space="preserve">широке </w:t>
      </w:r>
      <w:r w:rsidR="00410A1E" w:rsidRPr="00A41B49">
        <w:rPr>
          <w:rFonts w:ascii="Times New Roman" w:hAnsi="Times New Roman" w:cs="Times New Roman"/>
          <w:sz w:val="28"/>
          <w:szCs w:val="28"/>
          <w:lang w:val="uk-UA"/>
        </w:rPr>
        <w:t>застосування рівневого підходу до визначення факторів та оцінки рівня інвестиційної привабливості.</w:t>
      </w:r>
      <w:r w:rsidR="00D8622D" w:rsidRPr="00A41B49">
        <w:rPr>
          <w:rFonts w:ascii="Times New Roman" w:hAnsi="Times New Roman" w:cs="Times New Roman"/>
          <w:sz w:val="28"/>
          <w:szCs w:val="28"/>
          <w:lang w:val="uk-UA"/>
        </w:rPr>
        <w:t xml:space="preserve"> </w:t>
      </w:r>
    </w:p>
    <w:p w14:paraId="46F589F2" w14:textId="77777777" w:rsidR="00410A1E" w:rsidRPr="00A41B49" w:rsidRDefault="00D8622D" w:rsidP="00410A1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Відповідно до цього підходу інвестиційна привабливість соціально-економічних систем вищого рівня агрегування впливає, а отже є детермінантом</w:t>
      </w:r>
      <w:r w:rsidR="005B5AA8" w:rsidRPr="00A41B49">
        <w:rPr>
          <w:rFonts w:ascii="Times New Roman" w:hAnsi="Times New Roman" w:cs="Times New Roman"/>
          <w:sz w:val="28"/>
          <w:szCs w:val="28"/>
          <w:lang w:val="uk-UA"/>
        </w:rPr>
        <w:t>,</w:t>
      </w:r>
      <w:r w:rsidRPr="00A41B49">
        <w:rPr>
          <w:rFonts w:ascii="Times New Roman" w:hAnsi="Times New Roman" w:cs="Times New Roman"/>
          <w:sz w:val="28"/>
          <w:szCs w:val="28"/>
          <w:lang w:val="uk-UA"/>
        </w:rPr>
        <w:t xml:space="preserve"> інвестиційної привабливості соціально-економічних систем нижчого рівня агрегування і навпаки – рівень інвестиційної привабливості </w:t>
      </w:r>
      <w:r w:rsidR="005B5AA8" w:rsidRPr="00A41B49">
        <w:rPr>
          <w:rFonts w:ascii="Times New Roman" w:hAnsi="Times New Roman" w:cs="Times New Roman"/>
          <w:sz w:val="28"/>
          <w:szCs w:val="28"/>
          <w:lang w:val="uk-UA"/>
        </w:rPr>
        <w:t>соціально-економічних систем нижчого рівня агрегування впливає на рівень інвестиційної привабливості соціально-економічних систем вищої рівня агрегування</w:t>
      </w:r>
      <w:r w:rsidR="00527D5F" w:rsidRPr="00A41B49">
        <w:rPr>
          <w:rFonts w:ascii="Times New Roman" w:hAnsi="Times New Roman" w:cs="Times New Roman"/>
          <w:sz w:val="28"/>
          <w:szCs w:val="28"/>
          <w:lang w:val="uk-UA"/>
        </w:rPr>
        <w:t xml:space="preserve"> (інвестиційна привабливість країни </w:t>
      </w:r>
      <w:r w:rsidR="007F3242" w:rsidRPr="00A41B49">
        <w:rPr>
          <w:rFonts w:ascii="Times New Roman" w:hAnsi="Times New Roman" w:cs="Times New Roman"/>
          <w:sz w:val="28"/>
          <w:szCs w:val="28"/>
          <w:lang w:val="uk-UA"/>
        </w:rPr>
        <w:t>формується під впливом інвестиційної привабливості її галузей, регіонів, міста, підприємства; на рівень інвестиційної привабливості галузі, регіону, міста, підприємства тощо суттєво впливає інвестиційна привабливість країни)</w:t>
      </w:r>
      <w:r w:rsidR="00104EFD" w:rsidRPr="00A41B49">
        <w:rPr>
          <w:rFonts w:ascii="Times New Roman" w:hAnsi="Times New Roman" w:cs="Times New Roman"/>
          <w:sz w:val="28"/>
          <w:szCs w:val="28"/>
          <w:lang w:val="uk-UA"/>
        </w:rPr>
        <w:t xml:space="preserve"> (рис.</w:t>
      </w:r>
      <w:r w:rsidR="00CE06C3" w:rsidRPr="00A41B49">
        <w:rPr>
          <w:rFonts w:ascii="Times New Roman" w:hAnsi="Times New Roman" w:cs="Times New Roman"/>
          <w:sz w:val="28"/>
          <w:szCs w:val="28"/>
          <w:lang w:val="uk-UA"/>
        </w:rPr>
        <w:t xml:space="preserve"> 1.</w:t>
      </w:r>
      <w:r w:rsidR="00104EFD" w:rsidRPr="00A41B49">
        <w:rPr>
          <w:rFonts w:ascii="Times New Roman" w:hAnsi="Times New Roman" w:cs="Times New Roman"/>
          <w:sz w:val="28"/>
          <w:szCs w:val="28"/>
          <w:lang w:val="uk-UA"/>
        </w:rPr>
        <w:t>3)</w:t>
      </w:r>
      <w:r w:rsidR="007F3242" w:rsidRPr="00A41B49">
        <w:rPr>
          <w:rFonts w:ascii="Times New Roman" w:hAnsi="Times New Roman" w:cs="Times New Roman"/>
          <w:sz w:val="28"/>
          <w:szCs w:val="28"/>
          <w:lang w:val="uk-UA"/>
        </w:rPr>
        <w:t xml:space="preserve">. </w:t>
      </w:r>
    </w:p>
    <w:p w14:paraId="54B9D7BD" w14:textId="77777777" w:rsidR="00EE7C30" w:rsidRPr="00A41B49" w:rsidRDefault="00547C68" w:rsidP="00547C6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До факторів, що негативно позначаються на рівні </w:t>
      </w:r>
      <w:r w:rsidR="003E0CE9" w:rsidRPr="00A41B49">
        <w:rPr>
          <w:rFonts w:ascii="Times New Roman" w:hAnsi="Times New Roman" w:cs="Times New Roman"/>
          <w:sz w:val="28"/>
          <w:szCs w:val="28"/>
          <w:lang w:val="uk-UA"/>
        </w:rPr>
        <w:t>інвестиційної</w:t>
      </w:r>
      <w:r w:rsidRPr="00A41B49">
        <w:rPr>
          <w:rFonts w:ascii="Times New Roman" w:hAnsi="Times New Roman" w:cs="Times New Roman"/>
          <w:sz w:val="28"/>
          <w:szCs w:val="28"/>
          <w:lang w:val="uk-UA"/>
        </w:rPr>
        <w:t xml:space="preserve"> </w:t>
      </w:r>
      <w:r w:rsidR="003E0CE9" w:rsidRPr="00A41B49">
        <w:rPr>
          <w:rFonts w:ascii="Times New Roman" w:hAnsi="Times New Roman" w:cs="Times New Roman"/>
          <w:sz w:val="28"/>
          <w:szCs w:val="28"/>
          <w:lang w:val="uk-UA"/>
        </w:rPr>
        <w:t>привабливості</w:t>
      </w:r>
      <w:r w:rsidRPr="00A41B49">
        <w:rPr>
          <w:rFonts w:ascii="Times New Roman" w:hAnsi="Times New Roman" w:cs="Times New Roman"/>
          <w:sz w:val="28"/>
          <w:szCs w:val="28"/>
          <w:lang w:val="uk-UA"/>
        </w:rPr>
        <w:t xml:space="preserve"> міста</w:t>
      </w:r>
      <w:r w:rsidR="003E0CE9" w:rsidRPr="00A41B49">
        <w:rPr>
          <w:rFonts w:ascii="Times New Roman" w:hAnsi="Times New Roman" w:cs="Times New Roman"/>
          <w:sz w:val="28"/>
          <w:szCs w:val="28"/>
          <w:lang w:val="uk-UA"/>
        </w:rPr>
        <w:t>,</w:t>
      </w:r>
      <w:r w:rsidRPr="00A41B49">
        <w:rPr>
          <w:rFonts w:ascii="Times New Roman" w:hAnsi="Times New Roman" w:cs="Times New Roman"/>
          <w:sz w:val="28"/>
          <w:szCs w:val="28"/>
          <w:lang w:val="uk-UA"/>
        </w:rPr>
        <w:t xml:space="preserve"> </w:t>
      </w:r>
      <w:r w:rsidR="00836906" w:rsidRPr="00A41B49">
        <w:rPr>
          <w:rFonts w:ascii="Times New Roman" w:hAnsi="Times New Roman" w:cs="Times New Roman"/>
          <w:sz w:val="28"/>
          <w:szCs w:val="28"/>
          <w:lang w:val="uk-UA"/>
        </w:rPr>
        <w:t xml:space="preserve">можуть бути </w:t>
      </w:r>
      <w:r w:rsidRPr="00A41B49">
        <w:rPr>
          <w:rFonts w:ascii="Times New Roman" w:hAnsi="Times New Roman" w:cs="Times New Roman"/>
          <w:sz w:val="28"/>
          <w:szCs w:val="28"/>
          <w:lang w:val="uk-UA"/>
        </w:rPr>
        <w:t>відне</w:t>
      </w:r>
      <w:r w:rsidR="00836906" w:rsidRPr="00A41B49">
        <w:rPr>
          <w:rFonts w:ascii="Times New Roman" w:hAnsi="Times New Roman" w:cs="Times New Roman"/>
          <w:sz w:val="28"/>
          <w:szCs w:val="28"/>
          <w:lang w:val="uk-UA"/>
        </w:rPr>
        <w:t>сені</w:t>
      </w:r>
      <w:r w:rsidRPr="00A41B49">
        <w:rPr>
          <w:rFonts w:ascii="Times New Roman" w:hAnsi="Times New Roman" w:cs="Times New Roman"/>
          <w:sz w:val="28"/>
          <w:szCs w:val="28"/>
          <w:lang w:val="uk-UA"/>
        </w:rPr>
        <w:t xml:space="preserve">: </w:t>
      </w:r>
    </w:p>
    <w:p w14:paraId="78964ACB" w14:textId="77777777" w:rsidR="00EE7C30" w:rsidRPr="00A41B49" w:rsidRDefault="007F2CB0" w:rsidP="00547C6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к</w:t>
      </w:r>
      <w:r w:rsidR="00547C68" w:rsidRPr="00A41B49">
        <w:rPr>
          <w:rFonts w:ascii="Times New Roman" w:hAnsi="Times New Roman" w:cs="Times New Roman"/>
          <w:sz w:val="28"/>
          <w:szCs w:val="28"/>
          <w:lang w:val="uk-UA"/>
        </w:rPr>
        <w:t>орупція</w:t>
      </w:r>
      <w:r w:rsidR="00EE7C30" w:rsidRPr="00A41B49">
        <w:rPr>
          <w:rFonts w:ascii="Times New Roman" w:hAnsi="Times New Roman" w:cs="Times New Roman"/>
          <w:sz w:val="28"/>
          <w:szCs w:val="28"/>
          <w:lang w:val="uk-UA"/>
        </w:rPr>
        <w:t>;</w:t>
      </w:r>
    </w:p>
    <w:p w14:paraId="38C0457B" w14:textId="77777777" w:rsidR="00EE7C30" w:rsidRPr="00A41B49" w:rsidRDefault="00547C68" w:rsidP="00547C6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адміністративні перепони для функціонування</w:t>
      </w:r>
      <w:r w:rsidR="00836906"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бізнесу</w:t>
      </w:r>
      <w:r w:rsidR="00EE7C30" w:rsidRPr="00A41B49">
        <w:rPr>
          <w:rFonts w:ascii="Times New Roman" w:hAnsi="Times New Roman" w:cs="Times New Roman"/>
          <w:sz w:val="28"/>
          <w:szCs w:val="28"/>
          <w:lang w:val="uk-UA"/>
        </w:rPr>
        <w:t>;</w:t>
      </w:r>
    </w:p>
    <w:p w14:paraId="433663B7" w14:textId="77777777" w:rsidR="00EE7C30" w:rsidRPr="00A41B49" w:rsidRDefault="00547C68" w:rsidP="00547C6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недостатність інформації щодо потенційних інвестиційних об’єктів;</w:t>
      </w:r>
    </w:p>
    <w:p w14:paraId="189C29C4" w14:textId="77777777" w:rsidR="00EE7C30" w:rsidRPr="00A41B49" w:rsidRDefault="00547C68" w:rsidP="00547C6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проблеми, які зумовлені недоліками у законодавстві (зокрема, часті зміни в нормативно-правових актах стосовно діяльності); </w:t>
      </w:r>
    </w:p>
    <w:p w14:paraId="39FB0637" w14:textId="77777777" w:rsidR="00EE7C30" w:rsidRPr="00A41B49" w:rsidRDefault="00547C68" w:rsidP="00547C6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тривалі бюрократичні процедури, </w:t>
      </w:r>
      <w:r w:rsidR="00EE7C30" w:rsidRPr="00A41B49">
        <w:rPr>
          <w:rFonts w:ascii="Times New Roman" w:hAnsi="Times New Roman" w:cs="Times New Roman"/>
          <w:sz w:val="28"/>
          <w:szCs w:val="28"/>
          <w:lang w:val="uk-UA"/>
        </w:rPr>
        <w:t xml:space="preserve">що </w:t>
      </w:r>
      <w:r w:rsidRPr="00A41B49">
        <w:rPr>
          <w:rFonts w:ascii="Times New Roman" w:hAnsi="Times New Roman" w:cs="Times New Roman"/>
          <w:sz w:val="28"/>
          <w:szCs w:val="28"/>
          <w:lang w:val="uk-UA"/>
        </w:rPr>
        <w:t xml:space="preserve">стосуються започаткування та функціонування суб’єктів підприємництва; </w:t>
      </w:r>
    </w:p>
    <w:p w14:paraId="6E2A46CB" w14:textId="77777777" w:rsidR="00EE7C30" w:rsidRPr="00A41B49" w:rsidRDefault="00547C68" w:rsidP="00547C6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брак</w:t>
      </w:r>
      <w:r w:rsidR="00836906"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кваліфікованих спеціалістів</w:t>
      </w:r>
      <w:r w:rsidR="00EE7C30" w:rsidRPr="00A41B49">
        <w:rPr>
          <w:rFonts w:ascii="Times New Roman" w:hAnsi="Times New Roman" w:cs="Times New Roman"/>
          <w:sz w:val="28"/>
          <w:szCs w:val="28"/>
          <w:lang w:val="uk-UA"/>
        </w:rPr>
        <w:t xml:space="preserve"> в сфері інвестиційної діяльності</w:t>
      </w:r>
      <w:r w:rsidRPr="00A41B49">
        <w:rPr>
          <w:rFonts w:ascii="Times New Roman" w:hAnsi="Times New Roman" w:cs="Times New Roman"/>
          <w:sz w:val="28"/>
          <w:szCs w:val="28"/>
          <w:lang w:val="uk-UA"/>
        </w:rPr>
        <w:t>;</w:t>
      </w:r>
    </w:p>
    <w:p w14:paraId="66EAB947" w14:textId="77777777" w:rsidR="007F2CB0" w:rsidRPr="00A41B49" w:rsidRDefault="00547C68" w:rsidP="007F2CB0">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не</w:t>
      </w:r>
      <w:r w:rsidR="00836906"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налагодженість</w:t>
      </w:r>
      <w:r w:rsidR="00836906"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комунікації</w:t>
      </w:r>
      <w:r w:rsidR="00836906"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з</w:t>
      </w:r>
      <w:r w:rsidR="00836906"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бізнес</w:t>
      </w:r>
      <w:r w:rsidR="00836906"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спільнотою</w:t>
      </w:r>
      <w:r w:rsidR="00836906" w:rsidRPr="00A41B49">
        <w:rPr>
          <w:rFonts w:ascii="Times New Roman" w:hAnsi="Times New Roman" w:cs="Times New Roman"/>
          <w:sz w:val="28"/>
          <w:szCs w:val="28"/>
          <w:lang w:val="uk-UA"/>
        </w:rPr>
        <w:t xml:space="preserve"> </w:t>
      </w:r>
      <w:r w:rsidR="007F2CB0" w:rsidRPr="00A41B49">
        <w:rPr>
          <w:rFonts w:ascii="Times New Roman" w:hAnsi="Times New Roman" w:cs="Times New Roman"/>
          <w:sz w:val="28"/>
          <w:szCs w:val="28"/>
          <w:lang w:val="uk-UA"/>
        </w:rPr>
        <w:t>міста</w:t>
      </w:r>
      <w:r w:rsidRPr="00A41B49">
        <w:rPr>
          <w:rFonts w:ascii="Times New Roman" w:hAnsi="Times New Roman" w:cs="Times New Roman"/>
          <w:sz w:val="28"/>
          <w:szCs w:val="28"/>
          <w:lang w:val="uk-UA"/>
        </w:rPr>
        <w:t>;</w:t>
      </w:r>
    </w:p>
    <w:p w14:paraId="55D2C969" w14:textId="77777777" w:rsidR="00F96915" w:rsidRPr="00A41B49" w:rsidRDefault="00547C68" w:rsidP="007F2CB0">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недостатність</w:t>
      </w:r>
      <w:r w:rsidR="00836906"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w:t>
      </w:r>
      <w:r w:rsidR="00836906"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недоступність грантових програм</w:t>
      </w:r>
      <w:r w:rsidR="007F2CB0" w:rsidRPr="00A41B49">
        <w:rPr>
          <w:rFonts w:ascii="Times New Roman" w:hAnsi="Times New Roman" w:cs="Times New Roman"/>
          <w:sz w:val="28"/>
          <w:szCs w:val="28"/>
          <w:lang w:val="uk-UA"/>
        </w:rPr>
        <w:t xml:space="preserve"> тощо</w:t>
      </w:r>
      <w:r w:rsidR="00836906" w:rsidRPr="00A41B49">
        <w:rPr>
          <w:rFonts w:ascii="Times New Roman" w:hAnsi="Times New Roman" w:cs="Times New Roman"/>
          <w:sz w:val="28"/>
          <w:szCs w:val="28"/>
          <w:lang w:val="uk-UA"/>
        </w:rPr>
        <w:t xml:space="preserve"> [11].</w:t>
      </w:r>
    </w:p>
    <w:p w14:paraId="12859B36" w14:textId="77777777" w:rsidR="007F2CB0" w:rsidRPr="00A41B49" w:rsidRDefault="003E0CE9" w:rsidP="009D2F7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До факторів, що позитивно позначаються на рівні інвестиційної привабливості міста, сприяють нарощенню його ресурсної бази інвестицій: </w:t>
      </w:r>
    </w:p>
    <w:p w14:paraId="2AA026D5" w14:textId="77777777" w:rsidR="007F2CB0" w:rsidRPr="00A41B49" w:rsidRDefault="003E0CE9" w:rsidP="009D2F7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забезпечення підвищення взаємної відповідальності </w:t>
      </w:r>
      <w:r w:rsidR="0098247C" w:rsidRPr="00A41B49">
        <w:rPr>
          <w:rFonts w:ascii="Times New Roman" w:hAnsi="Times New Roman" w:cs="Times New Roman"/>
          <w:sz w:val="28"/>
          <w:szCs w:val="28"/>
          <w:lang w:val="uk-UA"/>
        </w:rPr>
        <w:t>інвесторів</w:t>
      </w:r>
      <w:r w:rsidRPr="00A41B49">
        <w:rPr>
          <w:rFonts w:ascii="Times New Roman" w:hAnsi="Times New Roman" w:cs="Times New Roman"/>
          <w:sz w:val="28"/>
          <w:szCs w:val="28"/>
          <w:lang w:val="uk-UA"/>
        </w:rPr>
        <w:t xml:space="preserve"> та держави; </w:t>
      </w:r>
    </w:p>
    <w:p w14:paraId="5CFE8667" w14:textId="77777777" w:rsidR="007F2CB0" w:rsidRPr="00A41B49" w:rsidRDefault="003E0CE9" w:rsidP="009D2F7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створення та розвиток агенцій економічного розвитку; </w:t>
      </w:r>
    </w:p>
    <w:p w14:paraId="2B771322" w14:textId="77777777" w:rsidR="007F2CB0" w:rsidRPr="00A41B49" w:rsidRDefault="00630DEE" w:rsidP="009D2F7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фокусування на залученні іноземних інвестицій для реалізації державних пріоритетних програм та проєктів, спрямованих на структурно-інноваційну перебудову</w:t>
      </w:r>
      <w:r w:rsidR="0098247C" w:rsidRPr="00A41B49">
        <w:rPr>
          <w:rFonts w:ascii="Times New Roman" w:hAnsi="Times New Roman" w:cs="Times New Roman"/>
          <w:sz w:val="28"/>
          <w:szCs w:val="28"/>
          <w:lang w:val="uk-UA"/>
        </w:rPr>
        <w:t xml:space="preserve"> економіки регіону, міста, фокусування на технічному переоснащенні, реконструкції діючих підприємств; </w:t>
      </w:r>
    </w:p>
    <w:p w14:paraId="1225C08B" w14:textId="77777777" w:rsidR="007F2CB0" w:rsidRPr="00A41B49" w:rsidRDefault="00EE38B8" w:rsidP="009D2F7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бенчмаркінг міста; </w:t>
      </w:r>
    </w:p>
    <w:p w14:paraId="4D584905" w14:textId="77777777" w:rsidR="007F2CB0" w:rsidRPr="00A41B49" w:rsidRDefault="00EE38B8" w:rsidP="009D2F7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розробка інвестиційного паспорту та/або інвестиційного веб-порталу міста, стандартних процедур роботи із інвесторами; </w:t>
      </w:r>
    </w:p>
    <w:p w14:paraId="4EF62B51" w14:textId="77777777" w:rsidR="007F2CB0" w:rsidRPr="00A41B49" w:rsidRDefault="00EE38B8" w:rsidP="009D2F7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розробка </w:t>
      </w:r>
      <w:r w:rsidR="00E918D0" w:rsidRPr="00A41B49">
        <w:rPr>
          <w:rFonts w:ascii="Times New Roman" w:hAnsi="Times New Roman" w:cs="Times New Roman"/>
          <w:sz w:val="28"/>
          <w:szCs w:val="28"/>
          <w:lang w:val="uk-UA"/>
        </w:rPr>
        <w:t>інвестиційних</w:t>
      </w:r>
      <w:r w:rsidRPr="00A41B49">
        <w:rPr>
          <w:rFonts w:ascii="Times New Roman" w:hAnsi="Times New Roman" w:cs="Times New Roman"/>
          <w:sz w:val="28"/>
          <w:szCs w:val="28"/>
          <w:lang w:val="uk-UA"/>
        </w:rPr>
        <w:t xml:space="preserve"> порталів міста з інтерактивними онлайн-картами </w:t>
      </w:r>
      <w:r w:rsidR="00E918D0" w:rsidRPr="00A41B49">
        <w:rPr>
          <w:rFonts w:ascii="Times New Roman" w:hAnsi="Times New Roman" w:cs="Times New Roman"/>
          <w:sz w:val="28"/>
          <w:szCs w:val="28"/>
          <w:lang w:val="uk-UA"/>
        </w:rPr>
        <w:t>об’єктів</w:t>
      </w:r>
      <w:r w:rsidRPr="00A41B49">
        <w:rPr>
          <w:rFonts w:ascii="Times New Roman" w:hAnsi="Times New Roman" w:cs="Times New Roman"/>
          <w:sz w:val="28"/>
          <w:szCs w:val="28"/>
          <w:lang w:val="uk-UA"/>
        </w:rPr>
        <w:t xml:space="preserve"> інвестування; </w:t>
      </w:r>
    </w:p>
    <w:p w14:paraId="54E8AED9" w14:textId="77777777" w:rsidR="007F2CB0" w:rsidRPr="00A41B49" w:rsidRDefault="00EE38B8" w:rsidP="009D2F7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lastRenderedPageBreak/>
        <w:t xml:space="preserve">облік та аналіз потенційних </w:t>
      </w:r>
      <w:r w:rsidR="00E918D0" w:rsidRPr="00A41B49">
        <w:rPr>
          <w:rFonts w:ascii="Times New Roman" w:hAnsi="Times New Roman" w:cs="Times New Roman"/>
          <w:sz w:val="28"/>
          <w:szCs w:val="28"/>
          <w:lang w:val="uk-UA"/>
        </w:rPr>
        <w:t>об’єктів</w:t>
      </w:r>
      <w:r w:rsidRPr="00A41B49">
        <w:rPr>
          <w:rFonts w:ascii="Times New Roman" w:hAnsi="Times New Roman" w:cs="Times New Roman"/>
          <w:sz w:val="28"/>
          <w:szCs w:val="28"/>
          <w:lang w:val="uk-UA"/>
        </w:rPr>
        <w:t xml:space="preserve"> </w:t>
      </w:r>
      <w:r w:rsidR="0023247E" w:rsidRPr="00A41B49">
        <w:rPr>
          <w:rFonts w:ascii="Times New Roman" w:hAnsi="Times New Roman" w:cs="Times New Roman"/>
          <w:sz w:val="28"/>
          <w:szCs w:val="28"/>
          <w:lang w:val="uk-UA"/>
        </w:rPr>
        <w:t xml:space="preserve">інвестування, людського потенціалу, </w:t>
      </w:r>
      <w:r w:rsidR="00E918D0" w:rsidRPr="00A41B49">
        <w:rPr>
          <w:rFonts w:ascii="Times New Roman" w:hAnsi="Times New Roman" w:cs="Times New Roman"/>
          <w:sz w:val="28"/>
          <w:szCs w:val="28"/>
          <w:lang w:val="uk-UA"/>
        </w:rPr>
        <w:t>інфраструктурного</w:t>
      </w:r>
      <w:r w:rsidR="0023247E" w:rsidRPr="00A41B49">
        <w:rPr>
          <w:rFonts w:ascii="Times New Roman" w:hAnsi="Times New Roman" w:cs="Times New Roman"/>
          <w:sz w:val="28"/>
          <w:szCs w:val="28"/>
          <w:lang w:val="uk-UA"/>
        </w:rPr>
        <w:t xml:space="preserve"> та логістичного потенціалу, бізнес-структур в міста та регіоні; </w:t>
      </w:r>
    </w:p>
    <w:p w14:paraId="7D888E4C" w14:textId="77777777" w:rsidR="007F2CB0" w:rsidRPr="00A41B49" w:rsidRDefault="0023247E" w:rsidP="009D2F7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розробка стратегії залучення інвестицій в місто та регіон; </w:t>
      </w:r>
    </w:p>
    <w:p w14:paraId="7AC80725" w14:textId="77777777" w:rsidR="007F2CB0" w:rsidRPr="00A41B49" w:rsidRDefault="0023247E" w:rsidP="009D2F7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визначення пріоритетних сфер інвестування у </w:t>
      </w:r>
      <w:r w:rsidR="00BA3D27" w:rsidRPr="00A41B49">
        <w:rPr>
          <w:rFonts w:ascii="Times New Roman" w:hAnsi="Times New Roman" w:cs="Times New Roman"/>
          <w:sz w:val="28"/>
          <w:szCs w:val="28"/>
          <w:lang w:val="uk-UA"/>
        </w:rPr>
        <w:t xml:space="preserve">місті та регіоні; </w:t>
      </w:r>
    </w:p>
    <w:p w14:paraId="66C71B4A" w14:textId="77777777" w:rsidR="00102ECA" w:rsidRPr="00A41B49" w:rsidRDefault="00BA3D27" w:rsidP="009D2F7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розширення можливостей для змішаного фінансування інвестиційних проєктів тощо [11</w:t>
      </w:r>
      <w:r w:rsidR="005E5E80" w:rsidRPr="00A41B49">
        <w:rPr>
          <w:rFonts w:ascii="Times New Roman" w:hAnsi="Times New Roman" w:cs="Times New Roman"/>
          <w:sz w:val="28"/>
          <w:szCs w:val="28"/>
          <w:lang w:val="uk-UA"/>
        </w:rPr>
        <w:t>, 12</w:t>
      </w:r>
      <w:r w:rsidR="00E918D0" w:rsidRPr="00A41B49">
        <w:rPr>
          <w:rFonts w:ascii="Times New Roman" w:hAnsi="Times New Roman" w:cs="Times New Roman"/>
          <w:sz w:val="28"/>
          <w:szCs w:val="28"/>
          <w:lang w:val="uk-UA"/>
        </w:rPr>
        <w:t>, 15</w:t>
      </w:r>
      <w:r w:rsidRPr="00A41B49">
        <w:rPr>
          <w:rFonts w:ascii="Times New Roman" w:hAnsi="Times New Roman" w:cs="Times New Roman"/>
          <w:sz w:val="28"/>
          <w:szCs w:val="28"/>
          <w:lang w:val="uk-UA"/>
        </w:rPr>
        <w:t>].</w:t>
      </w:r>
    </w:p>
    <w:p w14:paraId="7F6EC1AB" w14:textId="77777777" w:rsidR="00445A9F" w:rsidRPr="00A41B49" w:rsidRDefault="00445A9F" w:rsidP="009D2F7B">
      <w:pPr>
        <w:spacing w:after="0" w:line="240" w:lineRule="auto"/>
        <w:ind w:firstLine="709"/>
        <w:jc w:val="both"/>
        <w:rPr>
          <w:rFonts w:ascii="Times New Roman" w:hAnsi="Times New Roman" w:cs="Times New Roman"/>
          <w:sz w:val="28"/>
          <w:szCs w:val="28"/>
          <w:lang w:val="uk-UA"/>
        </w:rPr>
      </w:pPr>
    </w:p>
    <w:p w14:paraId="5708AA84" w14:textId="77777777" w:rsidR="00445A9F" w:rsidRPr="00A41B49" w:rsidRDefault="00697793" w:rsidP="00697793">
      <w:pPr>
        <w:spacing w:after="0" w:line="240" w:lineRule="auto"/>
        <w:jc w:val="both"/>
        <w:rPr>
          <w:rFonts w:ascii="Times New Roman" w:hAnsi="Times New Roman" w:cs="Times New Roman"/>
          <w:sz w:val="28"/>
          <w:szCs w:val="28"/>
          <w:lang w:val="uk-UA"/>
        </w:rPr>
      </w:pPr>
      <w:r w:rsidRPr="00A41B49">
        <w:rPr>
          <w:rFonts w:ascii="Times New Roman" w:hAnsi="Times New Roman" w:cs="Times New Roman"/>
          <w:noProof/>
          <w:sz w:val="28"/>
          <w:szCs w:val="28"/>
          <w:lang w:eastAsia="ru-RU"/>
        </w:rPr>
        <w:drawing>
          <wp:inline distT="0" distB="0" distL="0" distR="0" wp14:anchorId="1E18E657" wp14:editId="3C4962FC">
            <wp:extent cx="5938419" cy="4826000"/>
            <wp:effectExtent l="0" t="0" r="571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38862" cy="4826360"/>
                    </a:xfrm>
                    <a:prstGeom prst="rect">
                      <a:avLst/>
                    </a:prstGeom>
                  </pic:spPr>
                </pic:pic>
              </a:graphicData>
            </a:graphic>
          </wp:inline>
        </w:drawing>
      </w:r>
    </w:p>
    <w:p w14:paraId="02826B4A" w14:textId="77777777" w:rsidR="00445A9F" w:rsidRPr="00A41B49" w:rsidRDefault="00697793" w:rsidP="009D2F7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Рисунок</w:t>
      </w:r>
      <w:r w:rsidR="00AA4952" w:rsidRPr="00A41B49">
        <w:rPr>
          <w:rFonts w:ascii="Times New Roman" w:hAnsi="Times New Roman" w:cs="Times New Roman"/>
          <w:sz w:val="28"/>
          <w:szCs w:val="28"/>
          <w:lang w:val="uk-UA"/>
        </w:rPr>
        <w:t xml:space="preserve"> </w:t>
      </w:r>
      <w:r w:rsidR="00CE06C3" w:rsidRPr="00A41B49">
        <w:rPr>
          <w:rFonts w:ascii="Times New Roman" w:hAnsi="Times New Roman" w:cs="Times New Roman"/>
          <w:sz w:val="28"/>
          <w:szCs w:val="28"/>
          <w:lang w:val="uk-UA"/>
        </w:rPr>
        <w:t>1.</w:t>
      </w:r>
      <w:r w:rsidR="00104EFD" w:rsidRPr="00A41B49">
        <w:rPr>
          <w:rFonts w:ascii="Times New Roman" w:hAnsi="Times New Roman" w:cs="Times New Roman"/>
          <w:sz w:val="28"/>
          <w:szCs w:val="28"/>
          <w:lang w:val="uk-UA"/>
        </w:rPr>
        <w:t>3</w:t>
      </w:r>
      <w:r w:rsidRPr="00A41B49">
        <w:rPr>
          <w:rFonts w:ascii="Times New Roman" w:hAnsi="Times New Roman" w:cs="Times New Roman"/>
          <w:sz w:val="28"/>
          <w:szCs w:val="28"/>
          <w:lang w:val="uk-UA"/>
        </w:rPr>
        <w:t xml:space="preserve"> – Ф</w:t>
      </w:r>
      <w:r w:rsidR="00D73C95" w:rsidRPr="00A41B49">
        <w:rPr>
          <w:rFonts w:ascii="Times New Roman" w:hAnsi="Times New Roman" w:cs="Times New Roman"/>
          <w:sz w:val="28"/>
          <w:szCs w:val="28"/>
          <w:lang w:val="uk-UA"/>
        </w:rPr>
        <w:t>актори, що впливають на інвестиційну привабливість міста</w:t>
      </w:r>
    </w:p>
    <w:p w14:paraId="605AA77C" w14:textId="77777777" w:rsidR="00445A9F" w:rsidRPr="00A41B49" w:rsidRDefault="00D73C95" w:rsidP="009D2F7B">
      <w:pPr>
        <w:spacing w:after="0" w:line="240" w:lineRule="auto"/>
        <w:ind w:firstLine="709"/>
        <w:jc w:val="both"/>
        <w:rPr>
          <w:rFonts w:ascii="Times New Roman" w:hAnsi="Times New Roman" w:cs="Times New Roman"/>
          <w:i/>
          <w:sz w:val="24"/>
          <w:szCs w:val="24"/>
          <w:lang w:val="uk-UA"/>
        </w:rPr>
      </w:pPr>
      <w:r w:rsidRPr="00A41B49">
        <w:rPr>
          <w:rFonts w:ascii="Times New Roman" w:hAnsi="Times New Roman" w:cs="Times New Roman"/>
          <w:i/>
          <w:sz w:val="24"/>
          <w:szCs w:val="24"/>
          <w:lang w:val="uk-UA"/>
        </w:rPr>
        <w:t>Джерело: складено автором основі даних [27-311, 12, 15, 35-38]</w:t>
      </w:r>
    </w:p>
    <w:p w14:paraId="10D82355" w14:textId="77777777" w:rsidR="00F15615" w:rsidRPr="00A41B49" w:rsidRDefault="00F15615" w:rsidP="00F15615">
      <w:pPr>
        <w:spacing w:after="0" w:line="240" w:lineRule="auto"/>
        <w:ind w:firstLine="709"/>
        <w:jc w:val="both"/>
        <w:rPr>
          <w:rFonts w:ascii="Times New Roman" w:hAnsi="Times New Roman" w:cs="Times New Roman"/>
          <w:sz w:val="28"/>
          <w:szCs w:val="28"/>
          <w:lang w:val="uk-UA"/>
        </w:rPr>
      </w:pPr>
    </w:p>
    <w:p w14:paraId="4ED031D8" w14:textId="77777777" w:rsidR="009D2F7B" w:rsidRPr="00A41B49" w:rsidRDefault="00F15615" w:rsidP="00F15615">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Т</w:t>
      </w:r>
      <w:r w:rsidR="009D2F7B" w:rsidRPr="00A41B49">
        <w:rPr>
          <w:rFonts w:ascii="Times New Roman" w:hAnsi="Times New Roman" w:cs="Times New Roman"/>
          <w:sz w:val="28"/>
          <w:szCs w:val="28"/>
          <w:lang w:val="uk-UA"/>
        </w:rPr>
        <w:t xml:space="preserve">аким чином, на інвестиційну привабливість міста впливають фактори зовнішнього середовища (інвестиційна привабливість регіону, інвестиційна привабливість країни тощо) та фактори внутрішнього середовища (потенціал розвитку міста, що включає </w:t>
      </w:r>
      <w:r w:rsidR="007E3B95" w:rsidRPr="00A41B49">
        <w:rPr>
          <w:rFonts w:ascii="Times New Roman" w:hAnsi="Times New Roman" w:cs="Times New Roman"/>
          <w:sz w:val="28"/>
          <w:szCs w:val="28"/>
          <w:lang w:val="uk-UA"/>
        </w:rPr>
        <w:t>природно-ресурсний,</w:t>
      </w:r>
      <w:r w:rsidR="009D2F7B" w:rsidRPr="00A41B49">
        <w:rPr>
          <w:rFonts w:ascii="Times New Roman" w:hAnsi="Times New Roman" w:cs="Times New Roman"/>
          <w:sz w:val="28"/>
          <w:szCs w:val="28"/>
          <w:lang w:val="uk-UA"/>
        </w:rPr>
        <w:t xml:space="preserve"> виробничий, </w:t>
      </w:r>
      <w:r w:rsidR="00D73C95" w:rsidRPr="00A41B49">
        <w:rPr>
          <w:rFonts w:ascii="Times New Roman" w:hAnsi="Times New Roman" w:cs="Times New Roman"/>
          <w:sz w:val="28"/>
          <w:szCs w:val="28"/>
          <w:lang w:val="uk-UA"/>
        </w:rPr>
        <w:t>трудовий</w:t>
      </w:r>
      <w:r w:rsidR="007E3B95" w:rsidRPr="00A41B49">
        <w:rPr>
          <w:rFonts w:ascii="Times New Roman" w:hAnsi="Times New Roman" w:cs="Times New Roman"/>
          <w:sz w:val="28"/>
          <w:szCs w:val="28"/>
          <w:lang w:val="uk-UA"/>
        </w:rPr>
        <w:t xml:space="preserve"> та інші компоненти; особливості адміністрування інвестиційного процесу в місті, зокрема наявність інвестиційної стратегії, інвестиційного паспорта, інвестиційної прозорості тощо).</w:t>
      </w:r>
    </w:p>
    <w:p w14:paraId="24150DA0" w14:textId="77777777" w:rsidR="00416EAD" w:rsidRPr="00A41B49" w:rsidRDefault="00416EAD">
      <w:pPr>
        <w:rPr>
          <w:rFonts w:ascii="Times New Roman" w:hAnsi="Times New Roman" w:cs="Times New Roman"/>
          <w:b/>
          <w:sz w:val="28"/>
          <w:szCs w:val="28"/>
          <w:lang w:val="uk-UA"/>
        </w:rPr>
      </w:pPr>
      <w:r w:rsidRPr="00A41B49">
        <w:rPr>
          <w:rFonts w:ascii="Times New Roman" w:hAnsi="Times New Roman" w:cs="Times New Roman"/>
          <w:b/>
          <w:sz w:val="28"/>
          <w:szCs w:val="28"/>
          <w:lang w:val="uk-UA"/>
        </w:rPr>
        <w:br w:type="page"/>
      </w:r>
    </w:p>
    <w:p w14:paraId="56B88B04" w14:textId="77777777" w:rsidR="00416EAD" w:rsidRPr="00A41B49" w:rsidRDefault="00B11C65" w:rsidP="00416EAD">
      <w:pPr>
        <w:tabs>
          <w:tab w:val="left" w:pos="1276"/>
        </w:tabs>
        <w:spacing w:after="0" w:line="240" w:lineRule="auto"/>
        <w:jc w:val="center"/>
        <w:rPr>
          <w:rFonts w:ascii="Times New Roman" w:hAnsi="Times New Roman"/>
          <w:b/>
          <w:sz w:val="28"/>
          <w:szCs w:val="28"/>
          <w:shd w:val="clear" w:color="auto" w:fill="FFFFFF"/>
          <w:lang w:val="uk-UA"/>
        </w:rPr>
      </w:pPr>
      <w:r w:rsidRPr="00A41B49">
        <w:rPr>
          <w:rFonts w:ascii="Times New Roman" w:hAnsi="Times New Roman"/>
          <w:b/>
          <w:sz w:val="28"/>
          <w:szCs w:val="28"/>
          <w:shd w:val="clear" w:color="auto" w:fill="FFFFFF"/>
          <w:lang w:val="uk-UA"/>
        </w:rPr>
        <w:lastRenderedPageBreak/>
        <w:t>РОЗДІЛ 2</w:t>
      </w:r>
    </w:p>
    <w:p w14:paraId="00B9F4C5" w14:textId="77777777" w:rsidR="00293B9F" w:rsidRPr="00A41B49" w:rsidRDefault="00B11C65" w:rsidP="00416EAD">
      <w:pPr>
        <w:tabs>
          <w:tab w:val="left" w:pos="1276"/>
        </w:tabs>
        <w:spacing w:after="0" w:line="240" w:lineRule="auto"/>
        <w:jc w:val="center"/>
        <w:rPr>
          <w:rFonts w:ascii="Times New Roman" w:hAnsi="Times New Roman"/>
          <w:b/>
          <w:sz w:val="28"/>
          <w:szCs w:val="28"/>
          <w:shd w:val="clear" w:color="auto" w:fill="FFFFFF"/>
          <w:lang w:val="uk-UA"/>
        </w:rPr>
      </w:pPr>
      <w:r w:rsidRPr="00A41B49">
        <w:rPr>
          <w:rFonts w:ascii="Times New Roman" w:hAnsi="Times New Roman"/>
          <w:b/>
          <w:sz w:val="28"/>
          <w:szCs w:val="28"/>
          <w:shd w:val="clear" w:color="auto" w:fill="FFFFFF"/>
          <w:lang w:val="uk-UA"/>
        </w:rPr>
        <w:t>МЕТОДИЧНІ ДОСЛІДЖЕННЯ ІНВЕСТИЦІЙНОЇ ПРИВАБЛИВОСТІ МІСТА</w:t>
      </w:r>
    </w:p>
    <w:p w14:paraId="78EFD4A6" w14:textId="77777777" w:rsidR="009535B4" w:rsidRPr="00A41B49" w:rsidRDefault="009535B4" w:rsidP="009535B4">
      <w:pPr>
        <w:spacing w:after="0" w:line="240" w:lineRule="auto"/>
        <w:jc w:val="both"/>
        <w:rPr>
          <w:rFonts w:ascii="Times New Roman" w:hAnsi="Times New Roman" w:cs="Times New Roman"/>
          <w:b/>
          <w:sz w:val="28"/>
          <w:szCs w:val="28"/>
          <w:lang w:val="uk-UA"/>
        </w:rPr>
      </w:pPr>
    </w:p>
    <w:p w14:paraId="23BDCF28" w14:textId="77777777" w:rsidR="009535B4" w:rsidRPr="00A41B49" w:rsidRDefault="009535B4"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Для оцінки інвестиційної привабливості різнорівневих соціально-економічних систем, зокрема міста (як соціально-економічної системи мезорівня), як свідчить аналіз джерел [1-3</w:t>
      </w:r>
      <w:r w:rsidR="00CC43A3" w:rsidRPr="00A41B49">
        <w:rPr>
          <w:rFonts w:ascii="Times New Roman" w:hAnsi="Times New Roman" w:cs="Times New Roman"/>
          <w:spacing w:val="4"/>
          <w:sz w:val="28"/>
          <w:szCs w:val="28"/>
          <w:lang w:val="uk-UA"/>
        </w:rPr>
        <w:t>8</w:t>
      </w:r>
      <w:r w:rsidRPr="00A41B49">
        <w:rPr>
          <w:rFonts w:ascii="Times New Roman" w:hAnsi="Times New Roman" w:cs="Times New Roman"/>
          <w:spacing w:val="4"/>
          <w:sz w:val="28"/>
          <w:szCs w:val="28"/>
          <w:lang w:val="uk-UA"/>
        </w:rPr>
        <w:t>], застосовують широкий перелік методичних підхо</w:t>
      </w:r>
      <w:r w:rsidR="009233C2" w:rsidRPr="00A41B49">
        <w:rPr>
          <w:rFonts w:ascii="Times New Roman" w:hAnsi="Times New Roman" w:cs="Times New Roman"/>
          <w:spacing w:val="4"/>
          <w:sz w:val="28"/>
          <w:szCs w:val="28"/>
          <w:lang w:val="uk-UA"/>
        </w:rPr>
        <w:t>дів, які можна класифікувати за:</w:t>
      </w:r>
    </w:p>
    <w:p w14:paraId="43C0F14C" w14:textId="77777777" w:rsidR="009535B4" w:rsidRPr="00A41B49" w:rsidRDefault="00144109"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1.</w:t>
      </w:r>
      <w:r w:rsidR="009233C2" w:rsidRPr="00A41B49">
        <w:rPr>
          <w:rFonts w:ascii="Times New Roman" w:hAnsi="Times New Roman" w:cs="Times New Roman"/>
          <w:spacing w:val="4"/>
          <w:sz w:val="28"/>
          <w:szCs w:val="28"/>
          <w:lang w:val="uk-UA"/>
        </w:rPr>
        <w:t> </w:t>
      </w:r>
      <w:r w:rsidRPr="00A41B49">
        <w:rPr>
          <w:rFonts w:ascii="Times New Roman" w:hAnsi="Times New Roman" w:cs="Times New Roman"/>
          <w:spacing w:val="4"/>
          <w:sz w:val="28"/>
          <w:szCs w:val="28"/>
          <w:lang w:val="uk-UA"/>
        </w:rPr>
        <w:t>О</w:t>
      </w:r>
      <w:r w:rsidR="009233C2" w:rsidRPr="00A41B49">
        <w:rPr>
          <w:rFonts w:ascii="Times New Roman" w:hAnsi="Times New Roman" w:cs="Times New Roman"/>
          <w:spacing w:val="4"/>
          <w:sz w:val="28"/>
          <w:szCs w:val="28"/>
          <w:lang w:val="uk-UA"/>
        </w:rPr>
        <w:t>собливостями у</w:t>
      </w:r>
      <w:r w:rsidR="00EC6E7A" w:rsidRPr="00A41B49">
        <w:rPr>
          <w:rFonts w:ascii="Times New Roman" w:hAnsi="Times New Roman" w:cs="Times New Roman"/>
          <w:spacing w:val="4"/>
          <w:sz w:val="28"/>
          <w:szCs w:val="28"/>
          <w:lang w:val="uk-UA"/>
        </w:rPr>
        <w:t>рахування фактору часу:</w:t>
      </w:r>
    </w:p>
    <w:p w14:paraId="5BF5BA30" w14:textId="77777777" w:rsidR="009535B4" w:rsidRPr="00A41B49" w:rsidRDefault="00BB0882"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с</w:t>
      </w:r>
      <w:r w:rsidR="009535B4" w:rsidRPr="00A41B49">
        <w:rPr>
          <w:rFonts w:ascii="Times New Roman" w:hAnsi="Times New Roman" w:cs="Times New Roman"/>
          <w:spacing w:val="4"/>
          <w:sz w:val="28"/>
          <w:szCs w:val="28"/>
          <w:lang w:val="uk-UA"/>
        </w:rPr>
        <w:t>татичний підхід</w:t>
      </w:r>
      <w:r w:rsidR="00FD0F0D" w:rsidRPr="00A41B49">
        <w:rPr>
          <w:rFonts w:ascii="Times New Roman" w:hAnsi="Times New Roman" w:cs="Times New Roman"/>
          <w:spacing w:val="4"/>
          <w:sz w:val="28"/>
          <w:szCs w:val="28"/>
          <w:lang w:val="uk-UA"/>
        </w:rPr>
        <w:t xml:space="preserve"> – статичний аналіз</w:t>
      </w:r>
      <w:r w:rsidR="00CC79D0" w:rsidRPr="00A41B49">
        <w:rPr>
          <w:rFonts w:ascii="Times New Roman" w:hAnsi="Times New Roman" w:cs="Times New Roman"/>
          <w:spacing w:val="4"/>
          <w:sz w:val="28"/>
          <w:szCs w:val="28"/>
          <w:lang w:val="uk-UA"/>
        </w:rPr>
        <w:t>;</w:t>
      </w:r>
    </w:p>
    <w:p w14:paraId="7CF4AB82" w14:textId="77777777" w:rsidR="009535B4" w:rsidRPr="00A41B49" w:rsidRDefault="00BB0882"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д</w:t>
      </w:r>
      <w:r w:rsidR="009535B4" w:rsidRPr="00A41B49">
        <w:rPr>
          <w:rFonts w:ascii="Times New Roman" w:hAnsi="Times New Roman" w:cs="Times New Roman"/>
          <w:spacing w:val="4"/>
          <w:sz w:val="28"/>
          <w:szCs w:val="28"/>
          <w:lang w:val="uk-UA"/>
        </w:rPr>
        <w:t>инамічний підхід</w:t>
      </w:r>
      <w:r w:rsidR="00FD0F0D" w:rsidRPr="00A41B49">
        <w:rPr>
          <w:rFonts w:ascii="Times New Roman" w:hAnsi="Times New Roman" w:cs="Times New Roman"/>
          <w:spacing w:val="4"/>
          <w:sz w:val="28"/>
          <w:szCs w:val="28"/>
          <w:lang w:val="uk-UA"/>
        </w:rPr>
        <w:t xml:space="preserve"> – динамічний аналіз</w:t>
      </w:r>
      <w:r w:rsidR="00144109" w:rsidRPr="00A41B49">
        <w:rPr>
          <w:rFonts w:ascii="Times New Roman" w:hAnsi="Times New Roman" w:cs="Times New Roman"/>
          <w:spacing w:val="4"/>
          <w:sz w:val="28"/>
          <w:szCs w:val="28"/>
          <w:lang w:val="uk-UA"/>
        </w:rPr>
        <w:t>.</w:t>
      </w:r>
    </w:p>
    <w:p w14:paraId="5164A5E4" w14:textId="77777777" w:rsidR="00EC6E7A" w:rsidRPr="00A41B49" w:rsidRDefault="00144109"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2.</w:t>
      </w:r>
      <w:r w:rsidR="00EC6E7A" w:rsidRPr="00A41B49">
        <w:rPr>
          <w:rFonts w:ascii="Times New Roman" w:hAnsi="Times New Roman" w:cs="Times New Roman"/>
          <w:spacing w:val="4"/>
          <w:sz w:val="28"/>
          <w:szCs w:val="28"/>
          <w:lang w:val="uk-UA"/>
        </w:rPr>
        <w:t xml:space="preserve"> </w:t>
      </w:r>
      <w:r w:rsidRPr="00A41B49">
        <w:rPr>
          <w:rFonts w:ascii="Times New Roman" w:hAnsi="Times New Roman" w:cs="Times New Roman"/>
          <w:spacing w:val="4"/>
          <w:sz w:val="28"/>
          <w:szCs w:val="28"/>
          <w:lang w:val="uk-UA"/>
        </w:rPr>
        <w:t>С</w:t>
      </w:r>
      <w:r w:rsidR="00EC6E7A" w:rsidRPr="00A41B49">
        <w:rPr>
          <w:rFonts w:ascii="Times New Roman" w:hAnsi="Times New Roman" w:cs="Times New Roman"/>
          <w:spacing w:val="4"/>
          <w:sz w:val="28"/>
          <w:szCs w:val="28"/>
          <w:lang w:val="uk-UA"/>
        </w:rPr>
        <w:t>пособом оцінки:</w:t>
      </w:r>
    </w:p>
    <w:p w14:paraId="1D3D0BD9" w14:textId="77777777" w:rsidR="00EC6E7A" w:rsidRPr="00A41B49" w:rsidRDefault="00BB0882"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м</w:t>
      </w:r>
      <w:r w:rsidR="00EC6E7A" w:rsidRPr="00A41B49">
        <w:rPr>
          <w:rFonts w:ascii="Times New Roman" w:hAnsi="Times New Roman" w:cs="Times New Roman"/>
          <w:spacing w:val="4"/>
          <w:sz w:val="28"/>
          <w:szCs w:val="28"/>
          <w:lang w:val="uk-UA"/>
        </w:rPr>
        <w:t>етодичній підхід на основі фактичних обсягів залучених інвестицій</w:t>
      </w:r>
      <w:r w:rsidR="00F764D5" w:rsidRPr="00A41B49">
        <w:rPr>
          <w:rFonts w:ascii="Times New Roman" w:hAnsi="Times New Roman" w:cs="Times New Roman"/>
          <w:spacing w:val="4"/>
          <w:sz w:val="28"/>
          <w:szCs w:val="28"/>
          <w:lang w:val="uk-UA"/>
        </w:rPr>
        <w:t>;</w:t>
      </w:r>
    </w:p>
    <w:p w14:paraId="49FC4C83" w14:textId="77777777" w:rsidR="00F764D5" w:rsidRPr="00A41B49" w:rsidRDefault="00F764D5"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 xml:space="preserve">методичний </w:t>
      </w:r>
      <w:r w:rsidR="00CC79D0" w:rsidRPr="00A41B49">
        <w:rPr>
          <w:rFonts w:ascii="Times New Roman" w:hAnsi="Times New Roman" w:cs="Times New Roman"/>
          <w:spacing w:val="4"/>
          <w:sz w:val="28"/>
          <w:szCs w:val="28"/>
          <w:lang w:val="uk-UA"/>
        </w:rPr>
        <w:t>підхід</w:t>
      </w:r>
      <w:r w:rsidRPr="00A41B49">
        <w:rPr>
          <w:rFonts w:ascii="Times New Roman" w:hAnsi="Times New Roman" w:cs="Times New Roman"/>
          <w:spacing w:val="4"/>
          <w:sz w:val="28"/>
          <w:szCs w:val="28"/>
          <w:lang w:val="uk-UA"/>
        </w:rPr>
        <w:t xml:space="preserve"> на основі результуючих показників розвитку соціально-економічної системи;</w:t>
      </w:r>
    </w:p>
    <w:p w14:paraId="6F101EC5" w14:textId="77777777" w:rsidR="00CC79D0" w:rsidRPr="00A41B49" w:rsidRDefault="00CC79D0"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методичний підхід на основі інвестиційного потенціалу;</w:t>
      </w:r>
    </w:p>
    <w:p w14:paraId="58795BF5" w14:textId="77777777" w:rsidR="00CC79D0" w:rsidRPr="00A41B49" w:rsidRDefault="00CC79D0"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методичний підхід на основі інвестиційного клімату;</w:t>
      </w:r>
    </w:p>
    <w:p w14:paraId="42C9B187" w14:textId="77777777" w:rsidR="00ED53D1" w:rsidRPr="00A41B49" w:rsidRDefault="00BB0882"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м</w:t>
      </w:r>
      <w:r w:rsidR="00EC6E7A" w:rsidRPr="00A41B49">
        <w:rPr>
          <w:rFonts w:ascii="Times New Roman" w:hAnsi="Times New Roman" w:cs="Times New Roman"/>
          <w:spacing w:val="4"/>
          <w:sz w:val="28"/>
          <w:szCs w:val="28"/>
          <w:lang w:val="uk-UA"/>
        </w:rPr>
        <w:t>етодичний підхід на основі інтегральних показник</w:t>
      </w:r>
      <w:r w:rsidR="00CC79D0" w:rsidRPr="00A41B49">
        <w:rPr>
          <w:rFonts w:ascii="Times New Roman" w:hAnsi="Times New Roman" w:cs="Times New Roman"/>
          <w:spacing w:val="4"/>
          <w:sz w:val="28"/>
          <w:szCs w:val="28"/>
          <w:lang w:val="uk-UA"/>
        </w:rPr>
        <w:t xml:space="preserve">ів інвестиційної привабливості, зокрема </w:t>
      </w:r>
      <w:r w:rsidR="00EC6E7A" w:rsidRPr="00A41B49">
        <w:rPr>
          <w:rFonts w:ascii="Times New Roman" w:hAnsi="Times New Roman" w:cs="Times New Roman"/>
          <w:spacing w:val="4"/>
          <w:sz w:val="28"/>
          <w:szCs w:val="28"/>
          <w:lang w:val="uk-UA"/>
        </w:rPr>
        <w:t xml:space="preserve">Як правило, такий підхід </w:t>
      </w:r>
      <w:r w:rsidR="00483AD8" w:rsidRPr="00A41B49">
        <w:rPr>
          <w:rFonts w:ascii="Times New Roman" w:hAnsi="Times New Roman" w:cs="Times New Roman"/>
          <w:spacing w:val="4"/>
          <w:sz w:val="28"/>
          <w:szCs w:val="28"/>
          <w:lang w:val="uk-UA"/>
        </w:rPr>
        <w:t>застосовують</w:t>
      </w:r>
      <w:r w:rsidR="00FF23EF" w:rsidRPr="00A41B49">
        <w:rPr>
          <w:rFonts w:ascii="Times New Roman" w:hAnsi="Times New Roman" w:cs="Times New Roman"/>
          <w:spacing w:val="4"/>
          <w:sz w:val="28"/>
          <w:szCs w:val="28"/>
          <w:lang w:val="uk-UA"/>
        </w:rPr>
        <w:t xml:space="preserve"> для оцінки інвестиційної привабливості різноманітні рейтингові агентства, </w:t>
      </w:r>
      <w:r w:rsidR="00144109" w:rsidRPr="00A41B49">
        <w:rPr>
          <w:rFonts w:ascii="Times New Roman" w:hAnsi="Times New Roman" w:cs="Times New Roman"/>
          <w:spacing w:val="4"/>
          <w:sz w:val="28"/>
          <w:szCs w:val="28"/>
          <w:lang w:val="uk-UA"/>
        </w:rPr>
        <w:t xml:space="preserve">найбільш відомими серед яких є </w:t>
      </w:r>
      <w:r w:rsidR="00FF23EF" w:rsidRPr="00A41B49">
        <w:rPr>
          <w:rFonts w:ascii="Times New Roman" w:hAnsi="Times New Roman" w:cs="Times New Roman"/>
          <w:spacing w:val="4"/>
          <w:sz w:val="28"/>
          <w:szCs w:val="28"/>
          <w:lang w:val="uk-UA"/>
        </w:rPr>
        <w:t xml:space="preserve">Standard and Poor's (S&amp;P), Fitch Ratings” (Fitch), Moody's Investors Service (Moody’s) </w:t>
      </w:r>
      <w:r w:rsidR="00483AD8" w:rsidRPr="00A41B49">
        <w:rPr>
          <w:rFonts w:ascii="Times New Roman" w:hAnsi="Times New Roman" w:cs="Times New Roman"/>
          <w:spacing w:val="4"/>
          <w:sz w:val="28"/>
          <w:szCs w:val="28"/>
          <w:lang w:val="uk-UA"/>
        </w:rPr>
        <w:t>тощо</w:t>
      </w:r>
      <w:r w:rsidR="00246634" w:rsidRPr="00A41B49">
        <w:rPr>
          <w:rFonts w:ascii="Times New Roman" w:hAnsi="Times New Roman" w:cs="Times New Roman"/>
          <w:spacing w:val="4"/>
          <w:sz w:val="28"/>
          <w:szCs w:val="28"/>
          <w:lang w:val="uk-UA"/>
        </w:rPr>
        <w:t xml:space="preserve">. </w:t>
      </w:r>
    </w:p>
    <w:p w14:paraId="4EAC549E" w14:textId="77777777" w:rsidR="00ED53D1" w:rsidRPr="00A41B49" w:rsidRDefault="00246634"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Для надання оцінки інвестиційної привабливості соціально-економічних систем зазначені рейтингові агентства використовують широкий перелік показників та спец</w:t>
      </w:r>
      <w:r w:rsidR="00161629" w:rsidRPr="00A41B49">
        <w:rPr>
          <w:rFonts w:ascii="Times New Roman" w:hAnsi="Times New Roman" w:cs="Times New Roman"/>
          <w:spacing w:val="4"/>
          <w:sz w:val="28"/>
          <w:szCs w:val="28"/>
          <w:lang w:val="uk-UA"/>
        </w:rPr>
        <w:t>и</w:t>
      </w:r>
      <w:r w:rsidRPr="00A41B49">
        <w:rPr>
          <w:rFonts w:ascii="Times New Roman" w:hAnsi="Times New Roman" w:cs="Times New Roman"/>
          <w:spacing w:val="4"/>
          <w:sz w:val="28"/>
          <w:szCs w:val="28"/>
          <w:lang w:val="uk-UA"/>
        </w:rPr>
        <w:t>ф</w:t>
      </w:r>
      <w:r w:rsidR="00161629" w:rsidRPr="00A41B49">
        <w:rPr>
          <w:rFonts w:ascii="Times New Roman" w:hAnsi="Times New Roman" w:cs="Times New Roman"/>
          <w:spacing w:val="4"/>
          <w:sz w:val="28"/>
          <w:szCs w:val="28"/>
          <w:lang w:val="uk-UA"/>
        </w:rPr>
        <w:t>і</w:t>
      </w:r>
      <w:r w:rsidRPr="00A41B49">
        <w:rPr>
          <w:rFonts w:ascii="Times New Roman" w:hAnsi="Times New Roman" w:cs="Times New Roman"/>
          <w:spacing w:val="4"/>
          <w:sz w:val="28"/>
          <w:szCs w:val="28"/>
          <w:lang w:val="uk-UA"/>
        </w:rPr>
        <w:t xml:space="preserve">чну якісну </w:t>
      </w:r>
      <w:r w:rsidR="00E64260" w:rsidRPr="00A41B49">
        <w:rPr>
          <w:rFonts w:ascii="Times New Roman" w:hAnsi="Times New Roman" w:cs="Times New Roman"/>
          <w:spacing w:val="4"/>
          <w:sz w:val="28"/>
          <w:szCs w:val="28"/>
          <w:lang w:val="uk-UA"/>
        </w:rPr>
        <w:t xml:space="preserve">рейтингову </w:t>
      </w:r>
      <w:r w:rsidRPr="00A41B49">
        <w:rPr>
          <w:rFonts w:ascii="Times New Roman" w:hAnsi="Times New Roman" w:cs="Times New Roman"/>
          <w:spacing w:val="4"/>
          <w:sz w:val="28"/>
          <w:szCs w:val="28"/>
          <w:lang w:val="uk-UA"/>
        </w:rPr>
        <w:t xml:space="preserve">шкалу </w:t>
      </w:r>
      <w:r w:rsidR="00E64260" w:rsidRPr="00A41B49">
        <w:rPr>
          <w:rFonts w:ascii="Times New Roman" w:hAnsi="Times New Roman" w:cs="Times New Roman"/>
          <w:spacing w:val="4"/>
          <w:sz w:val="28"/>
          <w:szCs w:val="28"/>
          <w:lang w:val="uk-UA"/>
        </w:rPr>
        <w:t>кредитоспроможності</w:t>
      </w:r>
      <w:r w:rsidRPr="00A41B49">
        <w:rPr>
          <w:rFonts w:ascii="Times New Roman" w:hAnsi="Times New Roman" w:cs="Times New Roman"/>
          <w:spacing w:val="4"/>
          <w:sz w:val="28"/>
          <w:szCs w:val="28"/>
          <w:lang w:val="uk-UA"/>
        </w:rPr>
        <w:t xml:space="preserve"> – інвестиційної привабливості соціально-економічних систем</w:t>
      </w:r>
      <w:r w:rsidR="00144109" w:rsidRPr="00A41B49">
        <w:rPr>
          <w:rFonts w:ascii="Times New Roman" w:hAnsi="Times New Roman" w:cs="Times New Roman"/>
          <w:spacing w:val="4"/>
          <w:sz w:val="28"/>
          <w:szCs w:val="28"/>
          <w:lang w:val="uk-UA"/>
        </w:rPr>
        <w:t xml:space="preserve"> (рис</w:t>
      </w:r>
      <w:r w:rsidR="00104EFD" w:rsidRPr="00A41B49">
        <w:rPr>
          <w:rFonts w:ascii="Times New Roman" w:hAnsi="Times New Roman" w:cs="Times New Roman"/>
          <w:spacing w:val="4"/>
          <w:sz w:val="28"/>
          <w:szCs w:val="28"/>
          <w:lang w:val="uk-UA"/>
        </w:rPr>
        <w:t xml:space="preserve"> </w:t>
      </w:r>
      <w:r w:rsidR="00CE06C3" w:rsidRPr="00A41B49">
        <w:rPr>
          <w:rFonts w:ascii="Times New Roman" w:hAnsi="Times New Roman" w:cs="Times New Roman"/>
          <w:spacing w:val="4"/>
          <w:sz w:val="28"/>
          <w:szCs w:val="28"/>
          <w:lang w:val="uk-UA"/>
        </w:rPr>
        <w:t>2.1</w:t>
      </w:r>
      <w:r w:rsidR="00144109" w:rsidRPr="00A41B49">
        <w:rPr>
          <w:rFonts w:ascii="Times New Roman" w:hAnsi="Times New Roman" w:cs="Times New Roman"/>
          <w:spacing w:val="4"/>
          <w:sz w:val="28"/>
          <w:szCs w:val="28"/>
          <w:lang w:val="uk-UA"/>
        </w:rPr>
        <w:t>)</w:t>
      </w:r>
      <w:r w:rsidR="00E64260" w:rsidRPr="00A41B49">
        <w:rPr>
          <w:rFonts w:ascii="Times New Roman" w:hAnsi="Times New Roman" w:cs="Times New Roman"/>
          <w:spacing w:val="4"/>
          <w:sz w:val="28"/>
          <w:szCs w:val="28"/>
          <w:lang w:val="uk-UA"/>
        </w:rPr>
        <w:t xml:space="preserve">. </w:t>
      </w:r>
    </w:p>
    <w:p w14:paraId="443723AA" w14:textId="77777777" w:rsidR="009535B4" w:rsidRPr="00A41B49" w:rsidRDefault="00E64260"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Зазвичай зазначені агентства присвоюють три види рейтингів: короткострокові, довгострокові та рейтинги сили</w:t>
      </w:r>
      <w:r w:rsidR="00144109" w:rsidRPr="00A41B49">
        <w:rPr>
          <w:rFonts w:ascii="Times New Roman" w:hAnsi="Times New Roman" w:cs="Times New Roman"/>
          <w:spacing w:val="4"/>
          <w:sz w:val="28"/>
          <w:szCs w:val="28"/>
          <w:lang w:val="uk-UA"/>
        </w:rPr>
        <w:t>.</w:t>
      </w:r>
    </w:p>
    <w:p w14:paraId="12600AAD" w14:textId="77777777" w:rsidR="00CC43A3" w:rsidRPr="00A41B49" w:rsidRDefault="00CC43A3"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3. Специфікою показників, що використовуються для оцінки:</w:t>
      </w:r>
    </w:p>
    <w:p w14:paraId="09864121" w14:textId="77777777" w:rsidR="00CC43A3" w:rsidRPr="00A41B49" w:rsidRDefault="00CC43A3"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методичний підхід на основі кількісних показників;</w:t>
      </w:r>
    </w:p>
    <w:p w14:paraId="7E7D3DE4" w14:textId="77777777" w:rsidR="00CC43A3" w:rsidRPr="00A41B49" w:rsidRDefault="00CC43A3"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методичний підхід на основі якісних показників;</w:t>
      </w:r>
    </w:p>
    <w:p w14:paraId="25BC48CB" w14:textId="77777777" w:rsidR="00CC43A3" w:rsidRPr="00A41B49" w:rsidRDefault="00CC43A3"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методичний підхід на основі поєднання кількісних та якісних показників.</w:t>
      </w:r>
    </w:p>
    <w:p w14:paraId="43415C0D" w14:textId="77777777" w:rsidR="00CC43A3" w:rsidRPr="00A41B49" w:rsidRDefault="00CC43A3"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Крім того, для оцінки інвестиційної привабливості різнорівневих соціально-економічних систем використовуються й авторські підходи, що в різний спосіб поєднують зазначені вище методичні підходи, використовують різні набори показників.</w:t>
      </w:r>
    </w:p>
    <w:p w14:paraId="3D75436D" w14:textId="77777777" w:rsidR="00CC43A3" w:rsidRPr="00A41B49" w:rsidRDefault="00CC43A3"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Аналіз джерел [1-38] дозволяє стверджувати, що:</w:t>
      </w:r>
    </w:p>
    <w:p w14:paraId="56A88B3B" w14:textId="77777777" w:rsidR="003F3DB1" w:rsidRPr="00A41B49" w:rsidRDefault="00CC43A3" w:rsidP="0047383D">
      <w:pPr>
        <w:spacing w:after="0" w:line="247"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1) кожен методичний підхід до оцінки інвестиційної привабливості соціально-економічних систем, зокрема міста, характеризується своїми перевагами та недоліками, обмеженнями та можливостями;</w:t>
      </w:r>
    </w:p>
    <w:p w14:paraId="1AF24016" w14:textId="77777777" w:rsidR="00144109" w:rsidRPr="00A41B49" w:rsidRDefault="00144109" w:rsidP="000C6108">
      <w:pPr>
        <w:spacing w:after="0" w:line="240" w:lineRule="auto"/>
        <w:jc w:val="center"/>
        <w:rPr>
          <w:rFonts w:ascii="Times New Roman" w:eastAsia="Calibri" w:hAnsi="Times New Roman" w:cs="Times New Roman"/>
          <w:spacing w:val="4"/>
          <w:sz w:val="28"/>
          <w:szCs w:val="28"/>
          <w:shd w:val="clear" w:color="auto" w:fill="FFFFFF"/>
          <w:lang w:val="uk-UA"/>
        </w:rPr>
      </w:pPr>
      <w:r w:rsidRPr="00A41B49">
        <w:rPr>
          <w:rFonts w:ascii="Times New Roman" w:eastAsia="Calibri" w:hAnsi="Times New Roman" w:cs="Times New Roman"/>
          <w:noProof/>
          <w:spacing w:val="4"/>
          <w:sz w:val="28"/>
          <w:szCs w:val="28"/>
          <w:shd w:val="clear" w:color="auto" w:fill="FFFFFF"/>
          <w:lang w:eastAsia="ru-RU"/>
        </w:rPr>
        <w:lastRenderedPageBreak/>
        <w:drawing>
          <wp:inline distT="0" distB="0" distL="0" distR="0" wp14:anchorId="66672D0B" wp14:editId="1F37F47C">
            <wp:extent cx="5689600" cy="4127500"/>
            <wp:effectExtent l="0" t="0" r="6350" b="635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grayscl/>
                      <a:extLst>
                        <a:ext uri="{28A0092B-C50C-407E-A947-70E740481C1C}">
                          <a14:useLocalDpi xmlns:a14="http://schemas.microsoft.com/office/drawing/2010/main" val="0"/>
                        </a:ext>
                      </a:extLst>
                    </a:blip>
                    <a:srcRect b="2896"/>
                    <a:stretch>
                      <a:fillRect/>
                    </a:stretch>
                  </pic:blipFill>
                  <pic:spPr bwMode="auto">
                    <a:xfrm>
                      <a:off x="0" y="0"/>
                      <a:ext cx="5687475" cy="4125958"/>
                    </a:xfrm>
                    <a:prstGeom prst="rect">
                      <a:avLst/>
                    </a:prstGeom>
                    <a:noFill/>
                    <a:ln>
                      <a:noFill/>
                    </a:ln>
                  </pic:spPr>
                </pic:pic>
              </a:graphicData>
            </a:graphic>
          </wp:inline>
        </w:drawing>
      </w:r>
    </w:p>
    <w:p w14:paraId="5A9143D0" w14:textId="77777777" w:rsidR="00144109" w:rsidRPr="00A41B49" w:rsidRDefault="00144109" w:rsidP="000C6108">
      <w:pPr>
        <w:spacing w:after="0" w:line="240" w:lineRule="auto"/>
        <w:jc w:val="center"/>
        <w:rPr>
          <w:rFonts w:ascii="Times New Roman" w:eastAsia="Calibri" w:hAnsi="Times New Roman" w:cs="Times New Roman"/>
          <w:b/>
          <w:spacing w:val="4"/>
          <w:sz w:val="28"/>
          <w:szCs w:val="28"/>
          <w:shd w:val="clear" w:color="auto" w:fill="FFFFFF"/>
          <w:lang w:val="uk-UA"/>
        </w:rPr>
      </w:pPr>
      <w:r w:rsidRPr="00A41B49">
        <w:rPr>
          <w:rFonts w:ascii="Times New Roman" w:eastAsia="Calibri" w:hAnsi="Times New Roman" w:cs="Times New Roman"/>
          <w:spacing w:val="4"/>
          <w:sz w:val="28"/>
          <w:szCs w:val="28"/>
          <w:shd w:val="clear" w:color="auto" w:fill="FFFFFF"/>
          <w:lang w:val="uk-UA"/>
        </w:rPr>
        <w:t xml:space="preserve">Рисунок </w:t>
      </w:r>
      <w:r w:rsidR="00CE06C3" w:rsidRPr="00A41B49">
        <w:rPr>
          <w:rFonts w:ascii="Times New Roman" w:eastAsia="Calibri" w:hAnsi="Times New Roman" w:cs="Times New Roman"/>
          <w:spacing w:val="4"/>
          <w:sz w:val="28"/>
          <w:szCs w:val="28"/>
          <w:shd w:val="clear" w:color="auto" w:fill="FFFFFF"/>
          <w:lang w:val="uk-UA"/>
        </w:rPr>
        <w:t>2.1</w:t>
      </w:r>
      <w:r w:rsidRPr="00A41B49">
        <w:rPr>
          <w:rFonts w:ascii="Times New Roman" w:eastAsia="Calibri" w:hAnsi="Times New Roman" w:cs="Times New Roman"/>
          <w:spacing w:val="4"/>
          <w:sz w:val="28"/>
          <w:szCs w:val="28"/>
          <w:shd w:val="clear" w:color="auto" w:fill="FFFFFF"/>
          <w:lang w:val="uk-UA"/>
        </w:rPr>
        <w:t xml:space="preserve"> – Шкали оцінки кредит</w:t>
      </w:r>
      <w:r w:rsidR="000C6108" w:rsidRPr="00A41B49">
        <w:rPr>
          <w:rFonts w:ascii="Times New Roman" w:eastAsia="Calibri" w:hAnsi="Times New Roman" w:cs="Times New Roman"/>
          <w:spacing w:val="4"/>
          <w:sz w:val="28"/>
          <w:szCs w:val="28"/>
          <w:shd w:val="clear" w:color="auto" w:fill="FFFFFF"/>
          <w:lang w:val="uk-UA"/>
        </w:rPr>
        <w:t>оспроможності (інвестиційної привабливості)</w:t>
      </w:r>
      <w:r w:rsidRPr="00A41B49">
        <w:rPr>
          <w:rFonts w:ascii="Times New Roman" w:eastAsia="Calibri" w:hAnsi="Times New Roman" w:cs="Times New Roman"/>
          <w:spacing w:val="4"/>
          <w:sz w:val="28"/>
          <w:szCs w:val="28"/>
          <w:shd w:val="clear" w:color="auto" w:fill="FFFFFF"/>
          <w:lang w:val="uk-UA"/>
        </w:rPr>
        <w:t xml:space="preserve"> </w:t>
      </w:r>
      <w:r w:rsidR="00161629" w:rsidRPr="00A41B49">
        <w:rPr>
          <w:rFonts w:ascii="Times New Roman" w:eastAsia="Calibri" w:hAnsi="Times New Roman" w:cs="Times New Roman"/>
          <w:spacing w:val="4"/>
          <w:sz w:val="28"/>
          <w:szCs w:val="28"/>
          <w:shd w:val="clear" w:color="auto" w:fill="FFFFFF"/>
          <w:lang w:val="uk-UA"/>
        </w:rPr>
        <w:t>різнорівневих</w:t>
      </w:r>
      <w:r w:rsidRPr="00A41B49">
        <w:rPr>
          <w:rFonts w:ascii="Times New Roman" w:eastAsia="Calibri" w:hAnsi="Times New Roman" w:cs="Times New Roman"/>
          <w:spacing w:val="4"/>
          <w:sz w:val="28"/>
          <w:szCs w:val="28"/>
          <w:shd w:val="clear" w:color="auto" w:fill="FFFFFF"/>
          <w:lang w:val="uk-UA"/>
        </w:rPr>
        <w:t xml:space="preserve"> соці</w:t>
      </w:r>
      <w:r w:rsidR="000C6108" w:rsidRPr="00A41B49">
        <w:rPr>
          <w:rFonts w:ascii="Times New Roman" w:eastAsia="Calibri" w:hAnsi="Times New Roman" w:cs="Times New Roman"/>
          <w:spacing w:val="4"/>
          <w:sz w:val="28"/>
          <w:szCs w:val="28"/>
          <w:shd w:val="clear" w:color="auto" w:fill="FFFFFF"/>
          <w:lang w:val="uk-UA"/>
        </w:rPr>
        <w:t xml:space="preserve">ально-економічних систем </w:t>
      </w:r>
      <w:r w:rsidR="000C6108" w:rsidRPr="00A41B49">
        <w:rPr>
          <w:rFonts w:ascii="Times New Roman" w:hAnsi="Times New Roman" w:cs="Times New Roman"/>
          <w:sz w:val="28"/>
          <w:szCs w:val="28"/>
          <w:lang w:val="uk-UA"/>
        </w:rPr>
        <w:t>S&amp;P, Fitch, Moody’s</w:t>
      </w:r>
    </w:p>
    <w:p w14:paraId="11E368C5" w14:textId="77777777" w:rsidR="00144109" w:rsidRPr="00A41B49" w:rsidRDefault="000C6108" w:rsidP="00144109">
      <w:pPr>
        <w:spacing w:after="0" w:line="240" w:lineRule="auto"/>
        <w:ind w:firstLine="709"/>
        <w:jc w:val="both"/>
        <w:rPr>
          <w:rFonts w:ascii="Times New Roman" w:eastAsia="Calibri" w:hAnsi="Times New Roman" w:cs="Times New Roman"/>
          <w:i/>
          <w:spacing w:val="4"/>
          <w:sz w:val="24"/>
          <w:szCs w:val="24"/>
          <w:lang w:val="uk-UA"/>
        </w:rPr>
      </w:pPr>
      <w:r w:rsidRPr="00A41B49">
        <w:rPr>
          <w:rFonts w:ascii="Times New Roman" w:eastAsia="Calibri" w:hAnsi="Times New Roman" w:cs="Times New Roman"/>
          <w:i/>
          <w:spacing w:val="4"/>
          <w:sz w:val="24"/>
          <w:szCs w:val="24"/>
          <w:lang w:val="uk-UA"/>
        </w:rPr>
        <w:t>Джерело: [38</w:t>
      </w:r>
      <w:r w:rsidR="00144109" w:rsidRPr="00A41B49">
        <w:rPr>
          <w:rFonts w:ascii="Times New Roman" w:eastAsia="Calibri" w:hAnsi="Times New Roman" w:cs="Times New Roman"/>
          <w:i/>
          <w:spacing w:val="4"/>
          <w:sz w:val="24"/>
          <w:szCs w:val="24"/>
          <w:lang w:val="uk-UA"/>
        </w:rPr>
        <w:t>]</w:t>
      </w:r>
    </w:p>
    <w:p w14:paraId="5C36F7C0" w14:textId="77777777" w:rsidR="00CC43A3" w:rsidRPr="00A41B49" w:rsidRDefault="00CC43A3" w:rsidP="00AD0CF8">
      <w:pPr>
        <w:spacing w:after="0" w:line="240" w:lineRule="auto"/>
        <w:ind w:firstLine="709"/>
        <w:jc w:val="both"/>
        <w:rPr>
          <w:rFonts w:ascii="Times New Roman" w:hAnsi="Times New Roman" w:cs="Times New Roman"/>
          <w:sz w:val="28"/>
          <w:szCs w:val="28"/>
          <w:lang w:val="uk-UA"/>
        </w:rPr>
      </w:pPr>
    </w:p>
    <w:p w14:paraId="43CB64B4" w14:textId="77777777" w:rsidR="009A6E3E" w:rsidRPr="00A41B49" w:rsidRDefault="00FD0F0D" w:rsidP="00AD0CF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2) </w:t>
      </w:r>
      <w:r w:rsidR="009A6E3E" w:rsidRPr="00A41B49">
        <w:rPr>
          <w:rFonts w:ascii="Times New Roman" w:hAnsi="Times New Roman" w:cs="Times New Roman"/>
          <w:sz w:val="28"/>
          <w:szCs w:val="28"/>
          <w:lang w:val="uk-UA"/>
        </w:rPr>
        <w:t>вибір методики оцінки інвестиційної привабливості залежить від цілої низки факторів, серед яких найважливішими є:</w:t>
      </w:r>
    </w:p>
    <w:p w14:paraId="6CE33311" w14:textId="77777777" w:rsidR="009A6E3E" w:rsidRPr="00A41B49" w:rsidRDefault="009A6E3E" w:rsidP="00AD0CF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мета дослідження;</w:t>
      </w:r>
    </w:p>
    <w:p w14:paraId="632AFFAC" w14:textId="77777777" w:rsidR="009A6E3E" w:rsidRPr="00A41B49" w:rsidRDefault="009A6E3E" w:rsidP="00AD0CF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суб’єкт, що проводить дослідження;</w:t>
      </w:r>
    </w:p>
    <w:p w14:paraId="039F43ED" w14:textId="77777777" w:rsidR="009A6E3E" w:rsidRPr="00A41B49" w:rsidRDefault="00A478E5" w:rsidP="00AD0CF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наявність та обсяг релевантної для оцінки інвестиційної привабливості інформації про соціально-економічну систему;</w:t>
      </w:r>
    </w:p>
    <w:p w14:paraId="0FFD97CB" w14:textId="77777777" w:rsidR="00A478E5" w:rsidRPr="00A41B49" w:rsidRDefault="00A478E5" w:rsidP="00AD0CF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тривалість дослідження тощо;</w:t>
      </w:r>
    </w:p>
    <w:p w14:paraId="0EB4FF2C" w14:textId="77777777" w:rsidR="00A478E5" w:rsidRPr="00A41B49" w:rsidRDefault="00FD0F0D" w:rsidP="00AD0CF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3</w:t>
      </w:r>
      <w:r w:rsidR="00A478E5" w:rsidRPr="00A41B49">
        <w:rPr>
          <w:rFonts w:ascii="Times New Roman" w:hAnsi="Times New Roman" w:cs="Times New Roman"/>
          <w:sz w:val="28"/>
          <w:szCs w:val="28"/>
          <w:lang w:val="uk-UA"/>
        </w:rPr>
        <w:t xml:space="preserve">) досить часто під час оцінки інвестиційної привабливості соціально-економічних систем використовують </w:t>
      </w:r>
      <w:r w:rsidR="001C7CD9" w:rsidRPr="00A41B49">
        <w:rPr>
          <w:rFonts w:ascii="Times New Roman" w:hAnsi="Times New Roman" w:cs="Times New Roman"/>
          <w:sz w:val="28"/>
          <w:szCs w:val="28"/>
          <w:lang w:val="uk-UA"/>
        </w:rPr>
        <w:t>рівневий підхід.</w:t>
      </w:r>
    </w:p>
    <w:p w14:paraId="50ADE5D8" w14:textId="77777777" w:rsidR="004E64BB" w:rsidRPr="00A41B49" w:rsidRDefault="001C7CD9" w:rsidP="00AD0CF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Беручи до уваги все зазначене вище, а також обмежений обсяг</w:t>
      </w:r>
      <w:r w:rsidR="004C23E7" w:rsidRPr="00A41B49">
        <w:rPr>
          <w:rFonts w:ascii="Times New Roman" w:hAnsi="Times New Roman" w:cs="Times New Roman"/>
          <w:sz w:val="28"/>
          <w:szCs w:val="28"/>
          <w:lang w:val="uk-UA"/>
        </w:rPr>
        <w:t xml:space="preserve"> інформації </w:t>
      </w:r>
      <w:r w:rsidRPr="00A41B49">
        <w:rPr>
          <w:rFonts w:ascii="Times New Roman" w:hAnsi="Times New Roman" w:cs="Times New Roman"/>
          <w:sz w:val="28"/>
          <w:szCs w:val="28"/>
          <w:lang w:val="uk-UA"/>
        </w:rPr>
        <w:t>про місто Кривий Ріг, що підлягає оц</w:t>
      </w:r>
      <w:r w:rsidR="005D0F95" w:rsidRPr="00A41B49">
        <w:rPr>
          <w:rFonts w:ascii="Times New Roman" w:hAnsi="Times New Roman" w:cs="Times New Roman"/>
          <w:sz w:val="28"/>
          <w:szCs w:val="28"/>
          <w:lang w:val="uk-UA"/>
        </w:rPr>
        <w:t xml:space="preserve">інці </w:t>
      </w:r>
      <w:r w:rsidR="004C23E7" w:rsidRPr="00A41B49">
        <w:rPr>
          <w:rFonts w:ascii="Times New Roman" w:hAnsi="Times New Roman" w:cs="Times New Roman"/>
          <w:sz w:val="28"/>
          <w:szCs w:val="28"/>
          <w:lang w:val="uk-UA"/>
        </w:rPr>
        <w:t xml:space="preserve">під час аналізу </w:t>
      </w:r>
      <w:r w:rsidR="00C74E5E" w:rsidRPr="00A41B49">
        <w:rPr>
          <w:rFonts w:ascii="Times New Roman" w:hAnsi="Times New Roman" w:cs="Times New Roman"/>
          <w:sz w:val="28"/>
          <w:szCs w:val="28"/>
          <w:lang w:val="uk-UA"/>
        </w:rPr>
        <w:t>інвестиційної</w:t>
      </w:r>
      <w:r w:rsidR="005D0F95" w:rsidRPr="00A41B49">
        <w:rPr>
          <w:rFonts w:ascii="Times New Roman" w:hAnsi="Times New Roman" w:cs="Times New Roman"/>
          <w:sz w:val="28"/>
          <w:szCs w:val="28"/>
          <w:lang w:val="uk-UA"/>
        </w:rPr>
        <w:t xml:space="preserve"> привабливості, </w:t>
      </w:r>
      <w:r w:rsidR="004E64BB" w:rsidRPr="00A41B49">
        <w:rPr>
          <w:rFonts w:ascii="Times New Roman" w:hAnsi="Times New Roman" w:cs="Times New Roman"/>
          <w:sz w:val="28"/>
          <w:szCs w:val="28"/>
          <w:lang w:val="uk-UA"/>
        </w:rPr>
        <w:t xml:space="preserve">доступна в умовах військового стану, </w:t>
      </w:r>
      <w:r w:rsidR="005D0F95" w:rsidRPr="00A41B49">
        <w:rPr>
          <w:rFonts w:ascii="Times New Roman" w:hAnsi="Times New Roman" w:cs="Times New Roman"/>
          <w:sz w:val="28"/>
          <w:szCs w:val="28"/>
          <w:lang w:val="uk-UA"/>
        </w:rPr>
        <w:t xml:space="preserve">у кваліфікаційній роботі буде використовуватися </w:t>
      </w:r>
      <w:r w:rsidR="004E64BB" w:rsidRPr="00A41B49">
        <w:rPr>
          <w:rFonts w:ascii="Times New Roman" w:hAnsi="Times New Roman" w:cs="Times New Roman"/>
          <w:sz w:val="28"/>
          <w:szCs w:val="28"/>
          <w:lang w:val="uk-UA"/>
        </w:rPr>
        <w:t xml:space="preserve">авторський метод оцінки </w:t>
      </w:r>
      <w:r w:rsidR="001146DD" w:rsidRPr="00A41B49">
        <w:rPr>
          <w:rFonts w:ascii="Times New Roman" w:hAnsi="Times New Roman" w:cs="Times New Roman"/>
          <w:sz w:val="28"/>
          <w:szCs w:val="28"/>
          <w:lang w:val="uk-UA"/>
        </w:rPr>
        <w:t>інвестиційної</w:t>
      </w:r>
      <w:r w:rsidR="004E64BB" w:rsidRPr="00A41B49">
        <w:rPr>
          <w:rFonts w:ascii="Times New Roman" w:hAnsi="Times New Roman" w:cs="Times New Roman"/>
          <w:sz w:val="28"/>
          <w:szCs w:val="28"/>
          <w:lang w:val="uk-UA"/>
        </w:rPr>
        <w:t xml:space="preserve"> приваблив</w:t>
      </w:r>
      <w:r w:rsidR="001146DD" w:rsidRPr="00A41B49">
        <w:rPr>
          <w:rFonts w:ascii="Times New Roman" w:hAnsi="Times New Roman" w:cs="Times New Roman"/>
          <w:sz w:val="28"/>
          <w:szCs w:val="28"/>
          <w:lang w:val="uk-UA"/>
        </w:rPr>
        <w:t>ості міста, що базується на рівнев</w:t>
      </w:r>
      <w:r w:rsidR="00EC0381" w:rsidRPr="00A41B49">
        <w:rPr>
          <w:rFonts w:ascii="Times New Roman" w:hAnsi="Times New Roman" w:cs="Times New Roman"/>
          <w:sz w:val="28"/>
          <w:szCs w:val="28"/>
          <w:lang w:val="uk-UA"/>
        </w:rPr>
        <w:t xml:space="preserve">ому підході, передбачає поєднання методу оцінки інвестиційної привабливості міста на основі динамічного аналізу фактичних обсягів залучених інвестицій </w:t>
      </w:r>
      <w:r w:rsidR="004F210E" w:rsidRPr="00A41B49">
        <w:rPr>
          <w:rFonts w:ascii="Times New Roman" w:hAnsi="Times New Roman" w:cs="Times New Roman"/>
          <w:sz w:val="28"/>
          <w:szCs w:val="28"/>
          <w:lang w:val="uk-UA"/>
        </w:rPr>
        <w:t xml:space="preserve">з-за кордону (ПІІ) </w:t>
      </w:r>
      <w:r w:rsidR="00EC0381" w:rsidRPr="00A41B49">
        <w:rPr>
          <w:rFonts w:ascii="Times New Roman" w:hAnsi="Times New Roman" w:cs="Times New Roman"/>
          <w:sz w:val="28"/>
          <w:szCs w:val="28"/>
          <w:lang w:val="uk-UA"/>
        </w:rPr>
        <w:t xml:space="preserve">та </w:t>
      </w:r>
      <w:r w:rsidR="004C23E7" w:rsidRPr="00A41B49">
        <w:rPr>
          <w:rFonts w:ascii="Times New Roman" w:hAnsi="Times New Roman" w:cs="Times New Roman"/>
          <w:sz w:val="28"/>
          <w:szCs w:val="28"/>
          <w:lang w:val="uk-UA"/>
        </w:rPr>
        <w:t xml:space="preserve">методу оцінки інвестиційної привабливості на основі інтегральних показників інвестиційної привабливості. </w:t>
      </w:r>
    </w:p>
    <w:p w14:paraId="3A57656A" w14:textId="77777777" w:rsidR="004C23E7" w:rsidRPr="00A41B49" w:rsidRDefault="00D71054" w:rsidP="00AD0CF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Методичний підхід, що </w:t>
      </w:r>
      <w:r w:rsidR="00D51FE9" w:rsidRPr="00A41B49">
        <w:rPr>
          <w:rFonts w:ascii="Times New Roman" w:hAnsi="Times New Roman" w:cs="Times New Roman"/>
          <w:sz w:val="28"/>
          <w:szCs w:val="28"/>
          <w:lang w:val="uk-UA"/>
        </w:rPr>
        <w:t>пропонується, передбачає реалізацію наступного дослідницького алгоритму:</w:t>
      </w:r>
    </w:p>
    <w:p w14:paraId="45DA5419" w14:textId="77777777" w:rsidR="00D51FE9" w:rsidRPr="00A41B49" w:rsidRDefault="00C74375" w:rsidP="0047383D">
      <w:pPr>
        <w:pStyle w:val="a6"/>
        <w:numPr>
          <w:ilvl w:val="0"/>
          <w:numId w:val="7"/>
        </w:numPr>
        <w:tabs>
          <w:tab w:val="left" w:pos="1134"/>
        </w:tabs>
        <w:spacing w:after="0" w:line="240" w:lineRule="auto"/>
        <w:ind w:left="0"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lastRenderedPageBreak/>
        <w:t>Компаративний а</w:t>
      </w:r>
      <w:r w:rsidR="00D51FE9" w:rsidRPr="00A41B49">
        <w:rPr>
          <w:rFonts w:ascii="Times New Roman" w:hAnsi="Times New Roman" w:cs="Times New Roman"/>
          <w:sz w:val="28"/>
          <w:szCs w:val="28"/>
          <w:lang w:val="uk-UA"/>
        </w:rPr>
        <w:t>наліз інвестиційної привабливості регіонів України</w:t>
      </w:r>
      <w:r w:rsidR="00C130B2" w:rsidRPr="00A41B49">
        <w:rPr>
          <w:rFonts w:ascii="Times New Roman" w:hAnsi="Times New Roman" w:cs="Times New Roman"/>
          <w:sz w:val="28"/>
          <w:szCs w:val="28"/>
          <w:lang w:val="uk-UA"/>
        </w:rPr>
        <w:t>, що дозволить визначитися із порівняльним рівнем інвестиційної привабливості областей України, диференціювати їх за рівнем інвестиційної привабливості, визначитися із рівнем інвестиційної привабливості області, що складу якої належить м. Кривий Ріг.</w:t>
      </w:r>
    </w:p>
    <w:p w14:paraId="63D90C96" w14:textId="77777777" w:rsidR="00C130B2" w:rsidRPr="00A41B49" w:rsidRDefault="00560B50" w:rsidP="0047383D">
      <w:pPr>
        <w:pStyle w:val="a6"/>
        <w:numPr>
          <w:ilvl w:val="0"/>
          <w:numId w:val="7"/>
        </w:numPr>
        <w:tabs>
          <w:tab w:val="left" w:pos="1134"/>
        </w:tabs>
        <w:spacing w:after="0" w:line="240" w:lineRule="auto"/>
        <w:ind w:left="0"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Аналіз інвестиційної привабливості Дніпропетровської області та факторів, що її визначають, що дозволить визначити домінантні детермінанти інвестиційної привабливості зазначеної області, визначити </w:t>
      </w:r>
      <w:r w:rsidR="00FA7050" w:rsidRPr="00A41B49">
        <w:rPr>
          <w:rFonts w:ascii="Times New Roman" w:hAnsi="Times New Roman" w:cs="Times New Roman"/>
          <w:sz w:val="28"/>
          <w:szCs w:val="28"/>
          <w:lang w:val="uk-UA"/>
        </w:rPr>
        <w:t>місце та роль у забезпеченні інвестиційної привабливості області м. Кривий Ріг.</w:t>
      </w:r>
    </w:p>
    <w:p w14:paraId="18C4B79A" w14:textId="77777777" w:rsidR="007E56EE" w:rsidRPr="00A41B49" w:rsidRDefault="00FA7050" w:rsidP="0047383D">
      <w:pPr>
        <w:pStyle w:val="a6"/>
        <w:numPr>
          <w:ilvl w:val="0"/>
          <w:numId w:val="7"/>
        </w:numPr>
        <w:tabs>
          <w:tab w:val="left" w:pos="1134"/>
        </w:tabs>
        <w:spacing w:after="0" w:line="240" w:lineRule="auto"/>
        <w:ind w:left="0"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Аналіз інвестиційної привабливості м. Кривий Ріг, що дозволить визначитися із рівнем, основними факторами, що обумовлюють рівень інвестиційної привабливості міста, визначити основні проблеми забезпечення та підвищення </w:t>
      </w:r>
      <w:r w:rsidR="007E56EE" w:rsidRPr="00A41B49">
        <w:rPr>
          <w:rFonts w:ascii="Times New Roman" w:hAnsi="Times New Roman" w:cs="Times New Roman"/>
          <w:sz w:val="28"/>
          <w:szCs w:val="28"/>
          <w:lang w:val="uk-UA"/>
        </w:rPr>
        <w:t>інвестиційної привабливості міста, і, як результат, напрями вирішення зазначених вище проблем.</w:t>
      </w:r>
    </w:p>
    <w:p w14:paraId="4DC45201" w14:textId="77777777" w:rsidR="007E56EE" w:rsidRPr="00A41B49" w:rsidRDefault="007E56EE" w:rsidP="0047383D">
      <w:pPr>
        <w:pStyle w:val="a6"/>
        <w:tabs>
          <w:tab w:val="left" w:pos="1134"/>
        </w:tabs>
        <w:spacing w:after="0" w:line="240" w:lineRule="auto"/>
        <w:ind w:left="0"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Реалізація зазначеного дослідницького алгоритму дозволить не тільки отримати інформацію про стан та динаміку </w:t>
      </w:r>
      <w:r w:rsidR="00C74375" w:rsidRPr="00A41B49">
        <w:rPr>
          <w:rFonts w:ascii="Times New Roman" w:hAnsi="Times New Roman" w:cs="Times New Roman"/>
          <w:sz w:val="28"/>
          <w:szCs w:val="28"/>
          <w:lang w:val="uk-UA"/>
        </w:rPr>
        <w:t>інвестиційної</w:t>
      </w:r>
      <w:r w:rsidRPr="00A41B49">
        <w:rPr>
          <w:rFonts w:ascii="Times New Roman" w:hAnsi="Times New Roman" w:cs="Times New Roman"/>
          <w:sz w:val="28"/>
          <w:szCs w:val="28"/>
          <w:lang w:val="uk-UA"/>
        </w:rPr>
        <w:t xml:space="preserve"> привабливості міста Кривий Ріг, але </w:t>
      </w:r>
      <w:r w:rsidR="00C74375" w:rsidRPr="00A41B49">
        <w:rPr>
          <w:rFonts w:ascii="Times New Roman" w:hAnsi="Times New Roman" w:cs="Times New Roman"/>
          <w:sz w:val="28"/>
          <w:szCs w:val="28"/>
          <w:lang w:val="uk-UA"/>
        </w:rPr>
        <w:t xml:space="preserve">й </w:t>
      </w:r>
      <w:r w:rsidRPr="00A41B49">
        <w:rPr>
          <w:rFonts w:ascii="Times New Roman" w:hAnsi="Times New Roman" w:cs="Times New Roman"/>
          <w:sz w:val="28"/>
          <w:szCs w:val="28"/>
          <w:lang w:val="uk-UA"/>
        </w:rPr>
        <w:t xml:space="preserve">визначитися із напрямами еволюційних змін рівня </w:t>
      </w:r>
      <w:r w:rsidR="00C74375" w:rsidRPr="00A41B49">
        <w:rPr>
          <w:rFonts w:ascii="Times New Roman" w:hAnsi="Times New Roman" w:cs="Times New Roman"/>
          <w:sz w:val="28"/>
          <w:szCs w:val="28"/>
          <w:lang w:val="uk-UA"/>
        </w:rPr>
        <w:t>інвестиційної</w:t>
      </w:r>
      <w:r w:rsidRPr="00A41B49">
        <w:rPr>
          <w:rFonts w:ascii="Times New Roman" w:hAnsi="Times New Roman" w:cs="Times New Roman"/>
          <w:sz w:val="28"/>
          <w:szCs w:val="28"/>
          <w:lang w:val="uk-UA"/>
        </w:rPr>
        <w:t xml:space="preserve"> привабливості міста, беручи до уваги динаміку </w:t>
      </w:r>
      <w:r w:rsidR="00C74375" w:rsidRPr="00A41B49">
        <w:rPr>
          <w:rFonts w:ascii="Times New Roman" w:hAnsi="Times New Roman" w:cs="Times New Roman"/>
          <w:sz w:val="28"/>
          <w:szCs w:val="28"/>
          <w:lang w:val="uk-UA"/>
        </w:rPr>
        <w:t>інвестиційної</w:t>
      </w:r>
      <w:r w:rsidRPr="00A41B49">
        <w:rPr>
          <w:rFonts w:ascii="Times New Roman" w:hAnsi="Times New Roman" w:cs="Times New Roman"/>
          <w:sz w:val="28"/>
          <w:szCs w:val="28"/>
          <w:lang w:val="uk-UA"/>
        </w:rPr>
        <w:t xml:space="preserve"> привабливості регіону та країни в цілому, визначитися із переліком країн та регіонів (областей</w:t>
      </w:r>
      <w:r w:rsidR="00C74375" w:rsidRPr="00A41B49">
        <w:rPr>
          <w:rFonts w:ascii="Times New Roman" w:hAnsi="Times New Roman" w:cs="Times New Roman"/>
          <w:sz w:val="28"/>
          <w:szCs w:val="28"/>
          <w:lang w:val="uk-UA"/>
        </w:rPr>
        <w:t>)</w:t>
      </w:r>
      <w:r w:rsidRPr="00A41B49">
        <w:rPr>
          <w:rFonts w:ascii="Times New Roman" w:hAnsi="Times New Roman" w:cs="Times New Roman"/>
          <w:sz w:val="28"/>
          <w:szCs w:val="28"/>
          <w:lang w:val="uk-UA"/>
        </w:rPr>
        <w:t>, досвід забезпечення та підвищення інвестиційної привабливості яких був би цінним у розбудові концепту забезпечення</w:t>
      </w:r>
      <w:r w:rsidR="00CF305F" w:rsidRPr="00A41B49">
        <w:rPr>
          <w:rFonts w:ascii="Times New Roman" w:hAnsi="Times New Roman" w:cs="Times New Roman"/>
          <w:sz w:val="28"/>
          <w:szCs w:val="28"/>
          <w:lang w:val="uk-UA"/>
        </w:rPr>
        <w:t xml:space="preserve"> інвестиційної привабливості м. </w:t>
      </w:r>
      <w:r w:rsidR="00C74375" w:rsidRPr="00A41B49">
        <w:rPr>
          <w:rFonts w:ascii="Times New Roman" w:hAnsi="Times New Roman" w:cs="Times New Roman"/>
          <w:sz w:val="28"/>
          <w:szCs w:val="28"/>
          <w:lang w:val="uk-UA"/>
        </w:rPr>
        <w:t>Кривий Ріг.</w:t>
      </w:r>
    </w:p>
    <w:p w14:paraId="7F8AE001" w14:textId="77777777" w:rsidR="004E64BB" w:rsidRPr="00A41B49" w:rsidRDefault="004E64BB" w:rsidP="00AD0CF8">
      <w:pPr>
        <w:spacing w:after="0" w:line="240" w:lineRule="auto"/>
        <w:ind w:firstLine="709"/>
        <w:jc w:val="both"/>
        <w:rPr>
          <w:rFonts w:ascii="Times New Roman" w:hAnsi="Times New Roman" w:cs="Times New Roman"/>
          <w:sz w:val="28"/>
          <w:szCs w:val="28"/>
          <w:lang w:val="uk-UA"/>
        </w:rPr>
      </w:pPr>
    </w:p>
    <w:p w14:paraId="0DC078EF" w14:textId="77777777" w:rsidR="004E64BB" w:rsidRPr="00A41B49" w:rsidRDefault="004E64BB" w:rsidP="00AD0CF8">
      <w:pPr>
        <w:spacing w:after="0" w:line="240" w:lineRule="auto"/>
        <w:ind w:firstLine="709"/>
        <w:jc w:val="both"/>
        <w:rPr>
          <w:rFonts w:ascii="Times New Roman" w:hAnsi="Times New Roman" w:cs="Times New Roman"/>
          <w:sz w:val="28"/>
          <w:szCs w:val="28"/>
          <w:lang w:val="uk-UA"/>
        </w:rPr>
      </w:pPr>
    </w:p>
    <w:p w14:paraId="2BEC11F6" w14:textId="77777777" w:rsidR="004F7C70" w:rsidRPr="00A41B49" w:rsidRDefault="004F7C70" w:rsidP="00AD0CF8">
      <w:pPr>
        <w:spacing w:after="0" w:line="240" w:lineRule="auto"/>
        <w:ind w:firstLine="709"/>
        <w:rPr>
          <w:rFonts w:ascii="Times New Roman" w:hAnsi="Times New Roman" w:cs="Times New Roman"/>
          <w:sz w:val="28"/>
          <w:szCs w:val="28"/>
          <w:lang w:val="uk-UA"/>
        </w:rPr>
      </w:pPr>
      <w:r w:rsidRPr="00A41B49">
        <w:rPr>
          <w:rFonts w:ascii="Times New Roman" w:hAnsi="Times New Roman" w:cs="Times New Roman"/>
          <w:sz w:val="28"/>
          <w:szCs w:val="28"/>
          <w:lang w:val="uk-UA"/>
        </w:rPr>
        <w:br w:type="page"/>
      </w:r>
    </w:p>
    <w:p w14:paraId="1A79D97E" w14:textId="77777777" w:rsidR="0082086F" w:rsidRPr="00A41B49" w:rsidRDefault="00CF77CC" w:rsidP="0082086F">
      <w:pPr>
        <w:shd w:val="clear" w:color="auto" w:fill="FFFFFF"/>
        <w:spacing w:after="0" w:line="240" w:lineRule="auto"/>
        <w:jc w:val="center"/>
        <w:rPr>
          <w:rFonts w:ascii="Times New Roman" w:eastAsia="Calibri" w:hAnsi="Times New Roman" w:cs="Times New Roman"/>
          <w:b/>
          <w:sz w:val="28"/>
          <w:szCs w:val="28"/>
          <w:lang w:val="uk-UA"/>
        </w:rPr>
      </w:pPr>
      <w:r w:rsidRPr="00A41B49">
        <w:rPr>
          <w:rFonts w:ascii="Times New Roman" w:eastAsia="Calibri" w:hAnsi="Times New Roman" w:cs="Times New Roman"/>
          <w:b/>
          <w:sz w:val="28"/>
          <w:szCs w:val="28"/>
          <w:lang w:val="uk-UA"/>
        </w:rPr>
        <w:lastRenderedPageBreak/>
        <w:t>РОЗДІЛ 3</w:t>
      </w:r>
    </w:p>
    <w:p w14:paraId="4F99896B" w14:textId="77777777" w:rsidR="0082086F" w:rsidRPr="00A41B49" w:rsidRDefault="0082086F" w:rsidP="0082086F">
      <w:pPr>
        <w:shd w:val="clear" w:color="auto" w:fill="FFFFFF"/>
        <w:spacing w:after="0" w:line="240" w:lineRule="auto"/>
        <w:jc w:val="center"/>
        <w:rPr>
          <w:rFonts w:ascii="Times New Roman" w:eastAsia="Calibri" w:hAnsi="Times New Roman" w:cs="Times New Roman"/>
          <w:b/>
          <w:sz w:val="28"/>
          <w:szCs w:val="28"/>
          <w:lang w:val="uk-UA"/>
        </w:rPr>
      </w:pPr>
      <w:r w:rsidRPr="00A41B49">
        <w:rPr>
          <w:rFonts w:ascii="Times New Roman" w:eastAsia="Calibri" w:hAnsi="Times New Roman" w:cs="Times New Roman"/>
          <w:b/>
          <w:sz w:val="28"/>
          <w:szCs w:val="28"/>
          <w:lang w:val="uk-UA"/>
        </w:rPr>
        <w:t>ДІАГНОСТИКА ІНВЕСТИЦІЙНОЇ ПРИВАБЛИВОСТІ РЕГІОНІВ УКРАЇНИ ТА М. КРИВИЙ РІГ</w:t>
      </w:r>
    </w:p>
    <w:p w14:paraId="5039B51F" w14:textId="77777777" w:rsidR="0082086F" w:rsidRPr="00A41B49" w:rsidRDefault="0082086F" w:rsidP="0082086F">
      <w:pPr>
        <w:shd w:val="clear" w:color="auto" w:fill="FFFFFF"/>
        <w:spacing w:after="0" w:line="240" w:lineRule="auto"/>
        <w:jc w:val="center"/>
        <w:rPr>
          <w:rFonts w:ascii="Times New Roman" w:eastAsia="Calibri" w:hAnsi="Times New Roman" w:cs="Times New Roman"/>
          <w:b/>
          <w:sz w:val="28"/>
          <w:szCs w:val="28"/>
          <w:lang w:val="uk-UA"/>
        </w:rPr>
      </w:pPr>
    </w:p>
    <w:p w14:paraId="50E64BA4" w14:textId="77777777" w:rsidR="00290771" w:rsidRPr="00A41B49" w:rsidRDefault="00290771" w:rsidP="00E33527">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Станом на 2022 рік обсяги ПІІ в економіку України</w:t>
      </w:r>
      <w:r w:rsidR="00174FF3" w:rsidRPr="00A41B49">
        <w:rPr>
          <w:rFonts w:ascii="Times New Roman" w:hAnsi="Times New Roman" w:cs="Times New Roman"/>
          <w:sz w:val="28"/>
          <w:szCs w:val="28"/>
          <w:lang w:val="uk-UA"/>
        </w:rPr>
        <w:t xml:space="preserve">, як свідчать бані Національного банку України [18], </w:t>
      </w:r>
      <w:r w:rsidRPr="00A41B49">
        <w:rPr>
          <w:rFonts w:ascii="Times New Roman" w:hAnsi="Times New Roman" w:cs="Times New Roman"/>
          <w:sz w:val="28"/>
          <w:szCs w:val="28"/>
          <w:lang w:val="uk-UA"/>
        </w:rPr>
        <w:t xml:space="preserve"> становлять 50986,7 млн дол.</w:t>
      </w:r>
      <w:r w:rsidR="00174FF3" w:rsidRPr="00A41B49">
        <w:rPr>
          <w:rFonts w:ascii="Times New Roman" w:hAnsi="Times New Roman" w:cs="Times New Roman"/>
          <w:sz w:val="28"/>
          <w:szCs w:val="28"/>
          <w:lang w:val="uk-UA"/>
        </w:rPr>
        <w:t xml:space="preserve"> Серед регіонів України найбільшим рівнем інвестиційної привабливості, а отже </w:t>
      </w:r>
      <w:r w:rsidR="00207081" w:rsidRPr="00A41B49">
        <w:rPr>
          <w:rFonts w:ascii="Times New Roman" w:hAnsi="Times New Roman" w:cs="Times New Roman"/>
          <w:sz w:val="28"/>
          <w:szCs w:val="28"/>
          <w:lang w:val="uk-UA"/>
        </w:rPr>
        <w:t>найвищими</w:t>
      </w:r>
      <w:r w:rsidR="00174FF3" w:rsidRPr="00A41B49">
        <w:rPr>
          <w:rFonts w:ascii="Times New Roman" w:hAnsi="Times New Roman" w:cs="Times New Roman"/>
          <w:sz w:val="28"/>
          <w:szCs w:val="28"/>
          <w:lang w:val="uk-UA"/>
        </w:rPr>
        <w:t xml:space="preserve"> обсягами залучених прямих іноземних інвестицій характеризуються </w:t>
      </w:r>
      <w:r w:rsidR="00524A91" w:rsidRPr="00A41B49">
        <w:rPr>
          <w:rFonts w:ascii="Times New Roman" w:hAnsi="Times New Roman" w:cs="Times New Roman"/>
          <w:sz w:val="28"/>
          <w:szCs w:val="28"/>
          <w:lang w:val="uk-UA"/>
        </w:rPr>
        <w:t>Дніпропетровська область</w:t>
      </w:r>
      <w:r w:rsidR="00C06DC8" w:rsidRPr="00A41B49">
        <w:rPr>
          <w:rFonts w:ascii="Times New Roman" w:hAnsi="Times New Roman" w:cs="Times New Roman"/>
          <w:sz w:val="28"/>
          <w:szCs w:val="28"/>
          <w:lang w:val="uk-UA"/>
        </w:rPr>
        <w:t xml:space="preserve"> </w:t>
      </w:r>
      <w:r w:rsidR="00524A91" w:rsidRPr="00A41B49">
        <w:rPr>
          <w:rFonts w:ascii="Times New Roman" w:hAnsi="Times New Roman" w:cs="Times New Roman"/>
          <w:sz w:val="28"/>
          <w:szCs w:val="28"/>
          <w:lang w:val="uk-UA"/>
        </w:rPr>
        <w:t>– 7655,4 млн дол (15% від загального обсягу ПІІ в Україну</w:t>
      </w:r>
      <w:r w:rsidR="00C06DC8" w:rsidRPr="00A41B49">
        <w:rPr>
          <w:rFonts w:ascii="Times New Roman" w:hAnsi="Times New Roman" w:cs="Times New Roman"/>
          <w:sz w:val="28"/>
          <w:szCs w:val="28"/>
          <w:lang w:val="uk-UA"/>
        </w:rPr>
        <w:t>);</w:t>
      </w:r>
      <w:r w:rsidR="00524A91" w:rsidRPr="00A41B49">
        <w:rPr>
          <w:rFonts w:ascii="Times New Roman" w:hAnsi="Times New Roman" w:cs="Times New Roman"/>
          <w:sz w:val="28"/>
          <w:szCs w:val="28"/>
          <w:lang w:val="uk-UA"/>
        </w:rPr>
        <w:t xml:space="preserve"> Івано-</w:t>
      </w:r>
      <w:r w:rsidR="00FD595E" w:rsidRPr="00A41B49">
        <w:rPr>
          <w:rFonts w:ascii="Times New Roman" w:hAnsi="Times New Roman" w:cs="Times New Roman"/>
          <w:sz w:val="28"/>
          <w:szCs w:val="28"/>
          <w:lang w:val="uk-UA"/>
        </w:rPr>
        <w:t>Франківська</w:t>
      </w:r>
      <w:r w:rsidR="00524A91" w:rsidRPr="00A41B49">
        <w:rPr>
          <w:rFonts w:ascii="Times New Roman" w:hAnsi="Times New Roman" w:cs="Times New Roman"/>
          <w:sz w:val="28"/>
          <w:szCs w:val="28"/>
          <w:lang w:val="uk-UA"/>
        </w:rPr>
        <w:t xml:space="preserve"> область – 1321,3 млн дол (</w:t>
      </w:r>
      <w:r w:rsidR="005D3096" w:rsidRPr="00A41B49">
        <w:rPr>
          <w:rFonts w:ascii="Times New Roman" w:hAnsi="Times New Roman" w:cs="Times New Roman"/>
          <w:sz w:val="28"/>
          <w:szCs w:val="28"/>
          <w:lang w:val="uk-UA"/>
        </w:rPr>
        <w:t>2,6%)</w:t>
      </w:r>
      <w:r w:rsidR="00C06DC8" w:rsidRPr="00A41B49">
        <w:rPr>
          <w:rFonts w:ascii="Times New Roman" w:hAnsi="Times New Roman" w:cs="Times New Roman"/>
          <w:sz w:val="28"/>
          <w:szCs w:val="28"/>
          <w:lang w:val="uk-UA"/>
        </w:rPr>
        <w:t>;</w:t>
      </w:r>
      <w:r w:rsidR="005D3096" w:rsidRPr="00A41B49">
        <w:rPr>
          <w:rFonts w:ascii="Times New Roman" w:hAnsi="Times New Roman" w:cs="Times New Roman"/>
          <w:sz w:val="28"/>
          <w:szCs w:val="28"/>
          <w:lang w:val="uk-UA"/>
        </w:rPr>
        <w:t xml:space="preserve"> Київська область – 2282,6 млн дол (4,5%)</w:t>
      </w:r>
      <w:r w:rsidR="00C06DC8" w:rsidRPr="00A41B49">
        <w:rPr>
          <w:rFonts w:ascii="Times New Roman" w:hAnsi="Times New Roman" w:cs="Times New Roman"/>
          <w:sz w:val="28"/>
          <w:szCs w:val="28"/>
          <w:lang w:val="uk-UA"/>
        </w:rPr>
        <w:t>;</w:t>
      </w:r>
      <w:r w:rsidR="005D3096" w:rsidRPr="00A41B49">
        <w:rPr>
          <w:rFonts w:ascii="Times New Roman" w:hAnsi="Times New Roman" w:cs="Times New Roman"/>
          <w:sz w:val="28"/>
          <w:szCs w:val="28"/>
          <w:lang w:val="uk-UA"/>
        </w:rPr>
        <w:t xml:space="preserve"> </w:t>
      </w:r>
      <w:r w:rsidR="00207081" w:rsidRPr="00A41B49">
        <w:rPr>
          <w:rFonts w:ascii="Times New Roman" w:hAnsi="Times New Roman" w:cs="Times New Roman"/>
          <w:sz w:val="28"/>
          <w:szCs w:val="28"/>
          <w:lang w:val="uk-UA"/>
        </w:rPr>
        <w:t>Львівська область – 2194,5 млн дол (4,3%)</w:t>
      </w:r>
      <w:r w:rsidR="00C06DC8" w:rsidRPr="00A41B49">
        <w:rPr>
          <w:rFonts w:ascii="Times New Roman" w:hAnsi="Times New Roman" w:cs="Times New Roman"/>
          <w:sz w:val="28"/>
          <w:szCs w:val="28"/>
          <w:lang w:val="uk-UA"/>
        </w:rPr>
        <w:t>;</w:t>
      </w:r>
      <w:r w:rsidR="00207081" w:rsidRPr="00A41B49">
        <w:rPr>
          <w:rFonts w:ascii="Times New Roman" w:hAnsi="Times New Roman" w:cs="Times New Roman"/>
          <w:sz w:val="28"/>
          <w:szCs w:val="28"/>
          <w:lang w:val="uk-UA"/>
        </w:rPr>
        <w:t xml:space="preserve"> м. Київ – 19322,5 млн дол (37,9%).</w:t>
      </w:r>
    </w:p>
    <w:p w14:paraId="2DF0A334" w14:textId="77777777" w:rsidR="00753626" w:rsidRPr="00A41B49" w:rsidRDefault="00E343F2" w:rsidP="00E33527">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У 2020-2022 рр. обсяги ПІІ в економіку України зменшилися на 1104,4 млн дол, що було обумовлено погіршенням інвестиційного клімату та зниженням інвестиційної привабливості </w:t>
      </w:r>
      <w:r w:rsidR="00C06DC8" w:rsidRPr="00A41B49">
        <w:rPr>
          <w:rFonts w:ascii="Times New Roman" w:hAnsi="Times New Roman" w:cs="Times New Roman"/>
          <w:sz w:val="28"/>
          <w:szCs w:val="28"/>
          <w:lang w:val="uk-UA"/>
        </w:rPr>
        <w:t xml:space="preserve">як </w:t>
      </w:r>
      <w:r w:rsidRPr="00A41B49">
        <w:rPr>
          <w:rFonts w:ascii="Times New Roman" w:hAnsi="Times New Roman" w:cs="Times New Roman"/>
          <w:sz w:val="28"/>
          <w:szCs w:val="28"/>
          <w:lang w:val="uk-UA"/>
        </w:rPr>
        <w:t>країни</w:t>
      </w:r>
      <w:r w:rsidR="00C06DC8" w:rsidRPr="00A41B49">
        <w:rPr>
          <w:rFonts w:ascii="Times New Roman" w:hAnsi="Times New Roman" w:cs="Times New Roman"/>
          <w:sz w:val="28"/>
          <w:szCs w:val="28"/>
          <w:lang w:val="uk-UA"/>
        </w:rPr>
        <w:t xml:space="preserve"> в цілому, так і її регіонів</w:t>
      </w:r>
      <w:r w:rsidRPr="00A41B49">
        <w:rPr>
          <w:rFonts w:ascii="Times New Roman" w:hAnsi="Times New Roman" w:cs="Times New Roman"/>
          <w:sz w:val="28"/>
          <w:szCs w:val="28"/>
          <w:lang w:val="uk-UA"/>
        </w:rPr>
        <w:t xml:space="preserve"> внаслідок повномасштабного вторгнення росії в Україну.</w:t>
      </w:r>
      <w:r w:rsidR="00C06DC8" w:rsidRPr="00A41B49">
        <w:rPr>
          <w:rFonts w:ascii="Times New Roman" w:hAnsi="Times New Roman" w:cs="Times New Roman"/>
          <w:sz w:val="28"/>
          <w:szCs w:val="28"/>
          <w:lang w:val="uk-UA"/>
        </w:rPr>
        <w:t xml:space="preserve"> </w:t>
      </w:r>
    </w:p>
    <w:p w14:paraId="03B1C674" w14:textId="77777777" w:rsidR="00161629" w:rsidRPr="00A41B49" w:rsidRDefault="00C06DC8" w:rsidP="00E33527">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Найбільше </w:t>
      </w:r>
      <w:r w:rsidR="00D1327A" w:rsidRPr="00A41B49">
        <w:rPr>
          <w:rFonts w:ascii="Times New Roman" w:hAnsi="Times New Roman" w:cs="Times New Roman"/>
          <w:sz w:val="28"/>
          <w:szCs w:val="28"/>
          <w:lang w:val="uk-UA"/>
        </w:rPr>
        <w:t>негативний вплив на інвестиційну привабливість від вторгнення росії, що знайшло відображення в обсягах залучених ПІІ</w:t>
      </w:r>
      <w:r w:rsidR="00C96645" w:rsidRPr="00A41B49">
        <w:rPr>
          <w:rFonts w:ascii="Times New Roman" w:hAnsi="Times New Roman" w:cs="Times New Roman"/>
          <w:sz w:val="28"/>
          <w:szCs w:val="28"/>
          <w:lang w:val="uk-UA"/>
        </w:rPr>
        <w:t xml:space="preserve"> (вони зменшилися)</w:t>
      </w:r>
      <w:r w:rsidR="00D1327A" w:rsidRPr="00A41B49">
        <w:rPr>
          <w:rFonts w:ascii="Times New Roman" w:hAnsi="Times New Roman" w:cs="Times New Roman"/>
          <w:sz w:val="28"/>
          <w:szCs w:val="28"/>
          <w:lang w:val="uk-UA"/>
        </w:rPr>
        <w:t xml:space="preserve">, на собі відчули наступні регіони України: </w:t>
      </w:r>
      <w:r w:rsidR="00C96645" w:rsidRPr="00A41B49">
        <w:rPr>
          <w:rFonts w:ascii="Times New Roman" w:hAnsi="Times New Roman" w:cs="Times New Roman"/>
          <w:sz w:val="28"/>
          <w:szCs w:val="28"/>
          <w:lang w:val="uk-UA"/>
        </w:rPr>
        <w:t xml:space="preserve">Одеська область </w:t>
      </w:r>
    </w:p>
    <w:p w14:paraId="56170B55" w14:textId="77777777" w:rsidR="00753626" w:rsidRPr="00A41B49" w:rsidRDefault="00C96645" w:rsidP="00161629">
      <w:pPr>
        <w:spacing w:after="0" w:line="240" w:lineRule="auto"/>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(-539,6 млн дол), Полтавська область (-295,9 млн дол), м. Київ (-3500,5 млн дол). Крім того, критичне зниження інвестиційної привабливості</w:t>
      </w:r>
      <w:r w:rsidR="007F775A" w:rsidRPr="00A41B49">
        <w:rPr>
          <w:rFonts w:ascii="Times New Roman" w:hAnsi="Times New Roman" w:cs="Times New Roman"/>
          <w:sz w:val="28"/>
          <w:szCs w:val="28"/>
          <w:lang w:val="uk-UA"/>
        </w:rPr>
        <w:t>, за результатами якого відбулося зниження обсягів залучення ПІІ, на собі відчули такі регіони: Житомирська область (-9,8 млн дол), Рівненська область (-23,3 млн дол), Сумська область (-60,2 млн дол)</w:t>
      </w:r>
      <w:r w:rsidR="00B914A7" w:rsidRPr="00A41B49">
        <w:rPr>
          <w:rFonts w:ascii="Times New Roman" w:hAnsi="Times New Roman" w:cs="Times New Roman"/>
          <w:sz w:val="28"/>
          <w:szCs w:val="28"/>
          <w:lang w:val="uk-UA"/>
        </w:rPr>
        <w:t xml:space="preserve">, Харківська область (-146,6 млн дол). Як свідчить </w:t>
      </w:r>
      <w:r w:rsidR="007362A7" w:rsidRPr="00A41B49">
        <w:rPr>
          <w:rFonts w:ascii="Times New Roman" w:hAnsi="Times New Roman" w:cs="Times New Roman"/>
          <w:sz w:val="28"/>
          <w:szCs w:val="28"/>
          <w:lang w:val="uk-UA"/>
        </w:rPr>
        <w:t>аналіз</w:t>
      </w:r>
      <w:r w:rsidR="00B914A7" w:rsidRPr="00A41B49">
        <w:rPr>
          <w:rFonts w:ascii="Times New Roman" w:hAnsi="Times New Roman" w:cs="Times New Roman"/>
          <w:sz w:val="28"/>
          <w:szCs w:val="28"/>
          <w:lang w:val="uk-UA"/>
        </w:rPr>
        <w:t xml:space="preserve"> регіонів, </w:t>
      </w:r>
      <w:r w:rsidR="007362A7" w:rsidRPr="00A41B49">
        <w:rPr>
          <w:rFonts w:ascii="Times New Roman" w:hAnsi="Times New Roman" w:cs="Times New Roman"/>
          <w:sz w:val="28"/>
          <w:szCs w:val="28"/>
          <w:lang w:val="uk-UA"/>
        </w:rPr>
        <w:t>у яких найбільш суттєво протягом 2000-2023 рр. знизилася інвестиційна привабливість та, як наслідок, обсяги залучених ПІІ, це саме ті регіони, що найбільше постраждали від війни, дістали більше за інші регіони пошкоджень інфраструктури</w:t>
      </w:r>
      <w:r w:rsidR="0005031A" w:rsidRPr="00A41B49">
        <w:rPr>
          <w:rFonts w:ascii="Times New Roman" w:hAnsi="Times New Roman" w:cs="Times New Roman"/>
          <w:sz w:val="28"/>
          <w:szCs w:val="28"/>
          <w:lang w:val="uk-UA"/>
        </w:rPr>
        <w:t xml:space="preserve"> (виключення становлять Запорізька область, Чернігівська область</w:t>
      </w:r>
      <w:r w:rsidR="00887BD3" w:rsidRPr="00A41B49">
        <w:rPr>
          <w:rFonts w:ascii="Times New Roman" w:hAnsi="Times New Roman" w:cs="Times New Roman"/>
          <w:sz w:val="28"/>
          <w:szCs w:val="28"/>
          <w:lang w:val="uk-UA"/>
        </w:rPr>
        <w:t>, Миколаївська область</w:t>
      </w:r>
      <w:r w:rsidR="0005031A" w:rsidRPr="00A41B49">
        <w:rPr>
          <w:rFonts w:ascii="Times New Roman" w:hAnsi="Times New Roman" w:cs="Times New Roman"/>
          <w:sz w:val="28"/>
          <w:szCs w:val="28"/>
          <w:lang w:val="uk-UA"/>
        </w:rPr>
        <w:t xml:space="preserve"> тощо)</w:t>
      </w:r>
      <w:r w:rsidR="00753626" w:rsidRPr="00A41B49">
        <w:rPr>
          <w:rFonts w:ascii="Times New Roman" w:hAnsi="Times New Roman" w:cs="Times New Roman"/>
          <w:sz w:val="28"/>
          <w:szCs w:val="28"/>
          <w:lang w:val="uk-UA"/>
        </w:rPr>
        <w:t>.</w:t>
      </w:r>
    </w:p>
    <w:p w14:paraId="4D1AA8C0" w14:textId="77777777" w:rsidR="0037223D" w:rsidRPr="00A41B49" w:rsidRDefault="007362A7" w:rsidP="00E33527">
      <w:pPr>
        <w:spacing w:after="0" w:line="240" w:lineRule="auto"/>
        <w:ind w:firstLine="709"/>
        <w:jc w:val="both"/>
        <w:rPr>
          <w:rFonts w:ascii="Times New Roman" w:hAnsi="Times New Roman" w:cs="Times New Roman"/>
          <w:iCs/>
          <w:sz w:val="28"/>
          <w:szCs w:val="28"/>
          <w:lang w:val="uk-UA"/>
        </w:rPr>
      </w:pPr>
      <w:r w:rsidRPr="00A41B49">
        <w:rPr>
          <w:rFonts w:ascii="Times New Roman" w:hAnsi="Times New Roman" w:cs="Times New Roman"/>
          <w:sz w:val="28"/>
          <w:szCs w:val="28"/>
          <w:lang w:val="uk-UA"/>
        </w:rPr>
        <w:t>Незважаючи на наявність цілої низки регіонів України, у яких протягом 2000-2023 рр. фіксувалося зниження рівня інвестиційної привабливості, скорочення обсягів залучених в</w:t>
      </w:r>
      <w:r w:rsidR="0070337D" w:rsidRPr="00A41B49">
        <w:rPr>
          <w:rFonts w:ascii="Times New Roman" w:hAnsi="Times New Roman" w:cs="Times New Roman"/>
          <w:sz w:val="28"/>
          <w:szCs w:val="28"/>
          <w:lang w:val="uk-UA"/>
        </w:rPr>
        <w:t xml:space="preserve"> економіку ПІІ, у</w:t>
      </w:r>
      <w:r w:rsidR="00EC1B7E" w:rsidRPr="00A41B49">
        <w:rPr>
          <w:rFonts w:ascii="Times New Roman" w:hAnsi="Times New Roman" w:cs="Times New Roman"/>
          <w:sz w:val="28"/>
          <w:szCs w:val="28"/>
          <w:lang w:val="uk-UA"/>
        </w:rPr>
        <w:t xml:space="preserve"> </w:t>
      </w:r>
      <w:r w:rsidR="0070337D" w:rsidRPr="00A41B49">
        <w:rPr>
          <w:rFonts w:ascii="Times New Roman" w:hAnsi="Times New Roman" w:cs="Times New Roman"/>
          <w:sz w:val="28"/>
          <w:szCs w:val="28"/>
          <w:lang w:val="uk-UA"/>
        </w:rPr>
        <w:t xml:space="preserve">ході проведеного аналізу вдалося ідентифікувати ті, регіони, де протягом періоду, що аналізується, </w:t>
      </w:r>
      <w:r w:rsidR="00881412" w:rsidRPr="00A41B49">
        <w:rPr>
          <w:rFonts w:ascii="Times New Roman" w:hAnsi="Times New Roman" w:cs="Times New Roman"/>
          <w:sz w:val="28"/>
          <w:szCs w:val="28"/>
          <w:lang w:val="uk-UA"/>
        </w:rPr>
        <w:t xml:space="preserve">незважаючи на повномасштабне вторгнення росії в Україну, пошкодження інфраструктури, </w:t>
      </w:r>
      <w:r w:rsidR="0070337D" w:rsidRPr="00A41B49">
        <w:rPr>
          <w:rFonts w:ascii="Times New Roman" w:hAnsi="Times New Roman" w:cs="Times New Roman"/>
          <w:sz w:val="28"/>
          <w:szCs w:val="28"/>
          <w:lang w:val="uk-UA"/>
        </w:rPr>
        <w:t>обсяги залучених іно</w:t>
      </w:r>
      <w:r w:rsidR="00881412" w:rsidRPr="00A41B49">
        <w:rPr>
          <w:rFonts w:ascii="Times New Roman" w:hAnsi="Times New Roman" w:cs="Times New Roman"/>
          <w:sz w:val="28"/>
          <w:szCs w:val="28"/>
          <w:lang w:val="uk-UA"/>
        </w:rPr>
        <w:t>з</w:t>
      </w:r>
      <w:r w:rsidR="0070337D" w:rsidRPr="00A41B49">
        <w:rPr>
          <w:rFonts w:ascii="Times New Roman" w:hAnsi="Times New Roman" w:cs="Times New Roman"/>
          <w:sz w:val="28"/>
          <w:szCs w:val="28"/>
          <w:lang w:val="uk-UA"/>
        </w:rPr>
        <w:t xml:space="preserve">емних інвестицій не тільки не скоротилися, але й мали тенденцію до збільшення. Так, у 2020-2022 рр. обсяги ПІІ </w:t>
      </w:r>
      <w:r w:rsidR="00F53AC1" w:rsidRPr="00A41B49">
        <w:rPr>
          <w:rFonts w:ascii="Times New Roman" w:hAnsi="Times New Roman" w:cs="Times New Roman"/>
          <w:sz w:val="28"/>
          <w:szCs w:val="28"/>
          <w:lang w:val="uk-UA"/>
        </w:rPr>
        <w:t>с</w:t>
      </w:r>
      <w:r w:rsidR="00881412" w:rsidRPr="00A41B49">
        <w:rPr>
          <w:rFonts w:ascii="Times New Roman" w:hAnsi="Times New Roman" w:cs="Times New Roman"/>
          <w:sz w:val="28"/>
          <w:szCs w:val="28"/>
          <w:lang w:val="uk-UA"/>
        </w:rPr>
        <w:t>у</w:t>
      </w:r>
      <w:r w:rsidR="00F53AC1" w:rsidRPr="00A41B49">
        <w:rPr>
          <w:rFonts w:ascii="Times New Roman" w:hAnsi="Times New Roman" w:cs="Times New Roman"/>
          <w:sz w:val="28"/>
          <w:szCs w:val="28"/>
          <w:lang w:val="uk-UA"/>
        </w:rPr>
        <w:t xml:space="preserve">ттєво збільшися у такі </w:t>
      </w:r>
      <w:r w:rsidR="00881412" w:rsidRPr="00A41B49">
        <w:rPr>
          <w:rFonts w:ascii="Times New Roman" w:hAnsi="Times New Roman" w:cs="Times New Roman"/>
          <w:sz w:val="28"/>
          <w:szCs w:val="28"/>
          <w:lang w:val="uk-UA"/>
        </w:rPr>
        <w:t>регіони України: Дніпропетровська область (+1882,7 млн дол), Івано-Франківська область (</w:t>
      </w:r>
      <w:r w:rsidR="005970D1" w:rsidRPr="00A41B49">
        <w:rPr>
          <w:rFonts w:ascii="Times New Roman" w:hAnsi="Times New Roman" w:cs="Times New Roman"/>
          <w:sz w:val="28"/>
          <w:szCs w:val="28"/>
          <w:lang w:val="uk-UA"/>
        </w:rPr>
        <w:t>+641,8 млн дол</w:t>
      </w:r>
      <w:r w:rsidR="00881412" w:rsidRPr="00A41B49">
        <w:rPr>
          <w:rFonts w:ascii="Times New Roman" w:hAnsi="Times New Roman" w:cs="Times New Roman"/>
          <w:sz w:val="28"/>
          <w:szCs w:val="28"/>
          <w:lang w:val="uk-UA"/>
        </w:rPr>
        <w:t>)</w:t>
      </w:r>
      <w:r w:rsidR="005970D1" w:rsidRPr="00A41B49">
        <w:rPr>
          <w:rFonts w:ascii="Times New Roman" w:hAnsi="Times New Roman" w:cs="Times New Roman"/>
          <w:sz w:val="28"/>
          <w:szCs w:val="28"/>
          <w:lang w:val="uk-UA"/>
        </w:rPr>
        <w:t xml:space="preserve">. Крім того, у зазначений період також фіксувалося нарощення обсягів ПІІ в таких регіонах: Вінницька область (+187,5 млн дол), Волинська область (36,5 млн дол), </w:t>
      </w:r>
      <w:r w:rsidR="0005031A" w:rsidRPr="00A41B49">
        <w:rPr>
          <w:rFonts w:ascii="Times New Roman" w:hAnsi="Times New Roman" w:cs="Times New Roman"/>
          <w:sz w:val="28"/>
          <w:szCs w:val="28"/>
          <w:lang w:val="uk-UA"/>
        </w:rPr>
        <w:t>Закарпатська область (</w:t>
      </w:r>
      <w:r w:rsidR="000E3DE7" w:rsidRPr="00A41B49">
        <w:rPr>
          <w:rFonts w:ascii="Times New Roman" w:hAnsi="Times New Roman" w:cs="Times New Roman"/>
          <w:sz w:val="28"/>
          <w:szCs w:val="28"/>
          <w:lang w:val="uk-UA"/>
        </w:rPr>
        <w:t>+182 млн дол</w:t>
      </w:r>
      <w:r w:rsidR="0005031A" w:rsidRPr="00A41B49">
        <w:rPr>
          <w:rFonts w:ascii="Times New Roman" w:hAnsi="Times New Roman" w:cs="Times New Roman"/>
          <w:sz w:val="28"/>
          <w:szCs w:val="28"/>
          <w:lang w:val="uk-UA"/>
        </w:rPr>
        <w:t>)</w:t>
      </w:r>
      <w:r w:rsidR="000E3DE7" w:rsidRPr="00A41B49">
        <w:rPr>
          <w:rFonts w:ascii="Times New Roman" w:hAnsi="Times New Roman" w:cs="Times New Roman"/>
          <w:sz w:val="28"/>
          <w:szCs w:val="28"/>
          <w:lang w:val="uk-UA"/>
        </w:rPr>
        <w:t xml:space="preserve">, </w:t>
      </w:r>
      <w:r w:rsidR="0005031A" w:rsidRPr="00A41B49">
        <w:rPr>
          <w:rFonts w:ascii="Times New Roman" w:hAnsi="Times New Roman" w:cs="Times New Roman"/>
          <w:sz w:val="28"/>
          <w:szCs w:val="28"/>
          <w:lang w:val="uk-UA"/>
        </w:rPr>
        <w:t>Запорізька</w:t>
      </w:r>
      <w:r w:rsidR="000E3DE7" w:rsidRPr="00A41B49">
        <w:rPr>
          <w:rFonts w:ascii="Times New Roman" w:hAnsi="Times New Roman" w:cs="Times New Roman"/>
          <w:sz w:val="28"/>
          <w:szCs w:val="28"/>
          <w:lang w:val="uk-UA"/>
        </w:rPr>
        <w:t xml:space="preserve"> (+130,4 млн дол), Київська область (+92,9 млн дол), Кіровоградська область (+18,2 млн дол), </w:t>
      </w:r>
      <w:r w:rsidR="000E3DE7" w:rsidRPr="00A41B49">
        <w:rPr>
          <w:rFonts w:ascii="Times New Roman" w:hAnsi="Times New Roman" w:cs="Times New Roman"/>
          <w:iCs/>
          <w:sz w:val="28"/>
          <w:szCs w:val="28"/>
          <w:lang w:val="uk-UA"/>
        </w:rPr>
        <w:t>Львівська область (+</w:t>
      </w:r>
      <w:r w:rsidR="00E33527" w:rsidRPr="00A41B49">
        <w:rPr>
          <w:rFonts w:ascii="Times New Roman" w:hAnsi="Times New Roman" w:cs="Times New Roman"/>
          <w:iCs/>
          <w:sz w:val="28"/>
          <w:szCs w:val="28"/>
          <w:lang w:val="uk-UA"/>
        </w:rPr>
        <w:t>150,9 млн дол</w:t>
      </w:r>
      <w:r w:rsidR="000E3DE7" w:rsidRPr="00A41B49">
        <w:rPr>
          <w:rFonts w:ascii="Times New Roman" w:hAnsi="Times New Roman" w:cs="Times New Roman"/>
          <w:iCs/>
          <w:sz w:val="28"/>
          <w:szCs w:val="28"/>
          <w:lang w:val="uk-UA"/>
        </w:rPr>
        <w:t>)</w:t>
      </w:r>
      <w:r w:rsidR="00E33527" w:rsidRPr="00A41B49">
        <w:rPr>
          <w:rFonts w:ascii="Times New Roman" w:hAnsi="Times New Roman" w:cs="Times New Roman"/>
          <w:iCs/>
          <w:sz w:val="28"/>
          <w:szCs w:val="28"/>
          <w:lang w:val="uk-UA"/>
        </w:rPr>
        <w:t>, Миколаївська область (+78,2), Тернопільська область (138,9 млн дол), Хмельницька область (+</w:t>
      </w:r>
      <w:r w:rsidR="00E33527" w:rsidRPr="00A41B49">
        <w:rPr>
          <w:rFonts w:ascii="Times New Roman" w:hAnsi="Times New Roman" w:cs="Times New Roman"/>
          <w:sz w:val="28"/>
          <w:szCs w:val="28"/>
          <w:lang w:val="uk-UA"/>
        </w:rPr>
        <w:t xml:space="preserve">119,3 млн </w:t>
      </w:r>
      <w:r w:rsidR="00E33527" w:rsidRPr="00A41B49">
        <w:rPr>
          <w:rFonts w:ascii="Times New Roman" w:hAnsi="Times New Roman" w:cs="Times New Roman"/>
          <w:sz w:val="28"/>
          <w:szCs w:val="28"/>
          <w:lang w:val="uk-UA"/>
        </w:rPr>
        <w:lastRenderedPageBreak/>
        <w:t>дол</w:t>
      </w:r>
      <w:r w:rsidR="00E33527" w:rsidRPr="00A41B49">
        <w:rPr>
          <w:rFonts w:ascii="Times New Roman" w:hAnsi="Times New Roman" w:cs="Times New Roman"/>
          <w:iCs/>
          <w:sz w:val="28"/>
          <w:szCs w:val="28"/>
          <w:lang w:val="uk-UA"/>
        </w:rPr>
        <w:t>), Черкаська область (+</w:t>
      </w:r>
      <w:r w:rsidR="00E33527" w:rsidRPr="00A41B49">
        <w:rPr>
          <w:rFonts w:ascii="Times New Roman" w:hAnsi="Times New Roman" w:cs="Times New Roman"/>
          <w:sz w:val="28"/>
          <w:szCs w:val="28"/>
          <w:lang w:val="uk-UA"/>
        </w:rPr>
        <w:t>161,1 млн дол</w:t>
      </w:r>
      <w:r w:rsidR="00E33527" w:rsidRPr="00A41B49">
        <w:rPr>
          <w:rFonts w:ascii="Times New Roman" w:hAnsi="Times New Roman" w:cs="Times New Roman"/>
          <w:iCs/>
          <w:sz w:val="28"/>
          <w:szCs w:val="28"/>
          <w:lang w:val="uk-UA"/>
        </w:rPr>
        <w:t>), Чернівецька (+</w:t>
      </w:r>
      <w:r w:rsidR="00E33527" w:rsidRPr="00A41B49">
        <w:rPr>
          <w:rFonts w:ascii="Times New Roman" w:hAnsi="Times New Roman" w:cs="Times New Roman"/>
          <w:sz w:val="28"/>
          <w:szCs w:val="28"/>
          <w:lang w:val="uk-UA"/>
        </w:rPr>
        <w:t>3,0 млн дол</w:t>
      </w:r>
      <w:r w:rsidR="00E33527" w:rsidRPr="00A41B49">
        <w:rPr>
          <w:rFonts w:ascii="Times New Roman" w:hAnsi="Times New Roman" w:cs="Times New Roman"/>
          <w:iCs/>
          <w:sz w:val="28"/>
          <w:szCs w:val="28"/>
          <w:lang w:val="uk-UA"/>
        </w:rPr>
        <w:t xml:space="preserve">), Чернігівська (+111,8 млн дол). </w:t>
      </w:r>
    </w:p>
    <w:p w14:paraId="12C8A4AB" w14:textId="77777777" w:rsidR="00F23393" w:rsidRPr="00A41B49" w:rsidRDefault="00387B90" w:rsidP="00E33527">
      <w:pPr>
        <w:spacing w:after="0" w:line="240" w:lineRule="auto"/>
        <w:ind w:firstLine="709"/>
        <w:jc w:val="both"/>
        <w:rPr>
          <w:rFonts w:ascii="Times New Roman" w:hAnsi="Times New Roman" w:cs="Times New Roman"/>
          <w:iCs/>
          <w:sz w:val="28"/>
          <w:szCs w:val="28"/>
          <w:lang w:val="uk-UA"/>
        </w:rPr>
      </w:pPr>
      <w:r w:rsidRPr="00A41B49">
        <w:rPr>
          <w:rFonts w:ascii="Times New Roman" w:hAnsi="Times New Roman" w:cs="Times New Roman"/>
          <w:iCs/>
          <w:sz w:val="28"/>
          <w:szCs w:val="28"/>
          <w:lang w:val="uk-UA"/>
        </w:rPr>
        <w:t>Відсутність стати</w:t>
      </w:r>
      <w:r w:rsidR="00BC0E75" w:rsidRPr="00A41B49">
        <w:rPr>
          <w:rFonts w:ascii="Times New Roman" w:hAnsi="Times New Roman" w:cs="Times New Roman"/>
          <w:iCs/>
          <w:sz w:val="28"/>
          <w:szCs w:val="28"/>
          <w:lang w:val="uk-UA"/>
        </w:rPr>
        <w:t>сти</w:t>
      </w:r>
      <w:r w:rsidRPr="00A41B49">
        <w:rPr>
          <w:rFonts w:ascii="Times New Roman" w:hAnsi="Times New Roman" w:cs="Times New Roman"/>
          <w:iCs/>
          <w:sz w:val="28"/>
          <w:szCs w:val="28"/>
          <w:lang w:val="uk-UA"/>
        </w:rPr>
        <w:t>чної інформації, що була обумовлена а</w:t>
      </w:r>
      <w:r w:rsidR="00F23393" w:rsidRPr="00A41B49">
        <w:rPr>
          <w:rFonts w:ascii="Times New Roman" w:hAnsi="Times New Roman" w:cs="Times New Roman"/>
          <w:iCs/>
          <w:sz w:val="28"/>
          <w:szCs w:val="28"/>
          <w:lang w:val="uk-UA"/>
        </w:rPr>
        <w:t>ктивн</w:t>
      </w:r>
      <w:r w:rsidRPr="00A41B49">
        <w:rPr>
          <w:rFonts w:ascii="Times New Roman" w:hAnsi="Times New Roman" w:cs="Times New Roman"/>
          <w:iCs/>
          <w:sz w:val="28"/>
          <w:szCs w:val="28"/>
          <w:lang w:val="uk-UA"/>
        </w:rPr>
        <w:t>ими</w:t>
      </w:r>
      <w:r w:rsidR="00F23393" w:rsidRPr="00A41B49">
        <w:rPr>
          <w:rFonts w:ascii="Times New Roman" w:hAnsi="Times New Roman" w:cs="Times New Roman"/>
          <w:iCs/>
          <w:sz w:val="28"/>
          <w:szCs w:val="28"/>
          <w:lang w:val="uk-UA"/>
        </w:rPr>
        <w:t xml:space="preserve"> </w:t>
      </w:r>
      <w:r w:rsidR="00D7171C" w:rsidRPr="00A41B49">
        <w:rPr>
          <w:rFonts w:ascii="Times New Roman" w:hAnsi="Times New Roman" w:cs="Times New Roman"/>
          <w:iCs/>
          <w:sz w:val="28"/>
          <w:szCs w:val="28"/>
          <w:lang w:val="uk-UA"/>
        </w:rPr>
        <w:t xml:space="preserve">військовими </w:t>
      </w:r>
      <w:r w:rsidR="00F23393" w:rsidRPr="00A41B49">
        <w:rPr>
          <w:rFonts w:ascii="Times New Roman" w:hAnsi="Times New Roman" w:cs="Times New Roman"/>
          <w:iCs/>
          <w:sz w:val="28"/>
          <w:szCs w:val="28"/>
          <w:lang w:val="uk-UA"/>
        </w:rPr>
        <w:t>ді</w:t>
      </w:r>
      <w:r w:rsidRPr="00A41B49">
        <w:rPr>
          <w:rFonts w:ascii="Times New Roman" w:hAnsi="Times New Roman" w:cs="Times New Roman"/>
          <w:iCs/>
          <w:sz w:val="28"/>
          <w:szCs w:val="28"/>
          <w:lang w:val="uk-UA"/>
        </w:rPr>
        <w:t>ями, окупацією частини території</w:t>
      </w:r>
      <w:r w:rsidR="00F23393" w:rsidRPr="00A41B49">
        <w:rPr>
          <w:rFonts w:ascii="Times New Roman" w:hAnsi="Times New Roman" w:cs="Times New Roman"/>
          <w:iCs/>
          <w:sz w:val="28"/>
          <w:szCs w:val="28"/>
          <w:lang w:val="uk-UA"/>
        </w:rPr>
        <w:t xml:space="preserve"> Донецької, </w:t>
      </w:r>
      <w:r w:rsidRPr="00A41B49">
        <w:rPr>
          <w:rFonts w:ascii="Times New Roman" w:hAnsi="Times New Roman" w:cs="Times New Roman"/>
          <w:iCs/>
          <w:sz w:val="28"/>
          <w:szCs w:val="28"/>
          <w:lang w:val="uk-UA"/>
        </w:rPr>
        <w:t xml:space="preserve">Луганської, Херсонської областей унеможливили об’єктивну оцінку  ситуації </w:t>
      </w:r>
      <w:r w:rsidR="00E21062" w:rsidRPr="00A41B49">
        <w:rPr>
          <w:rFonts w:ascii="Times New Roman" w:hAnsi="Times New Roman" w:cs="Times New Roman"/>
          <w:iCs/>
          <w:sz w:val="28"/>
          <w:szCs w:val="28"/>
          <w:lang w:val="uk-UA"/>
        </w:rPr>
        <w:t>із ПІІ в зазначені області у 2022 рр.</w:t>
      </w:r>
    </w:p>
    <w:p w14:paraId="36620292" w14:textId="77777777" w:rsidR="00D7171C" w:rsidRPr="00A41B49" w:rsidRDefault="00753626" w:rsidP="00F20A8E">
      <w:pPr>
        <w:spacing w:after="0" w:line="240" w:lineRule="auto"/>
        <w:ind w:firstLine="709"/>
        <w:jc w:val="both"/>
        <w:rPr>
          <w:rFonts w:ascii="Times New Roman" w:hAnsi="Times New Roman" w:cs="Times New Roman"/>
          <w:iCs/>
          <w:sz w:val="28"/>
          <w:szCs w:val="28"/>
          <w:lang w:val="uk-UA"/>
        </w:rPr>
      </w:pPr>
      <w:r w:rsidRPr="00A41B49">
        <w:rPr>
          <w:rFonts w:ascii="Times New Roman" w:hAnsi="Times New Roman" w:cs="Times New Roman"/>
          <w:iCs/>
          <w:sz w:val="28"/>
          <w:szCs w:val="28"/>
          <w:lang w:val="uk-UA"/>
        </w:rPr>
        <w:t xml:space="preserve">Зміни в інвестиційній привабливості регіонів та фактично залучених ними обсягах іноземних інвестицій суттєво позначилися на регіональній структурі ПІІ України. Так, протягом 2020-2022 рр. </w:t>
      </w:r>
      <w:r w:rsidR="00F23393" w:rsidRPr="00A41B49">
        <w:rPr>
          <w:rFonts w:ascii="Times New Roman" w:hAnsi="Times New Roman" w:cs="Times New Roman"/>
          <w:iCs/>
          <w:sz w:val="28"/>
          <w:szCs w:val="28"/>
          <w:lang w:val="uk-UA"/>
        </w:rPr>
        <w:t>спостерігалося зменшення частки залучених ПІІ регіону у загальному обсягу залучених ПІІ в Україну у таких регіонах: Одеська область (-1,0%), Полтавська область (-0,5 %)</w:t>
      </w:r>
      <w:r w:rsidR="00E21062" w:rsidRPr="00A41B49">
        <w:rPr>
          <w:rFonts w:ascii="Times New Roman" w:hAnsi="Times New Roman" w:cs="Times New Roman"/>
          <w:iCs/>
          <w:sz w:val="28"/>
          <w:szCs w:val="28"/>
          <w:lang w:val="uk-UA"/>
        </w:rPr>
        <w:t>, Сумська область (-0,1%), Харківська (-0,2%), м. Київ (-5,9 %)</w:t>
      </w:r>
      <w:r w:rsidR="00A10A37" w:rsidRPr="00A41B49">
        <w:rPr>
          <w:rFonts w:ascii="Times New Roman" w:hAnsi="Times New Roman" w:cs="Times New Roman"/>
          <w:iCs/>
          <w:sz w:val="28"/>
          <w:szCs w:val="28"/>
          <w:lang w:val="uk-UA"/>
        </w:rPr>
        <w:t>; збільшення – Вінницька (+</w:t>
      </w:r>
      <w:r w:rsidR="00A10A37" w:rsidRPr="00A41B49">
        <w:rPr>
          <w:rFonts w:ascii="Times New Roman" w:hAnsi="Times New Roman" w:cs="Times New Roman"/>
          <w:sz w:val="28"/>
          <w:szCs w:val="28"/>
          <w:lang w:val="uk-UA"/>
        </w:rPr>
        <w:t>0,4%</w:t>
      </w:r>
      <w:r w:rsidR="00A10A37" w:rsidRPr="00A41B49">
        <w:rPr>
          <w:rFonts w:ascii="Times New Roman" w:hAnsi="Times New Roman" w:cs="Times New Roman"/>
          <w:iCs/>
          <w:sz w:val="28"/>
          <w:szCs w:val="28"/>
          <w:lang w:val="uk-UA"/>
        </w:rPr>
        <w:t>), Волинська (+0,1%), Дніпропетровська (+</w:t>
      </w:r>
      <w:r w:rsidR="00A10A37" w:rsidRPr="00A41B49">
        <w:rPr>
          <w:rFonts w:ascii="Times New Roman" w:hAnsi="Times New Roman" w:cs="Times New Roman"/>
          <w:sz w:val="28"/>
          <w:szCs w:val="28"/>
          <w:lang w:val="uk-UA"/>
        </w:rPr>
        <w:t>3,9%</w:t>
      </w:r>
      <w:r w:rsidR="00A10A37" w:rsidRPr="00A41B49">
        <w:rPr>
          <w:rFonts w:ascii="Times New Roman" w:hAnsi="Times New Roman" w:cs="Times New Roman"/>
          <w:iCs/>
          <w:sz w:val="28"/>
          <w:szCs w:val="28"/>
          <w:lang w:val="uk-UA"/>
        </w:rPr>
        <w:t>), Закарпатська (+0,4 %), Запорізька (</w:t>
      </w:r>
      <w:r w:rsidR="00887BD3" w:rsidRPr="00A41B49">
        <w:rPr>
          <w:rFonts w:ascii="Times New Roman" w:hAnsi="Times New Roman" w:cs="Times New Roman"/>
          <w:iCs/>
          <w:sz w:val="28"/>
          <w:szCs w:val="28"/>
          <w:lang w:val="uk-UA"/>
        </w:rPr>
        <w:t>+</w:t>
      </w:r>
      <w:r w:rsidR="00887BD3" w:rsidRPr="00A41B49">
        <w:rPr>
          <w:rFonts w:ascii="Times New Roman" w:hAnsi="Times New Roman" w:cs="Times New Roman"/>
          <w:sz w:val="28"/>
          <w:szCs w:val="28"/>
          <w:lang w:val="uk-UA"/>
        </w:rPr>
        <w:t>0,3%</w:t>
      </w:r>
      <w:r w:rsidR="00A10A37" w:rsidRPr="00A41B49">
        <w:rPr>
          <w:rFonts w:ascii="Times New Roman" w:hAnsi="Times New Roman" w:cs="Times New Roman"/>
          <w:iCs/>
          <w:sz w:val="28"/>
          <w:szCs w:val="28"/>
          <w:lang w:val="uk-UA"/>
        </w:rPr>
        <w:t>)</w:t>
      </w:r>
      <w:r w:rsidR="00887BD3" w:rsidRPr="00A41B49">
        <w:rPr>
          <w:rFonts w:ascii="Times New Roman" w:hAnsi="Times New Roman" w:cs="Times New Roman"/>
          <w:iCs/>
          <w:sz w:val="28"/>
          <w:szCs w:val="28"/>
          <w:lang w:val="uk-UA"/>
        </w:rPr>
        <w:t>, Івано-Франківська (+</w:t>
      </w:r>
      <w:r w:rsidR="00887BD3" w:rsidRPr="00A41B49">
        <w:rPr>
          <w:rFonts w:ascii="Times New Roman" w:hAnsi="Times New Roman" w:cs="Times New Roman"/>
          <w:sz w:val="28"/>
          <w:szCs w:val="28"/>
          <w:lang w:val="uk-UA"/>
        </w:rPr>
        <w:t>1,3%</w:t>
      </w:r>
      <w:r w:rsidR="00887BD3" w:rsidRPr="00A41B49">
        <w:rPr>
          <w:rFonts w:ascii="Times New Roman" w:hAnsi="Times New Roman" w:cs="Times New Roman"/>
          <w:iCs/>
          <w:sz w:val="28"/>
          <w:szCs w:val="28"/>
          <w:lang w:val="uk-UA"/>
        </w:rPr>
        <w:t>), Київська (+</w:t>
      </w:r>
      <w:r w:rsidR="00887BD3" w:rsidRPr="00A41B49">
        <w:rPr>
          <w:rFonts w:ascii="Times New Roman" w:hAnsi="Times New Roman" w:cs="Times New Roman"/>
          <w:sz w:val="28"/>
          <w:szCs w:val="28"/>
          <w:lang w:val="uk-UA"/>
        </w:rPr>
        <w:t>0,3%</w:t>
      </w:r>
      <w:r w:rsidR="00887BD3" w:rsidRPr="00A41B49">
        <w:rPr>
          <w:rFonts w:ascii="Times New Roman" w:hAnsi="Times New Roman" w:cs="Times New Roman"/>
          <w:iCs/>
          <w:sz w:val="28"/>
          <w:szCs w:val="28"/>
          <w:lang w:val="uk-UA"/>
        </w:rPr>
        <w:t xml:space="preserve">), Львівська (+0,4%), Миколаївська (+0,2%), </w:t>
      </w:r>
      <w:r w:rsidR="00F20A8E" w:rsidRPr="00A41B49">
        <w:rPr>
          <w:rFonts w:ascii="Times New Roman" w:hAnsi="Times New Roman" w:cs="Times New Roman"/>
          <w:iCs/>
          <w:sz w:val="28"/>
          <w:szCs w:val="28"/>
          <w:lang w:val="uk-UA"/>
        </w:rPr>
        <w:t>Тернопільська (+0,3%), Хмельницька (+0,3%), Черкаська (+</w:t>
      </w:r>
      <w:r w:rsidR="00F20A8E" w:rsidRPr="00A41B49">
        <w:rPr>
          <w:rFonts w:ascii="Times New Roman" w:hAnsi="Times New Roman" w:cs="Times New Roman"/>
          <w:sz w:val="28"/>
          <w:szCs w:val="28"/>
          <w:lang w:val="uk-UA"/>
        </w:rPr>
        <w:t>0,3%</w:t>
      </w:r>
      <w:r w:rsidR="00F20A8E" w:rsidRPr="00A41B49">
        <w:rPr>
          <w:rFonts w:ascii="Times New Roman" w:hAnsi="Times New Roman" w:cs="Times New Roman"/>
          <w:iCs/>
          <w:sz w:val="28"/>
          <w:szCs w:val="28"/>
          <w:lang w:val="uk-UA"/>
        </w:rPr>
        <w:t xml:space="preserve">), Чернігівська (+0,2 %) області. </w:t>
      </w:r>
    </w:p>
    <w:p w14:paraId="69097BB2" w14:textId="77777777" w:rsidR="00753626" w:rsidRPr="00A41B49" w:rsidRDefault="00F20A8E" w:rsidP="00F20A8E">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iCs/>
          <w:sz w:val="28"/>
          <w:szCs w:val="28"/>
          <w:lang w:val="uk-UA"/>
        </w:rPr>
        <w:t xml:space="preserve">Повномасштабне вторгнення не позначилося на частці у ПІІ країни </w:t>
      </w:r>
      <w:r w:rsidR="002213AB" w:rsidRPr="00A41B49">
        <w:rPr>
          <w:rFonts w:ascii="Times New Roman" w:hAnsi="Times New Roman" w:cs="Times New Roman"/>
          <w:iCs/>
          <w:sz w:val="28"/>
          <w:szCs w:val="28"/>
          <w:lang w:val="uk-UA"/>
        </w:rPr>
        <w:t>Житомирської, Кіровоградської, Рівненської, Чернівецької областей (табл.</w:t>
      </w:r>
      <w:r w:rsidR="00CE06C3" w:rsidRPr="00A41B49">
        <w:rPr>
          <w:rFonts w:ascii="Times New Roman" w:hAnsi="Times New Roman" w:cs="Times New Roman"/>
          <w:iCs/>
          <w:sz w:val="28"/>
          <w:szCs w:val="28"/>
          <w:lang w:val="uk-UA"/>
        </w:rPr>
        <w:t>3.</w:t>
      </w:r>
      <w:r w:rsidR="00CC43A3" w:rsidRPr="00A41B49">
        <w:rPr>
          <w:rFonts w:ascii="Times New Roman" w:hAnsi="Times New Roman" w:cs="Times New Roman"/>
          <w:iCs/>
          <w:sz w:val="28"/>
          <w:szCs w:val="28"/>
          <w:lang w:val="uk-UA"/>
        </w:rPr>
        <w:t>1</w:t>
      </w:r>
      <w:r w:rsidR="002213AB" w:rsidRPr="00A41B49">
        <w:rPr>
          <w:rFonts w:ascii="Times New Roman" w:hAnsi="Times New Roman" w:cs="Times New Roman"/>
          <w:iCs/>
          <w:sz w:val="28"/>
          <w:szCs w:val="28"/>
          <w:lang w:val="uk-UA"/>
        </w:rPr>
        <w:t>).</w:t>
      </w:r>
    </w:p>
    <w:p w14:paraId="2BDB41A5" w14:textId="77777777" w:rsidR="007362A7" w:rsidRPr="00A41B49" w:rsidRDefault="007362A7" w:rsidP="007362A7">
      <w:pPr>
        <w:spacing w:after="0" w:line="240" w:lineRule="auto"/>
        <w:jc w:val="both"/>
        <w:rPr>
          <w:rFonts w:ascii="Times New Roman" w:hAnsi="Times New Roman" w:cs="Times New Roman"/>
          <w:sz w:val="28"/>
          <w:szCs w:val="28"/>
          <w:lang w:val="uk-UA"/>
        </w:rPr>
      </w:pPr>
    </w:p>
    <w:p w14:paraId="15721296" w14:textId="77777777" w:rsidR="0037223D" w:rsidRPr="00A41B49" w:rsidRDefault="003C21E0" w:rsidP="00CE06C3">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Таблиця </w:t>
      </w:r>
      <w:r w:rsidR="00CE06C3" w:rsidRPr="00A41B49">
        <w:rPr>
          <w:rFonts w:ascii="Times New Roman" w:hAnsi="Times New Roman" w:cs="Times New Roman"/>
          <w:sz w:val="28"/>
          <w:szCs w:val="28"/>
          <w:lang w:val="uk-UA"/>
        </w:rPr>
        <w:t>3.1</w:t>
      </w:r>
      <w:r w:rsidR="00CC43A3"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 ПІІ в економіку України</w:t>
      </w:r>
    </w:p>
    <w:tbl>
      <w:tblPr>
        <w:tblStyle w:val="a3"/>
        <w:tblW w:w="0" w:type="auto"/>
        <w:jc w:val="center"/>
        <w:tblLook w:val="04A0" w:firstRow="1" w:lastRow="0" w:firstColumn="1" w:lastColumn="0" w:noHBand="0" w:noVBand="1"/>
      </w:tblPr>
      <w:tblGrid>
        <w:gridCol w:w="2077"/>
        <w:gridCol w:w="996"/>
        <w:gridCol w:w="756"/>
        <w:gridCol w:w="996"/>
        <w:gridCol w:w="756"/>
        <w:gridCol w:w="996"/>
        <w:gridCol w:w="869"/>
        <w:gridCol w:w="1168"/>
        <w:gridCol w:w="957"/>
      </w:tblGrid>
      <w:tr w:rsidR="00A41B49" w:rsidRPr="00A41B49" w14:paraId="01D9CD89" w14:textId="77777777" w:rsidTr="00CE06C3">
        <w:trPr>
          <w:jc w:val="center"/>
        </w:trPr>
        <w:tc>
          <w:tcPr>
            <w:tcW w:w="2077" w:type="dxa"/>
            <w:vMerge w:val="restart"/>
            <w:vAlign w:val="center"/>
          </w:tcPr>
          <w:p w14:paraId="543FCE72" w14:textId="77777777" w:rsidR="00E343F2" w:rsidRPr="00A41B49" w:rsidRDefault="00E343F2" w:rsidP="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Регіони</w:t>
            </w:r>
          </w:p>
        </w:tc>
        <w:tc>
          <w:tcPr>
            <w:tcW w:w="1752" w:type="dxa"/>
            <w:gridSpan w:val="2"/>
          </w:tcPr>
          <w:p w14:paraId="2EDFCFF8" w14:textId="77777777" w:rsidR="00E343F2" w:rsidRPr="00A41B49" w:rsidRDefault="00E343F2" w:rsidP="00D12870">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2020 р.</w:t>
            </w:r>
          </w:p>
        </w:tc>
        <w:tc>
          <w:tcPr>
            <w:tcW w:w="1752" w:type="dxa"/>
            <w:gridSpan w:val="2"/>
          </w:tcPr>
          <w:p w14:paraId="5B3A2DCA" w14:textId="77777777" w:rsidR="00E343F2" w:rsidRPr="00A41B49" w:rsidRDefault="00E343F2" w:rsidP="00D12870">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2021 р.</w:t>
            </w:r>
          </w:p>
        </w:tc>
        <w:tc>
          <w:tcPr>
            <w:tcW w:w="1865" w:type="dxa"/>
            <w:gridSpan w:val="2"/>
          </w:tcPr>
          <w:p w14:paraId="61FB9046" w14:textId="77777777" w:rsidR="00E343F2" w:rsidRPr="00A41B49" w:rsidRDefault="00E343F2" w:rsidP="00D12870">
            <w:pPr>
              <w:rPr>
                <w:rFonts w:ascii="Times New Roman" w:hAnsi="Times New Roman" w:cs="Times New Roman"/>
                <w:sz w:val="24"/>
                <w:szCs w:val="24"/>
                <w:lang w:val="uk-UA"/>
              </w:rPr>
            </w:pPr>
            <w:r w:rsidRPr="00A41B49">
              <w:rPr>
                <w:rFonts w:ascii="Times New Roman" w:hAnsi="Times New Roman" w:cs="Times New Roman"/>
                <w:sz w:val="24"/>
                <w:szCs w:val="24"/>
                <w:lang w:val="uk-UA"/>
              </w:rPr>
              <w:t>2022 р.</w:t>
            </w:r>
          </w:p>
        </w:tc>
        <w:tc>
          <w:tcPr>
            <w:tcW w:w="2125" w:type="dxa"/>
            <w:gridSpan w:val="2"/>
          </w:tcPr>
          <w:p w14:paraId="0ADAAADE" w14:textId="77777777" w:rsidR="00E343F2" w:rsidRPr="00A41B49" w:rsidRDefault="00E343F2" w:rsidP="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Відхилення</w:t>
            </w:r>
          </w:p>
        </w:tc>
      </w:tr>
      <w:tr w:rsidR="00A41B49" w:rsidRPr="00A41B49" w14:paraId="36E941BA" w14:textId="77777777" w:rsidTr="00CE06C3">
        <w:trPr>
          <w:jc w:val="center"/>
        </w:trPr>
        <w:tc>
          <w:tcPr>
            <w:tcW w:w="2077" w:type="dxa"/>
            <w:vMerge/>
          </w:tcPr>
          <w:p w14:paraId="1BAEADCE" w14:textId="77777777" w:rsidR="00E343F2" w:rsidRPr="00A41B49" w:rsidRDefault="00E343F2" w:rsidP="00D12870">
            <w:pPr>
              <w:rPr>
                <w:rFonts w:ascii="Times New Roman" w:hAnsi="Times New Roman" w:cs="Times New Roman"/>
                <w:sz w:val="24"/>
                <w:szCs w:val="24"/>
                <w:lang w:val="uk-UA"/>
              </w:rPr>
            </w:pPr>
          </w:p>
        </w:tc>
        <w:tc>
          <w:tcPr>
            <w:tcW w:w="996" w:type="dxa"/>
          </w:tcPr>
          <w:p w14:paraId="174E71B0" w14:textId="77777777" w:rsidR="00E343F2" w:rsidRPr="00A41B49" w:rsidRDefault="00E343F2" w:rsidP="00D12870">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млн дол</w:t>
            </w:r>
          </w:p>
        </w:tc>
        <w:tc>
          <w:tcPr>
            <w:tcW w:w="756" w:type="dxa"/>
          </w:tcPr>
          <w:p w14:paraId="376C19BF" w14:textId="77777777" w:rsidR="00E343F2" w:rsidRPr="00A41B49" w:rsidRDefault="00E343F2" w:rsidP="00D12870">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w:t>
            </w:r>
          </w:p>
        </w:tc>
        <w:tc>
          <w:tcPr>
            <w:tcW w:w="996" w:type="dxa"/>
          </w:tcPr>
          <w:p w14:paraId="49247FB0" w14:textId="77777777" w:rsidR="00E343F2" w:rsidRPr="00A41B49" w:rsidRDefault="00E343F2" w:rsidP="00D12870">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млн дол</w:t>
            </w:r>
          </w:p>
        </w:tc>
        <w:tc>
          <w:tcPr>
            <w:tcW w:w="756" w:type="dxa"/>
          </w:tcPr>
          <w:p w14:paraId="184371D6" w14:textId="77777777" w:rsidR="00E343F2" w:rsidRPr="00A41B49" w:rsidRDefault="00E343F2" w:rsidP="00D12870">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w:t>
            </w:r>
          </w:p>
        </w:tc>
        <w:tc>
          <w:tcPr>
            <w:tcW w:w="996" w:type="dxa"/>
          </w:tcPr>
          <w:p w14:paraId="6E72CB9F" w14:textId="77777777" w:rsidR="00E343F2" w:rsidRPr="00A41B49" w:rsidRDefault="00E343F2" w:rsidP="00D12870">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млн дол</w:t>
            </w:r>
          </w:p>
        </w:tc>
        <w:tc>
          <w:tcPr>
            <w:tcW w:w="869" w:type="dxa"/>
          </w:tcPr>
          <w:p w14:paraId="44FA8B65" w14:textId="77777777" w:rsidR="00E343F2" w:rsidRPr="00A41B49" w:rsidRDefault="00E343F2" w:rsidP="00D12870">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w:t>
            </w:r>
          </w:p>
        </w:tc>
        <w:tc>
          <w:tcPr>
            <w:tcW w:w="1168" w:type="dxa"/>
          </w:tcPr>
          <w:p w14:paraId="5AC28C9D" w14:textId="77777777" w:rsidR="00E343F2" w:rsidRPr="00A41B49" w:rsidRDefault="00E343F2" w:rsidP="00FA775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млн дол</w:t>
            </w:r>
          </w:p>
        </w:tc>
        <w:tc>
          <w:tcPr>
            <w:tcW w:w="957" w:type="dxa"/>
          </w:tcPr>
          <w:p w14:paraId="74994497" w14:textId="77777777" w:rsidR="00E343F2" w:rsidRPr="00A41B49" w:rsidRDefault="00E343F2" w:rsidP="00FA775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w:t>
            </w:r>
          </w:p>
        </w:tc>
      </w:tr>
      <w:tr w:rsidR="00A41B49" w:rsidRPr="00A41B49" w14:paraId="3C296C29" w14:textId="77777777" w:rsidTr="00CE06C3">
        <w:trPr>
          <w:jc w:val="center"/>
        </w:trPr>
        <w:tc>
          <w:tcPr>
            <w:tcW w:w="2077" w:type="dxa"/>
          </w:tcPr>
          <w:p w14:paraId="2D8B5390" w14:textId="77777777" w:rsidR="00277AC6" w:rsidRPr="00A41B49" w:rsidRDefault="00277AC6" w:rsidP="00277AC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1</w:t>
            </w:r>
          </w:p>
        </w:tc>
        <w:tc>
          <w:tcPr>
            <w:tcW w:w="996" w:type="dxa"/>
          </w:tcPr>
          <w:p w14:paraId="551190BB" w14:textId="77777777" w:rsidR="00277AC6" w:rsidRPr="00A41B49" w:rsidRDefault="00277AC6" w:rsidP="00277AC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2</w:t>
            </w:r>
          </w:p>
        </w:tc>
        <w:tc>
          <w:tcPr>
            <w:tcW w:w="756" w:type="dxa"/>
          </w:tcPr>
          <w:p w14:paraId="1DEA3279" w14:textId="77777777" w:rsidR="00277AC6" w:rsidRPr="00A41B49" w:rsidRDefault="00277AC6" w:rsidP="00277AC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3</w:t>
            </w:r>
          </w:p>
        </w:tc>
        <w:tc>
          <w:tcPr>
            <w:tcW w:w="996" w:type="dxa"/>
          </w:tcPr>
          <w:p w14:paraId="3C9F0BF2" w14:textId="77777777" w:rsidR="00277AC6" w:rsidRPr="00A41B49" w:rsidRDefault="00277AC6" w:rsidP="00277AC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4</w:t>
            </w:r>
          </w:p>
        </w:tc>
        <w:tc>
          <w:tcPr>
            <w:tcW w:w="756" w:type="dxa"/>
          </w:tcPr>
          <w:p w14:paraId="3C9A2166" w14:textId="77777777" w:rsidR="00277AC6" w:rsidRPr="00A41B49" w:rsidRDefault="00277AC6" w:rsidP="00277AC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5</w:t>
            </w:r>
          </w:p>
        </w:tc>
        <w:tc>
          <w:tcPr>
            <w:tcW w:w="996" w:type="dxa"/>
          </w:tcPr>
          <w:p w14:paraId="000021C5" w14:textId="77777777" w:rsidR="00277AC6" w:rsidRPr="00A41B49" w:rsidRDefault="00277AC6" w:rsidP="00277AC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6</w:t>
            </w:r>
          </w:p>
        </w:tc>
        <w:tc>
          <w:tcPr>
            <w:tcW w:w="869" w:type="dxa"/>
          </w:tcPr>
          <w:p w14:paraId="201C42A2" w14:textId="77777777" w:rsidR="00277AC6" w:rsidRPr="00A41B49" w:rsidRDefault="00277AC6" w:rsidP="00277AC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7</w:t>
            </w:r>
          </w:p>
        </w:tc>
        <w:tc>
          <w:tcPr>
            <w:tcW w:w="1168" w:type="dxa"/>
          </w:tcPr>
          <w:p w14:paraId="7734FFF1" w14:textId="77777777" w:rsidR="00277AC6" w:rsidRPr="00A41B49" w:rsidRDefault="00277AC6" w:rsidP="00277AC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8</w:t>
            </w:r>
          </w:p>
        </w:tc>
        <w:tc>
          <w:tcPr>
            <w:tcW w:w="957" w:type="dxa"/>
          </w:tcPr>
          <w:p w14:paraId="474BA5EE" w14:textId="77777777" w:rsidR="00277AC6" w:rsidRPr="00A41B49" w:rsidRDefault="00277AC6" w:rsidP="00277AC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9</w:t>
            </w:r>
          </w:p>
        </w:tc>
      </w:tr>
      <w:tr w:rsidR="00A41B49" w:rsidRPr="00A41B49" w14:paraId="663C13AB" w14:textId="77777777" w:rsidTr="00CE06C3">
        <w:trPr>
          <w:jc w:val="center"/>
        </w:trPr>
        <w:tc>
          <w:tcPr>
            <w:tcW w:w="2077" w:type="dxa"/>
          </w:tcPr>
          <w:p w14:paraId="1C272C6D" w14:textId="77777777" w:rsidR="00B50E52" w:rsidRPr="00A41B49" w:rsidRDefault="00B50E52" w:rsidP="00D12870">
            <w:pPr>
              <w:rPr>
                <w:rFonts w:ascii="Times New Roman" w:hAnsi="Times New Roman" w:cs="Times New Roman"/>
                <w:sz w:val="24"/>
                <w:szCs w:val="24"/>
                <w:lang w:val="uk-UA"/>
              </w:rPr>
            </w:pPr>
            <w:r w:rsidRPr="00A41B49">
              <w:rPr>
                <w:rFonts w:ascii="Times New Roman" w:hAnsi="Times New Roman" w:cs="Times New Roman"/>
                <w:sz w:val="24"/>
                <w:szCs w:val="24"/>
                <w:lang w:val="uk-UA"/>
              </w:rPr>
              <w:t>Усього країна</w:t>
            </w:r>
          </w:p>
        </w:tc>
        <w:tc>
          <w:tcPr>
            <w:tcW w:w="996" w:type="dxa"/>
            <w:vAlign w:val="center"/>
          </w:tcPr>
          <w:p w14:paraId="25E008AC"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52091,4</w:t>
            </w:r>
          </w:p>
        </w:tc>
        <w:tc>
          <w:tcPr>
            <w:tcW w:w="756" w:type="dxa"/>
            <w:vAlign w:val="center"/>
          </w:tcPr>
          <w:p w14:paraId="1EB9755E"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100,0</w:t>
            </w:r>
          </w:p>
        </w:tc>
        <w:tc>
          <w:tcPr>
            <w:tcW w:w="996" w:type="dxa"/>
            <w:vAlign w:val="center"/>
          </w:tcPr>
          <w:p w14:paraId="4BD86A8B"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65746,8</w:t>
            </w:r>
          </w:p>
        </w:tc>
        <w:tc>
          <w:tcPr>
            <w:tcW w:w="756" w:type="dxa"/>
            <w:vAlign w:val="center"/>
          </w:tcPr>
          <w:p w14:paraId="487C36B4"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100,0</w:t>
            </w:r>
          </w:p>
        </w:tc>
        <w:tc>
          <w:tcPr>
            <w:tcW w:w="996" w:type="dxa"/>
            <w:vAlign w:val="center"/>
          </w:tcPr>
          <w:p w14:paraId="604B79EB"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50986,7</w:t>
            </w:r>
          </w:p>
        </w:tc>
        <w:tc>
          <w:tcPr>
            <w:tcW w:w="869" w:type="dxa"/>
            <w:vAlign w:val="center"/>
          </w:tcPr>
          <w:p w14:paraId="4A91271A"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100,0</w:t>
            </w:r>
          </w:p>
        </w:tc>
        <w:tc>
          <w:tcPr>
            <w:tcW w:w="1168" w:type="dxa"/>
            <w:vAlign w:val="center"/>
          </w:tcPr>
          <w:p w14:paraId="3D95FE84"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-1104,7</w:t>
            </w:r>
          </w:p>
        </w:tc>
        <w:tc>
          <w:tcPr>
            <w:tcW w:w="957" w:type="dxa"/>
            <w:vAlign w:val="center"/>
          </w:tcPr>
          <w:p w14:paraId="3E51E146"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0,0</w:t>
            </w:r>
          </w:p>
        </w:tc>
      </w:tr>
      <w:tr w:rsidR="00A41B49" w:rsidRPr="00A41B49" w14:paraId="74E25216" w14:textId="77777777" w:rsidTr="00CE06C3">
        <w:trPr>
          <w:jc w:val="center"/>
        </w:trPr>
        <w:tc>
          <w:tcPr>
            <w:tcW w:w="2077" w:type="dxa"/>
            <w:vAlign w:val="center"/>
          </w:tcPr>
          <w:p w14:paraId="29CB6DC6" w14:textId="77777777" w:rsidR="00B50E52" w:rsidRPr="00A41B49" w:rsidRDefault="00B50E52"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Вінницька</w:t>
            </w:r>
          </w:p>
        </w:tc>
        <w:tc>
          <w:tcPr>
            <w:tcW w:w="996" w:type="dxa"/>
            <w:vAlign w:val="center"/>
          </w:tcPr>
          <w:p w14:paraId="7C3F18EC"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737,8</w:t>
            </w:r>
          </w:p>
        </w:tc>
        <w:tc>
          <w:tcPr>
            <w:tcW w:w="756" w:type="dxa"/>
            <w:vAlign w:val="center"/>
          </w:tcPr>
          <w:p w14:paraId="1BAC0754"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1,4</w:t>
            </w:r>
          </w:p>
        </w:tc>
        <w:tc>
          <w:tcPr>
            <w:tcW w:w="996" w:type="dxa"/>
            <w:vAlign w:val="center"/>
          </w:tcPr>
          <w:p w14:paraId="31A1E314"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874,8</w:t>
            </w:r>
          </w:p>
        </w:tc>
        <w:tc>
          <w:tcPr>
            <w:tcW w:w="756" w:type="dxa"/>
            <w:vAlign w:val="center"/>
          </w:tcPr>
          <w:p w14:paraId="2A914DA2"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1,3</w:t>
            </w:r>
          </w:p>
        </w:tc>
        <w:tc>
          <w:tcPr>
            <w:tcW w:w="996" w:type="dxa"/>
            <w:vAlign w:val="center"/>
          </w:tcPr>
          <w:p w14:paraId="235C11C0"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925,3</w:t>
            </w:r>
          </w:p>
        </w:tc>
        <w:tc>
          <w:tcPr>
            <w:tcW w:w="869" w:type="dxa"/>
            <w:vAlign w:val="center"/>
          </w:tcPr>
          <w:p w14:paraId="1E21BAAF"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1,8</w:t>
            </w:r>
          </w:p>
        </w:tc>
        <w:tc>
          <w:tcPr>
            <w:tcW w:w="1168" w:type="dxa"/>
            <w:vAlign w:val="center"/>
          </w:tcPr>
          <w:p w14:paraId="0F038D71"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187,5</w:t>
            </w:r>
          </w:p>
        </w:tc>
        <w:tc>
          <w:tcPr>
            <w:tcW w:w="957" w:type="dxa"/>
            <w:vAlign w:val="center"/>
          </w:tcPr>
          <w:p w14:paraId="1655CE91"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0,4</w:t>
            </w:r>
          </w:p>
        </w:tc>
      </w:tr>
      <w:tr w:rsidR="00A41B49" w:rsidRPr="00A41B49" w14:paraId="6798EEF9" w14:textId="77777777" w:rsidTr="00CE06C3">
        <w:trPr>
          <w:jc w:val="center"/>
        </w:trPr>
        <w:tc>
          <w:tcPr>
            <w:tcW w:w="2077" w:type="dxa"/>
            <w:vAlign w:val="center"/>
          </w:tcPr>
          <w:p w14:paraId="297405C9" w14:textId="77777777" w:rsidR="00B50E52" w:rsidRPr="00A41B49" w:rsidRDefault="00B50E52"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Волинська</w:t>
            </w:r>
          </w:p>
        </w:tc>
        <w:tc>
          <w:tcPr>
            <w:tcW w:w="996" w:type="dxa"/>
            <w:vAlign w:val="center"/>
          </w:tcPr>
          <w:p w14:paraId="630ECA28"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331,2</w:t>
            </w:r>
          </w:p>
        </w:tc>
        <w:tc>
          <w:tcPr>
            <w:tcW w:w="756" w:type="dxa"/>
            <w:vAlign w:val="center"/>
          </w:tcPr>
          <w:p w14:paraId="496E4E13"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0,6</w:t>
            </w:r>
          </w:p>
        </w:tc>
        <w:tc>
          <w:tcPr>
            <w:tcW w:w="996" w:type="dxa"/>
            <w:vAlign w:val="center"/>
          </w:tcPr>
          <w:p w14:paraId="27B61E2C"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445,2</w:t>
            </w:r>
          </w:p>
        </w:tc>
        <w:tc>
          <w:tcPr>
            <w:tcW w:w="756" w:type="dxa"/>
            <w:vAlign w:val="center"/>
          </w:tcPr>
          <w:p w14:paraId="10B04DB6"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0,7</w:t>
            </w:r>
          </w:p>
        </w:tc>
        <w:tc>
          <w:tcPr>
            <w:tcW w:w="996" w:type="dxa"/>
            <w:vAlign w:val="center"/>
          </w:tcPr>
          <w:p w14:paraId="56A1FCC8"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367,7</w:t>
            </w:r>
          </w:p>
        </w:tc>
        <w:tc>
          <w:tcPr>
            <w:tcW w:w="869" w:type="dxa"/>
            <w:vAlign w:val="center"/>
          </w:tcPr>
          <w:p w14:paraId="1F6B714E"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0,7</w:t>
            </w:r>
          </w:p>
        </w:tc>
        <w:tc>
          <w:tcPr>
            <w:tcW w:w="1168" w:type="dxa"/>
            <w:vAlign w:val="center"/>
          </w:tcPr>
          <w:p w14:paraId="77E67F58"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36,5</w:t>
            </w:r>
          </w:p>
        </w:tc>
        <w:tc>
          <w:tcPr>
            <w:tcW w:w="957" w:type="dxa"/>
            <w:vAlign w:val="center"/>
          </w:tcPr>
          <w:p w14:paraId="60B05425"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0,1</w:t>
            </w:r>
          </w:p>
        </w:tc>
      </w:tr>
      <w:tr w:rsidR="00A41B49" w:rsidRPr="00A41B49" w14:paraId="68D86AD5" w14:textId="77777777" w:rsidTr="00CE06C3">
        <w:trPr>
          <w:jc w:val="center"/>
        </w:trPr>
        <w:tc>
          <w:tcPr>
            <w:tcW w:w="2077" w:type="dxa"/>
            <w:vAlign w:val="center"/>
          </w:tcPr>
          <w:p w14:paraId="7114B6FF" w14:textId="77777777" w:rsidR="00B50E52" w:rsidRPr="00A41B49" w:rsidRDefault="00B50E52"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Дніпропетровська</w:t>
            </w:r>
          </w:p>
        </w:tc>
        <w:tc>
          <w:tcPr>
            <w:tcW w:w="996" w:type="dxa"/>
            <w:vAlign w:val="center"/>
          </w:tcPr>
          <w:p w14:paraId="42BD4E18"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5772,7</w:t>
            </w:r>
          </w:p>
        </w:tc>
        <w:tc>
          <w:tcPr>
            <w:tcW w:w="756" w:type="dxa"/>
            <w:vAlign w:val="center"/>
          </w:tcPr>
          <w:p w14:paraId="7369D97D"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11,1</w:t>
            </w:r>
          </w:p>
        </w:tc>
        <w:tc>
          <w:tcPr>
            <w:tcW w:w="996" w:type="dxa"/>
            <w:vAlign w:val="center"/>
          </w:tcPr>
          <w:p w14:paraId="3EC98A65"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9979,6</w:t>
            </w:r>
          </w:p>
        </w:tc>
        <w:tc>
          <w:tcPr>
            <w:tcW w:w="756" w:type="dxa"/>
            <w:vAlign w:val="center"/>
          </w:tcPr>
          <w:p w14:paraId="54CF1371"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15,2</w:t>
            </w:r>
          </w:p>
        </w:tc>
        <w:tc>
          <w:tcPr>
            <w:tcW w:w="996" w:type="dxa"/>
            <w:vAlign w:val="center"/>
          </w:tcPr>
          <w:p w14:paraId="2729AC38"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7655,4</w:t>
            </w:r>
          </w:p>
        </w:tc>
        <w:tc>
          <w:tcPr>
            <w:tcW w:w="869" w:type="dxa"/>
            <w:vAlign w:val="center"/>
          </w:tcPr>
          <w:p w14:paraId="04C0B5D7"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15,0</w:t>
            </w:r>
          </w:p>
        </w:tc>
        <w:tc>
          <w:tcPr>
            <w:tcW w:w="1168" w:type="dxa"/>
            <w:vAlign w:val="center"/>
          </w:tcPr>
          <w:p w14:paraId="700CB63F"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1882,7</w:t>
            </w:r>
          </w:p>
        </w:tc>
        <w:tc>
          <w:tcPr>
            <w:tcW w:w="957" w:type="dxa"/>
            <w:vAlign w:val="center"/>
          </w:tcPr>
          <w:p w14:paraId="32B8711E"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3,9</w:t>
            </w:r>
          </w:p>
        </w:tc>
      </w:tr>
      <w:tr w:rsidR="00A41B49" w:rsidRPr="00A41B49" w14:paraId="32D310C6" w14:textId="77777777" w:rsidTr="00CE06C3">
        <w:trPr>
          <w:jc w:val="center"/>
        </w:trPr>
        <w:tc>
          <w:tcPr>
            <w:tcW w:w="2077" w:type="dxa"/>
            <w:vAlign w:val="center"/>
          </w:tcPr>
          <w:p w14:paraId="51874C89" w14:textId="77777777" w:rsidR="00B060E0" w:rsidRPr="00A41B49" w:rsidRDefault="00B060E0"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Донецька</w:t>
            </w:r>
          </w:p>
        </w:tc>
        <w:tc>
          <w:tcPr>
            <w:tcW w:w="996" w:type="dxa"/>
            <w:vAlign w:val="center"/>
          </w:tcPr>
          <w:p w14:paraId="4E9017D5" w14:textId="77777777" w:rsidR="00B060E0" w:rsidRPr="00A41B49" w:rsidRDefault="00B060E0">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2438,1</w:t>
            </w:r>
          </w:p>
        </w:tc>
        <w:tc>
          <w:tcPr>
            <w:tcW w:w="756" w:type="dxa"/>
            <w:vAlign w:val="center"/>
          </w:tcPr>
          <w:p w14:paraId="08EF2E15" w14:textId="77777777" w:rsidR="00B060E0" w:rsidRPr="00A41B49" w:rsidRDefault="00B060E0">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4,7</w:t>
            </w:r>
          </w:p>
        </w:tc>
        <w:tc>
          <w:tcPr>
            <w:tcW w:w="996" w:type="dxa"/>
            <w:vAlign w:val="center"/>
          </w:tcPr>
          <w:p w14:paraId="5AC79E17" w14:textId="77777777" w:rsidR="00B060E0" w:rsidRPr="00A41B49" w:rsidRDefault="00B060E0">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3250,1</w:t>
            </w:r>
          </w:p>
        </w:tc>
        <w:tc>
          <w:tcPr>
            <w:tcW w:w="756" w:type="dxa"/>
            <w:vAlign w:val="center"/>
          </w:tcPr>
          <w:p w14:paraId="3708B69E" w14:textId="77777777" w:rsidR="00B060E0" w:rsidRPr="00A41B49" w:rsidRDefault="00B060E0">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4,9</w:t>
            </w:r>
          </w:p>
        </w:tc>
        <w:tc>
          <w:tcPr>
            <w:tcW w:w="996" w:type="dxa"/>
            <w:vAlign w:val="center"/>
          </w:tcPr>
          <w:p w14:paraId="64529234" w14:textId="77777777" w:rsidR="00B060E0" w:rsidRPr="00A41B49" w:rsidRDefault="00B060E0" w:rsidP="00503FCA">
            <w:pPr>
              <w:jc w:val="right"/>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869" w:type="dxa"/>
            <w:vAlign w:val="center"/>
          </w:tcPr>
          <w:p w14:paraId="4EBFC7AE" w14:textId="77777777" w:rsidR="00B060E0" w:rsidRPr="00A41B49" w:rsidRDefault="00B060E0" w:rsidP="00503FCA">
            <w:pPr>
              <w:jc w:val="right"/>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1168" w:type="dxa"/>
            <w:vAlign w:val="center"/>
          </w:tcPr>
          <w:p w14:paraId="2E5C428B" w14:textId="77777777" w:rsidR="00B060E0" w:rsidRPr="00A41B49" w:rsidRDefault="00B060E0" w:rsidP="00503FCA">
            <w:pPr>
              <w:jc w:val="right"/>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57" w:type="dxa"/>
            <w:vAlign w:val="center"/>
          </w:tcPr>
          <w:p w14:paraId="24718A4A" w14:textId="77777777" w:rsidR="00B060E0" w:rsidRPr="00A41B49" w:rsidRDefault="00B060E0" w:rsidP="00503FCA">
            <w:pPr>
              <w:jc w:val="right"/>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r>
      <w:tr w:rsidR="00A41B49" w:rsidRPr="00A41B49" w14:paraId="302C4CD9" w14:textId="77777777" w:rsidTr="00CE06C3">
        <w:trPr>
          <w:jc w:val="center"/>
        </w:trPr>
        <w:tc>
          <w:tcPr>
            <w:tcW w:w="2077" w:type="dxa"/>
            <w:vAlign w:val="center"/>
          </w:tcPr>
          <w:p w14:paraId="6637583D" w14:textId="77777777" w:rsidR="00B50E52" w:rsidRPr="00A41B49" w:rsidRDefault="00B50E52"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Житомирська</w:t>
            </w:r>
          </w:p>
        </w:tc>
        <w:tc>
          <w:tcPr>
            <w:tcW w:w="996" w:type="dxa"/>
            <w:vAlign w:val="center"/>
          </w:tcPr>
          <w:p w14:paraId="744113F8"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692,5</w:t>
            </w:r>
          </w:p>
        </w:tc>
        <w:tc>
          <w:tcPr>
            <w:tcW w:w="756" w:type="dxa"/>
            <w:vAlign w:val="center"/>
          </w:tcPr>
          <w:p w14:paraId="7FA7FBF0"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1,3</w:t>
            </w:r>
          </w:p>
        </w:tc>
        <w:tc>
          <w:tcPr>
            <w:tcW w:w="996" w:type="dxa"/>
            <w:vAlign w:val="center"/>
          </w:tcPr>
          <w:p w14:paraId="6A792749"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808,0</w:t>
            </w:r>
          </w:p>
        </w:tc>
        <w:tc>
          <w:tcPr>
            <w:tcW w:w="756" w:type="dxa"/>
            <w:vAlign w:val="center"/>
          </w:tcPr>
          <w:p w14:paraId="44E51A86"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1,2</w:t>
            </w:r>
          </w:p>
        </w:tc>
        <w:tc>
          <w:tcPr>
            <w:tcW w:w="996" w:type="dxa"/>
            <w:vAlign w:val="center"/>
          </w:tcPr>
          <w:p w14:paraId="24375BF3"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682,7</w:t>
            </w:r>
          </w:p>
        </w:tc>
        <w:tc>
          <w:tcPr>
            <w:tcW w:w="869" w:type="dxa"/>
            <w:vAlign w:val="center"/>
          </w:tcPr>
          <w:p w14:paraId="7ACF47E0"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1,3</w:t>
            </w:r>
          </w:p>
        </w:tc>
        <w:tc>
          <w:tcPr>
            <w:tcW w:w="1168" w:type="dxa"/>
            <w:vAlign w:val="center"/>
          </w:tcPr>
          <w:p w14:paraId="7D054AF7"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-9,8</w:t>
            </w:r>
          </w:p>
        </w:tc>
        <w:tc>
          <w:tcPr>
            <w:tcW w:w="957" w:type="dxa"/>
            <w:vAlign w:val="center"/>
          </w:tcPr>
          <w:p w14:paraId="4F19E9D4"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0,0</w:t>
            </w:r>
          </w:p>
        </w:tc>
      </w:tr>
      <w:tr w:rsidR="00A41B49" w:rsidRPr="00A41B49" w14:paraId="5A4DB965" w14:textId="77777777" w:rsidTr="00CE06C3">
        <w:trPr>
          <w:jc w:val="center"/>
        </w:trPr>
        <w:tc>
          <w:tcPr>
            <w:tcW w:w="2077" w:type="dxa"/>
            <w:vAlign w:val="center"/>
          </w:tcPr>
          <w:p w14:paraId="2E8CEAB6" w14:textId="77777777" w:rsidR="00B50E52" w:rsidRPr="00A41B49" w:rsidRDefault="00B50E52"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Закарпатська</w:t>
            </w:r>
          </w:p>
        </w:tc>
        <w:tc>
          <w:tcPr>
            <w:tcW w:w="996" w:type="dxa"/>
            <w:vAlign w:val="center"/>
          </w:tcPr>
          <w:p w14:paraId="6F1525B3"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407,9</w:t>
            </w:r>
          </w:p>
        </w:tc>
        <w:tc>
          <w:tcPr>
            <w:tcW w:w="756" w:type="dxa"/>
            <w:vAlign w:val="center"/>
          </w:tcPr>
          <w:p w14:paraId="19543F36"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0,8</w:t>
            </w:r>
          </w:p>
        </w:tc>
        <w:tc>
          <w:tcPr>
            <w:tcW w:w="996" w:type="dxa"/>
            <w:vAlign w:val="center"/>
          </w:tcPr>
          <w:p w14:paraId="5009C5C5"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754,4</w:t>
            </w:r>
          </w:p>
        </w:tc>
        <w:tc>
          <w:tcPr>
            <w:tcW w:w="756" w:type="dxa"/>
            <w:vAlign w:val="center"/>
          </w:tcPr>
          <w:p w14:paraId="21F4F787"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1,1</w:t>
            </w:r>
          </w:p>
        </w:tc>
        <w:tc>
          <w:tcPr>
            <w:tcW w:w="996" w:type="dxa"/>
            <w:vAlign w:val="center"/>
          </w:tcPr>
          <w:p w14:paraId="4DC8AB2B"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589,9</w:t>
            </w:r>
          </w:p>
        </w:tc>
        <w:tc>
          <w:tcPr>
            <w:tcW w:w="869" w:type="dxa"/>
            <w:vAlign w:val="center"/>
          </w:tcPr>
          <w:p w14:paraId="265B6225"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1,2</w:t>
            </w:r>
          </w:p>
        </w:tc>
        <w:tc>
          <w:tcPr>
            <w:tcW w:w="1168" w:type="dxa"/>
            <w:vAlign w:val="center"/>
          </w:tcPr>
          <w:p w14:paraId="1AD0F0E6"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182,0</w:t>
            </w:r>
          </w:p>
        </w:tc>
        <w:tc>
          <w:tcPr>
            <w:tcW w:w="957" w:type="dxa"/>
            <w:vAlign w:val="center"/>
          </w:tcPr>
          <w:p w14:paraId="5CB657A8"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0,4</w:t>
            </w:r>
          </w:p>
        </w:tc>
      </w:tr>
      <w:tr w:rsidR="00A41B49" w:rsidRPr="00A41B49" w14:paraId="77ABD52D" w14:textId="77777777" w:rsidTr="00CE06C3">
        <w:trPr>
          <w:jc w:val="center"/>
        </w:trPr>
        <w:tc>
          <w:tcPr>
            <w:tcW w:w="2077" w:type="dxa"/>
            <w:vAlign w:val="center"/>
          </w:tcPr>
          <w:p w14:paraId="72CE5113" w14:textId="77777777" w:rsidR="00B50E52" w:rsidRPr="00A41B49" w:rsidRDefault="00B50E52"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Запорізька</w:t>
            </w:r>
          </w:p>
        </w:tc>
        <w:tc>
          <w:tcPr>
            <w:tcW w:w="996" w:type="dxa"/>
            <w:vAlign w:val="center"/>
          </w:tcPr>
          <w:p w14:paraId="700929A1"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1558,1</w:t>
            </w:r>
          </w:p>
        </w:tc>
        <w:tc>
          <w:tcPr>
            <w:tcW w:w="756" w:type="dxa"/>
            <w:vAlign w:val="center"/>
          </w:tcPr>
          <w:p w14:paraId="2A8EFCB3"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3,0</w:t>
            </w:r>
          </w:p>
        </w:tc>
        <w:tc>
          <w:tcPr>
            <w:tcW w:w="996" w:type="dxa"/>
            <w:vAlign w:val="center"/>
          </w:tcPr>
          <w:p w14:paraId="4A813891"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2455,9</w:t>
            </w:r>
          </w:p>
        </w:tc>
        <w:tc>
          <w:tcPr>
            <w:tcW w:w="756" w:type="dxa"/>
            <w:vAlign w:val="center"/>
          </w:tcPr>
          <w:p w14:paraId="5A63EED6"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3,7</w:t>
            </w:r>
          </w:p>
        </w:tc>
        <w:tc>
          <w:tcPr>
            <w:tcW w:w="996" w:type="dxa"/>
            <w:vAlign w:val="center"/>
          </w:tcPr>
          <w:p w14:paraId="46CE719E"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1688,5</w:t>
            </w:r>
          </w:p>
        </w:tc>
        <w:tc>
          <w:tcPr>
            <w:tcW w:w="869" w:type="dxa"/>
            <w:vAlign w:val="center"/>
          </w:tcPr>
          <w:p w14:paraId="78E9871F"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3,3</w:t>
            </w:r>
          </w:p>
        </w:tc>
        <w:tc>
          <w:tcPr>
            <w:tcW w:w="1168" w:type="dxa"/>
            <w:vAlign w:val="center"/>
          </w:tcPr>
          <w:p w14:paraId="31F1B077"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130,4</w:t>
            </w:r>
          </w:p>
        </w:tc>
        <w:tc>
          <w:tcPr>
            <w:tcW w:w="957" w:type="dxa"/>
            <w:vAlign w:val="center"/>
          </w:tcPr>
          <w:p w14:paraId="200B96FB"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0,3</w:t>
            </w:r>
          </w:p>
        </w:tc>
      </w:tr>
      <w:tr w:rsidR="00A41B49" w:rsidRPr="00A41B49" w14:paraId="756D9E7B" w14:textId="77777777" w:rsidTr="00CE06C3">
        <w:trPr>
          <w:jc w:val="center"/>
        </w:trPr>
        <w:tc>
          <w:tcPr>
            <w:tcW w:w="2077" w:type="dxa"/>
            <w:vAlign w:val="center"/>
          </w:tcPr>
          <w:p w14:paraId="161E0FD1" w14:textId="77777777" w:rsidR="00B50E52" w:rsidRPr="00A41B49" w:rsidRDefault="00B50E52"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Івано-Франківська</w:t>
            </w:r>
          </w:p>
        </w:tc>
        <w:tc>
          <w:tcPr>
            <w:tcW w:w="996" w:type="dxa"/>
            <w:vAlign w:val="center"/>
          </w:tcPr>
          <w:p w14:paraId="1A519121"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679,5</w:t>
            </w:r>
          </w:p>
        </w:tc>
        <w:tc>
          <w:tcPr>
            <w:tcW w:w="756" w:type="dxa"/>
            <w:vAlign w:val="center"/>
          </w:tcPr>
          <w:p w14:paraId="46396E6A"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1,3</w:t>
            </w:r>
          </w:p>
        </w:tc>
        <w:tc>
          <w:tcPr>
            <w:tcW w:w="996" w:type="dxa"/>
            <w:vAlign w:val="center"/>
          </w:tcPr>
          <w:p w14:paraId="244DA0AA"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1418,7</w:t>
            </w:r>
          </w:p>
        </w:tc>
        <w:tc>
          <w:tcPr>
            <w:tcW w:w="756" w:type="dxa"/>
            <w:vAlign w:val="center"/>
          </w:tcPr>
          <w:p w14:paraId="51197086"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2,2</w:t>
            </w:r>
          </w:p>
        </w:tc>
        <w:tc>
          <w:tcPr>
            <w:tcW w:w="996" w:type="dxa"/>
            <w:vAlign w:val="center"/>
          </w:tcPr>
          <w:p w14:paraId="57FEAB8E"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1321,3</w:t>
            </w:r>
          </w:p>
        </w:tc>
        <w:tc>
          <w:tcPr>
            <w:tcW w:w="869" w:type="dxa"/>
            <w:vAlign w:val="center"/>
          </w:tcPr>
          <w:p w14:paraId="60084F7C"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2,6</w:t>
            </w:r>
          </w:p>
        </w:tc>
        <w:tc>
          <w:tcPr>
            <w:tcW w:w="1168" w:type="dxa"/>
            <w:vAlign w:val="center"/>
          </w:tcPr>
          <w:p w14:paraId="39DE2D47"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641,8</w:t>
            </w:r>
          </w:p>
        </w:tc>
        <w:tc>
          <w:tcPr>
            <w:tcW w:w="957" w:type="dxa"/>
            <w:vAlign w:val="center"/>
          </w:tcPr>
          <w:p w14:paraId="1B7BBF7B"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1,3</w:t>
            </w:r>
          </w:p>
        </w:tc>
      </w:tr>
      <w:tr w:rsidR="00A41B49" w:rsidRPr="00A41B49" w14:paraId="79A52B82" w14:textId="77777777" w:rsidTr="00CE06C3">
        <w:trPr>
          <w:jc w:val="center"/>
        </w:trPr>
        <w:tc>
          <w:tcPr>
            <w:tcW w:w="2077" w:type="dxa"/>
            <w:vAlign w:val="center"/>
          </w:tcPr>
          <w:p w14:paraId="0965DBDC" w14:textId="77777777" w:rsidR="00B50E52" w:rsidRPr="00A41B49" w:rsidRDefault="00B50E52"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Київська</w:t>
            </w:r>
          </w:p>
        </w:tc>
        <w:tc>
          <w:tcPr>
            <w:tcW w:w="996" w:type="dxa"/>
            <w:vAlign w:val="center"/>
          </w:tcPr>
          <w:p w14:paraId="23B02E1D"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2189,7</w:t>
            </w:r>
          </w:p>
        </w:tc>
        <w:tc>
          <w:tcPr>
            <w:tcW w:w="756" w:type="dxa"/>
            <w:vAlign w:val="center"/>
          </w:tcPr>
          <w:p w14:paraId="38E5C1F0"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4,2</w:t>
            </w:r>
          </w:p>
        </w:tc>
        <w:tc>
          <w:tcPr>
            <w:tcW w:w="996" w:type="dxa"/>
            <w:vAlign w:val="center"/>
          </w:tcPr>
          <w:p w14:paraId="614DDEE4"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2727,2</w:t>
            </w:r>
          </w:p>
        </w:tc>
        <w:tc>
          <w:tcPr>
            <w:tcW w:w="756" w:type="dxa"/>
            <w:vAlign w:val="center"/>
          </w:tcPr>
          <w:p w14:paraId="036CAE58"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4,1</w:t>
            </w:r>
          </w:p>
        </w:tc>
        <w:tc>
          <w:tcPr>
            <w:tcW w:w="996" w:type="dxa"/>
            <w:vAlign w:val="center"/>
          </w:tcPr>
          <w:p w14:paraId="7B690D74"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2282,6</w:t>
            </w:r>
          </w:p>
        </w:tc>
        <w:tc>
          <w:tcPr>
            <w:tcW w:w="869" w:type="dxa"/>
            <w:vAlign w:val="center"/>
          </w:tcPr>
          <w:p w14:paraId="083610C8"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4,5</w:t>
            </w:r>
          </w:p>
        </w:tc>
        <w:tc>
          <w:tcPr>
            <w:tcW w:w="1168" w:type="dxa"/>
            <w:vAlign w:val="center"/>
          </w:tcPr>
          <w:p w14:paraId="1D2E8307"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92,9</w:t>
            </w:r>
          </w:p>
        </w:tc>
        <w:tc>
          <w:tcPr>
            <w:tcW w:w="957" w:type="dxa"/>
            <w:vAlign w:val="center"/>
          </w:tcPr>
          <w:p w14:paraId="1C656A21"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0,3</w:t>
            </w:r>
          </w:p>
        </w:tc>
      </w:tr>
      <w:tr w:rsidR="00A41B49" w:rsidRPr="00A41B49" w14:paraId="4A5615D9" w14:textId="77777777" w:rsidTr="00CE06C3">
        <w:trPr>
          <w:jc w:val="center"/>
        </w:trPr>
        <w:tc>
          <w:tcPr>
            <w:tcW w:w="2077" w:type="dxa"/>
            <w:vAlign w:val="center"/>
          </w:tcPr>
          <w:p w14:paraId="50830AEB" w14:textId="77777777" w:rsidR="00B50E52" w:rsidRPr="00A41B49" w:rsidRDefault="00B50E52"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Кіровоградська</w:t>
            </w:r>
          </w:p>
        </w:tc>
        <w:tc>
          <w:tcPr>
            <w:tcW w:w="996" w:type="dxa"/>
            <w:vAlign w:val="center"/>
          </w:tcPr>
          <w:p w14:paraId="4E46BA67"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194,0</w:t>
            </w:r>
          </w:p>
        </w:tc>
        <w:tc>
          <w:tcPr>
            <w:tcW w:w="756" w:type="dxa"/>
            <w:vAlign w:val="center"/>
          </w:tcPr>
          <w:p w14:paraId="0A69E3E1"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0,4</w:t>
            </w:r>
          </w:p>
        </w:tc>
        <w:tc>
          <w:tcPr>
            <w:tcW w:w="996" w:type="dxa"/>
            <w:vAlign w:val="center"/>
          </w:tcPr>
          <w:p w14:paraId="1B57D5C7"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237,5</w:t>
            </w:r>
          </w:p>
        </w:tc>
        <w:tc>
          <w:tcPr>
            <w:tcW w:w="756" w:type="dxa"/>
            <w:vAlign w:val="center"/>
          </w:tcPr>
          <w:p w14:paraId="13B0FF20"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0,4</w:t>
            </w:r>
          </w:p>
        </w:tc>
        <w:tc>
          <w:tcPr>
            <w:tcW w:w="996" w:type="dxa"/>
            <w:vAlign w:val="center"/>
          </w:tcPr>
          <w:p w14:paraId="08381B36"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212,2</w:t>
            </w:r>
          </w:p>
        </w:tc>
        <w:tc>
          <w:tcPr>
            <w:tcW w:w="869" w:type="dxa"/>
            <w:vAlign w:val="center"/>
          </w:tcPr>
          <w:p w14:paraId="6B789D03"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0,4</w:t>
            </w:r>
          </w:p>
        </w:tc>
        <w:tc>
          <w:tcPr>
            <w:tcW w:w="1168" w:type="dxa"/>
            <w:vAlign w:val="center"/>
          </w:tcPr>
          <w:p w14:paraId="0D2C775A"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18,2</w:t>
            </w:r>
          </w:p>
        </w:tc>
        <w:tc>
          <w:tcPr>
            <w:tcW w:w="957" w:type="dxa"/>
            <w:vAlign w:val="center"/>
          </w:tcPr>
          <w:p w14:paraId="7DEB6386"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0,0</w:t>
            </w:r>
          </w:p>
        </w:tc>
      </w:tr>
      <w:tr w:rsidR="00A41B49" w:rsidRPr="00A41B49" w14:paraId="0B0015ED" w14:textId="77777777" w:rsidTr="00CE06C3">
        <w:trPr>
          <w:jc w:val="center"/>
        </w:trPr>
        <w:tc>
          <w:tcPr>
            <w:tcW w:w="2077" w:type="dxa"/>
            <w:vAlign w:val="center"/>
          </w:tcPr>
          <w:p w14:paraId="6390FD92" w14:textId="77777777" w:rsidR="00B060E0" w:rsidRPr="00A41B49" w:rsidRDefault="00B060E0"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Луганська</w:t>
            </w:r>
          </w:p>
        </w:tc>
        <w:tc>
          <w:tcPr>
            <w:tcW w:w="996" w:type="dxa"/>
            <w:vAlign w:val="center"/>
          </w:tcPr>
          <w:p w14:paraId="4C5CBEC7" w14:textId="77777777" w:rsidR="00B060E0" w:rsidRPr="00A41B49" w:rsidRDefault="00B060E0">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385,2</w:t>
            </w:r>
          </w:p>
        </w:tc>
        <w:tc>
          <w:tcPr>
            <w:tcW w:w="756" w:type="dxa"/>
            <w:vAlign w:val="center"/>
          </w:tcPr>
          <w:p w14:paraId="1D0FB1FC" w14:textId="77777777" w:rsidR="00B060E0" w:rsidRPr="00A41B49" w:rsidRDefault="00B060E0">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0,7</w:t>
            </w:r>
          </w:p>
        </w:tc>
        <w:tc>
          <w:tcPr>
            <w:tcW w:w="996" w:type="dxa"/>
            <w:vAlign w:val="center"/>
          </w:tcPr>
          <w:p w14:paraId="7E2BD447" w14:textId="77777777" w:rsidR="00B060E0" w:rsidRPr="00A41B49" w:rsidRDefault="00B060E0">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855,5</w:t>
            </w:r>
          </w:p>
        </w:tc>
        <w:tc>
          <w:tcPr>
            <w:tcW w:w="756" w:type="dxa"/>
            <w:vAlign w:val="center"/>
          </w:tcPr>
          <w:p w14:paraId="727BAFC9" w14:textId="77777777" w:rsidR="00B060E0" w:rsidRPr="00A41B49" w:rsidRDefault="00B060E0">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1,3</w:t>
            </w:r>
          </w:p>
        </w:tc>
        <w:tc>
          <w:tcPr>
            <w:tcW w:w="996" w:type="dxa"/>
            <w:vAlign w:val="center"/>
          </w:tcPr>
          <w:p w14:paraId="0E13A5F0" w14:textId="77777777" w:rsidR="00B060E0" w:rsidRPr="00A41B49" w:rsidRDefault="00B060E0" w:rsidP="00503FCA">
            <w:pPr>
              <w:jc w:val="right"/>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869" w:type="dxa"/>
            <w:vAlign w:val="center"/>
          </w:tcPr>
          <w:p w14:paraId="22D19BAA" w14:textId="77777777" w:rsidR="00B060E0" w:rsidRPr="00A41B49" w:rsidRDefault="00B060E0" w:rsidP="00503FCA">
            <w:pPr>
              <w:jc w:val="right"/>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1168" w:type="dxa"/>
            <w:vAlign w:val="center"/>
          </w:tcPr>
          <w:p w14:paraId="5E4D9A6E" w14:textId="77777777" w:rsidR="00B060E0" w:rsidRPr="00A41B49" w:rsidRDefault="00B060E0" w:rsidP="00503FCA">
            <w:pPr>
              <w:jc w:val="right"/>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57" w:type="dxa"/>
            <w:vAlign w:val="center"/>
          </w:tcPr>
          <w:p w14:paraId="622A4759" w14:textId="77777777" w:rsidR="00B060E0" w:rsidRPr="00A41B49" w:rsidRDefault="00B060E0" w:rsidP="00503FCA">
            <w:pPr>
              <w:jc w:val="right"/>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r>
      <w:tr w:rsidR="00A41B49" w:rsidRPr="00A41B49" w14:paraId="16DBF33C" w14:textId="77777777" w:rsidTr="00CE06C3">
        <w:trPr>
          <w:jc w:val="center"/>
        </w:trPr>
        <w:tc>
          <w:tcPr>
            <w:tcW w:w="2077" w:type="dxa"/>
            <w:vAlign w:val="center"/>
          </w:tcPr>
          <w:p w14:paraId="1D55CA7D" w14:textId="77777777" w:rsidR="00B50E52" w:rsidRPr="00A41B49" w:rsidRDefault="00B50E52"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Львівська</w:t>
            </w:r>
          </w:p>
        </w:tc>
        <w:tc>
          <w:tcPr>
            <w:tcW w:w="996" w:type="dxa"/>
            <w:vAlign w:val="center"/>
          </w:tcPr>
          <w:p w14:paraId="7F45E962"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2043,6</w:t>
            </w:r>
          </w:p>
        </w:tc>
        <w:tc>
          <w:tcPr>
            <w:tcW w:w="756" w:type="dxa"/>
            <w:vAlign w:val="center"/>
          </w:tcPr>
          <w:p w14:paraId="38175BD9"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3,9</w:t>
            </w:r>
          </w:p>
        </w:tc>
        <w:tc>
          <w:tcPr>
            <w:tcW w:w="996" w:type="dxa"/>
            <w:vAlign w:val="center"/>
          </w:tcPr>
          <w:p w14:paraId="732B686C"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2524,1</w:t>
            </w:r>
          </w:p>
        </w:tc>
        <w:tc>
          <w:tcPr>
            <w:tcW w:w="756" w:type="dxa"/>
            <w:vAlign w:val="center"/>
          </w:tcPr>
          <w:p w14:paraId="6351FA35"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3,8</w:t>
            </w:r>
          </w:p>
        </w:tc>
        <w:tc>
          <w:tcPr>
            <w:tcW w:w="996" w:type="dxa"/>
            <w:vAlign w:val="center"/>
          </w:tcPr>
          <w:p w14:paraId="5AF8B093"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2194,5</w:t>
            </w:r>
          </w:p>
        </w:tc>
        <w:tc>
          <w:tcPr>
            <w:tcW w:w="869" w:type="dxa"/>
            <w:vAlign w:val="center"/>
          </w:tcPr>
          <w:p w14:paraId="119AD1C5"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4,3</w:t>
            </w:r>
          </w:p>
        </w:tc>
        <w:tc>
          <w:tcPr>
            <w:tcW w:w="1168" w:type="dxa"/>
            <w:vAlign w:val="center"/>
          </w:tcPr>
          <w:p w14:paraId="7B6E2849"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150,9</w:t>
            </w:r>
          </w:p>
        </w:tc>
        <w:tc>
          <w:tcPr>
            <w:tcW w:w="957" w:type="dxa"/>
            <w:vAlign w:val="center"/>
          </w:tcPr>
          <w:p w14:paraId="4C0C81CA"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0,4</w:t>
            </w:r>
          </w:p>
        </w:tc>
      </w:tr>
      <w:tr w:rsidR="00A41B49" w:rsidRPr="00A41B49" w14:paraId="2E0E207B" w14:textId="77777777" w:rsidTr="00CE06C3">
        <w:trPr>
          <w:jc w:val="center"/>
        </w:trPr>
        <w:tc>
          <w:tcPr>
            <w:tcW w:w="2077" w:type="dxa"/>
            <w:vAlign w:val="center"/>
          </w:tcPr>
          <w:p w14:paraId="0F0EF7E7" w14:textId="77777777" w:rsidR="00B50E52" w:rsidRPr="00A41B49" w:rsidRDefault="00B50E52"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Миколаївська</w:t>
            </w:r>
          </w:p>
        </w:tc>
        <w:tc>
          <w:tcPr>
            <w:tcW w:w="996" w:type="dxa"/>
            <w:vAlign w:val="center"/>
          </w:tcPr>
          <w:p w14:paraId="4C4907BF"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750,0</w:t>
            </w:r>
          </w:p>
        </w:tc>
        <w:tc>
          <w:tcPr>
            <w:tcW w:w="756" w:type="dxa"/>
            <w:vAlign w:val="center"/>
          </w:tcPr>
          <w:p w14:paraId="28BB1862"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1,4</w:t>
            </w:r>
          </w:p>
        </w:tc>
        <w:tc>
          <w:tcPr>
            <w:tcW w:w="996" w:type="dxa"/>
            <w:vAlign w:val="center"/>
          </w:tcPr>
          <w:p w14:paraId="2CA333F4"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1097,4</w:t>
            </w:r>
          </w:p>
        </w:tc>
        <w:tc>
          <w:tcPr>
            <w:tcW w:w="756" w:type="dxa"/>
            <w:vAlign w:val="center"/>
          </w:tcPr>
          <w:p w14:paraId="0C0CF501"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1,7</w:t>
            </w:r>
          </w:p>
        </w:tc>
        <w:tc>
          <w:tcPr>
            <w:tcW w:w="996" w:type="dxa"/>
            <w:vAlign w:val="center"/>
          </w:tcPr>
          <w:p w14:paraId="681FE746"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828,2</w:t>
            </w:r>
          </w:p>
        </w:tc>
        <w:tc>
          <w:tcPr>
            <w:tcW w:w="869" w:type="dxa"/>
            <w:vAlign w:val="center"/>
          </w:tcPr>
          <w:p w14:paraId="2AF86650"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1,6</w:t>
            </w:r>
          </w:p>
        </w:tc>
        <w:tc>
          <w:tcPr>
            <w:tcW w:w="1168" w:type="dxa"/>
            <w:vAlign w:val="center"/>
          </w:tcPr>
          <w:p w14:paraId="1679C489"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78,2</w:t>
            </w:r>
          </w:p>
        </w:tc>
        <w:tc>
          <w:tcPr>
            <w:tcW w:w="957" w:type="dxa"/>
            <w:vAlign w:val="center"/>
          </w:tcPr>
          <w:p w14:paraId="58757B75"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0,2</w:t>
            </w:r>
          </w:p>
        </w:tc>
      </w:tr>
      <w:tr w:rsidR="00A41B49" w:rsidRPr="00A41B49" w14:paraId="08B897EA" w14:textId="77777777" w:rsidTr="00CE06C3">
        <w:trPr>
          <w:jc w:val="center"/>
        </w:trPr>
        <w:tc>
          <w:tcPr>
            <w:tcW w:w="2077" w:type="dxa"/>
            <w:vAlign w:val="center"/>
          </w:tcPr>
          <w:p w14:paraId="6F00D484" w14:textId="77777777" w:rsidR="00B50E52" w:rsidRPr="00A41B49" w:rsidRDefault="00B50E52"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Одеська</w:t>
            </w:r>
          </w:p>
        </w:tc>
        <w:tc>
          <w:tcPr>
            <w:tcW w:w="996" w:type="dxa"/>
            <w:vAlign w:val="center"/>
          </w:tcPr>
          <w:p w14:paraId="0DE5B0E3"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1815,9</w:t>
            </w:r>
          </w:p>
        </w:tc>
        <w:tc>
          <w:tcPr>
            <w:tcW w:w="756" w:type="dxa"/>
            <w:vAlign w:val="center"/>
          </w:tcPr>
          <w:p w14:paraId="3FBF9B5A"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3,5</w:t>
            </w:r>
          </w:p>
        </w:tc>
        <w:tc>
          <w:tcPr>
            <w:tcW w:w="996" w:type="dxa"/>
            <w:vAlign w:val="center"/>
          </w:tcPr>
          <w:p w14:paraId="34B7AFF3"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1573,0</w:t>
            </w:r>
          </w:p>
        </w:tc>
        <w:tc>
          <w:tcPr>
            <w:tcW w:w="756" w:type="dxa"/>
            <w:vAlign w:val="center"/>
          </w:tcPr>
          <w:p w14:paraId="05E5D878"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2,4</w:t>
            </w:r>
          </w:p>
        </w:tc>
        <w:tc>
          <w:tcPr>
            <w:tcW w:w="996" w:type="dxa"/>
            <w:vAlign w:val="center"/>
          </w:tcPr>
          <w:p w14:paraId="5DAE293E"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1276,3</w:t>
            </w:r>
          </w:p>
        </w:tc>
        <w:tc>
          <w:tcPr>
            <w:tcW w:w="869" w:type="dxa"/>
            <w:vAlign w:val="center"/>
          </w:tcPr>
          <w:p w14:paraId="7D710B75"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2,5</w:t>
            </w:r>
          </w:p>
        </w:tc>
        <w:tc>
          <w:tcPr>
            <w:tcW w:w="1168" w:type="dxa"/>
            <w:vAlign w:val="center"/>
          </w:tcPr>
          <w:p w14:paraId="74D182D5"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-539,6</w:t>
            </w:r>
          </w:p>
        </w:tc>
        <w:tc>
          <w:tcPr>
            <w:tcW w:w="957" w:type="dxa"/>
            <w:vAlign w:val="center"/>
          </w:tcPr>
          <w:p w14:paraId="249524FC"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-1,0</w:t>
            </w:r>
          </w:p>
        </w:tc>
      </w:tr>
      <w:tr w:rsidR="00A41B49" w:rsidRPr="00A41B49" w14:paraId="485DAF39" w14:textId="77777777" w:rsidTr="00CE06C3">
        <w:trPr>
          <w:jc w:val="center"/>
        </w:trPr>
        <w:tc>
          <w:tcPr>
            <w:tcW w:w="2077" w:type="dxa"/>
            <w:vAlign w:val="center"/>
          </w:tcPr>
          <w:p w14:paraId="2CA8A09C" w14:textId="77777777" w:rsidR="00B50E52" w:rsidRPr="00A41B49" w:rsidRDefault="00B50E52"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Полтавська</w:t>
            </w:r>
          </w:p>
        </w:tc>
        <w:tc>
          <w:tcPr>
            <w:tcW w:w="996" w:type="dxa"/>
            <w:vAlign w:val="center"/>
          </w:tcPr>
          <w:p w14:paraId="5C2647C7"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1776,4</w:t>
            </w:r>
          </w:p>
        </w:tc>
        <w:tc>
          <w:tcPr>
            <w:tcW w:w="756" w:type="dxa"/>
            <w:vAlign w:val="center"/>
          </w:tcPr>
          <w:p w14:paraId="439C8598"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3,4</w:t>
            </w:r>
          </w:p>
        </w:tc>
        <w:tc>
          <w:tcPr>
            <w:tcW w:w="996" w:type="dxa"/>
            <w:vAlign w:val="center"/>
          </w:tcPr>
          <w:p w14:paraId="66BDEC10"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2314,3</w:t>
            </w:r>
          </w:p>
        </w:tc>
        <w:tc>
          <w:tcPr>
            <w:tcW w:w="756" w:type="dxa"/>
            <w:vAlign w:val="center"/>
          </w:tcPr>
          <w:p w14:paraId="1F160578"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3,5</w:t>
            </w:r>
          </w:p>
        </w:tc>
        <w:tc>
          <w:tcPr>
            <w:tcW w:w="996" w:type="dxa"/>
            <w:vAlign w:val="center"/>
          </w:tcPr>
          <w:p w14:paraId="2ADC9666"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1480,5</w:t>
            </w:r>
          </w:p>
        </w:tc>
        <w:tc>
          <w:tcPr>
            <w:tcW w:w="869" w:type="dxa"/>
            <w:vAlign w:val="center"/>
          </w:tcPr>
          <w:p w14:paraId="6B829DAB"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2,9</w:t>
            </w:r>
          </w:p>
        </w:tc>
        <w:tc>
          <w:tcPr>
            <w:tcW w:w="1168" w:type="dxa"/>
            <w:vAlign w:val="center"/>
          </w:tcPr>
          <w:p w14:paraId="0CE7A86D"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-295,9</w:t>
            </w:r>
          </w:p>
        </w:tc>
        <w:tc>
          <w:tcPr>
            <w:tcW w:w="957" w:type="dxa"/>
            <w:vAlign w:val="center"/>
          </w:tcPr>
          <w:p w14:paraId="2E352874"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-0,5</w:t>
            </w:r>
          </w:p>
        </w:tc>
      </w:tr>
      <w:tr w:rsidR="00A41B49" w:rsidRPr="00A41B49" w14:paraId="6B989F15" w14:textId="77777777" w:rsidTr="00CE06C3">
        <w:trPr>
          <w:jc w:val="center"/>
        </w:trPr>
        <w:tc>
          <w:tcPr>
            <w:tcW w:w="2077" w:type="dxa"/>
            <w:vAlign w:val="center"/>
          </w:tcPr>
          <w:p w14:paraId="4D1809AE" w14:textId="77777777" w:rsidR="00B50E52" w:rsidRPr="00A41B49" w:rsidRDefault="00B50E52"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Рівненська</w:t>
            </w:r>
          </w:p>
        </w:tc>
        <w:tc>
          <w:tcPr>
            <w:tcW w:w="996" w:type="dxa"/>
            <w:vAlign w:val="center"/>
          </w:tcPr>
          <w:p w14:paraId="2E38283C"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445,1</w:t>
            </w:r>
          </w:p>
        </w:tc>
        <w:tc>
          <w:tcPr>
            <w:tcW w:w="756" w:type="dxa"/>
            <w:vAlign w:val="center"/>
          </w:tcPr>
          <w:p w14:paraId="3B6C5F56"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0,9</w:t>
            </w:r>
          </w:p>
        </w:tc>
        <w:tc>
          <w:tcPr>
            <w:tcW w:w="996" w:type="dxa"/>
            <w:vAlign w:val="center"/>
          </w:tcPr>
          <w:p w14:paraId="47924267"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529,7</w:t>
            </w:r>
          </w:p>
        </w:tc>
        <w:tc>
          <w:tcPr>
            <w:tcW w:w="756" w:type="dxa"/>
            <w:vAlign w:val="center"/>
          </w:tcPr>
          <w:p w14:paraId="510A534A"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0,8</w:t>
            </w:r>
          </w:p>
        </w:tc>
        <w:tc>
          <w:tcPr>
            <w:tcW w:w="996" w:type="dxa"/>
            <w:vAlign w:val="center"/>
          </w:tcPr>
          <w:p w14:paraId="142A30FA"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421,8</w:t>
            </w:r>
          </w:p>
        </w:tc>
        <w:tc>
          <w:tcPr>
            <w:tcW w:w="869" w:type="dxa"/>
            <w:vAlign w:val="center"/>
          </w:tcPr>
          <w:p w14:paraId="31A59A4C" w14:textId="77777777" w:rsidR="00B50E52" w:rsidRPr="00A41B49" w:rsidRDefault="00B50E52">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0,8</w:t>
            </w:r>
          </w:p>
        </w:tc>
        <w:tc>
          <w:tcPr>
            <w:tcW w:w="1168" w:type="dxa"/>
            <w:vAlign w:val="center"/>
          </w:tcPr>
          <w:p w14:paraId="391D2748"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-23,3</w:t>
            </w:r>
          </w:p>
        </w:tc>
        <w:tc>
          <w:tcPr>
            <w:tcW w:w="957" w:type="dxa"/>
            <w:vAlign w:val="center"/>
          </w:tcPr>
          <w:p w14:paraId="2E78CE8C" w14:textId="77777777" w:rsidR="00B50E52" w:rsidRPr="00A41B49" w:rsidRDefault="00B50E52">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0,0</w:t>
            </w:r>
          </w:p>
        </w:tc>
      </w:tr>
      <w:tr w:rsidR="00A41B49" w:rsidRPr="00A41B49" w14:paraId="13D7391A" w14:textId="77777777" w:rsidTr="00CE06C3">
        <w:trPr>
          <w:jc w:val="center"/>
        </w:trPr>
        <w:tc>
          <w:tcPr>
            <w:tcW w:w="2077" w:type="dxa"/>
            <w:vAlign w:val="center"/>
          </w:tcPr>
          <w:p w14:paraId="591BDABE" w14:textId="77777777" w:rsidR="00277AC6" w:rsidRPr="00A41B49" w:rsidRDefault="00277AC6"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умська</w:t>
            </w:r>
          </w:p>
        </w:tc>
        <w:tc>
          <w:tcPr>
            <w:tcW w:w="996" w:type="dxa"/>
            <w:vAlign w:val="center"/>
          </w:tcPr>
          <w:p w14:paraId="1CA39D71"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578,3</w:t>
            </w:r>
          </w:p>
        </w:tc>
        <w:tc>
          <w:tcPr>
            <w:tcW w:w="756" w:type="dxa"/>
            <w:vAlign w:val="center"/>
          </w:tcPr>
          <w:p w14:paraId="4BDBB98A"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1,1</w:t>
            </w:r>
          </w:p>
        </w:tc>
        <w:tc>
          <w:tcPr>
            <w:tcW w:w="996" w:type="dxa"/>
            <w:vAlign w:val="center"/>
          </w:tcPr>
          <w:p w14:paraId="4769B388"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627,2</w:t>
            </w:r>
          </w:p>
        </w:tc>
        <w:tc>
          <w:tcPr>
            <w:tcW w:w="756" w:type="dxa"/>
            <w:vAlign w:val="center"/>
          </w:tcPr>
          <w:p w14:paraId="3D193E6D"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1,0</w:t>
            </w:r>
          </w:p>
        </w:tc>
        <w:tc>
          <w:tcPr>
            <w:tcW w:w="996" w:type="dxa"/>
            <w:vAlign w:val="center"/>
          </w:tcPr>
          <w:p w14:paraId="0C7CA328"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518,1</w:t>
            </w:r>
          </w:p>
        </w:tc>
        <w:tc>
          <w:tcPr>
            <w:tcW w:w="869" w:type="dxa"/>
            <w:vAlign w:val="center"/>
          </w:tcPr>
          <w:p w14:paraId="248BFAEB"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1,0</w:t>
            </w:r>
          </w:p>
        </w:tc>
        <w:tc>
          <w:tcPr>
            <w:tcW w:w="1168" w:type="dxa"/>
            <w:vAlign w:val="center"/>
          </w:tcPr>
          <w:p w14:paraId="2925C47E" w14:textId="77777777" w:rsidR="00277AC6" w:rsidRPr="00A41B49" w:rsidRDefault="00277AC6">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-60,2</w:t>
            </w:r>
          </w:p>
        </w:tc>
        <w:tc>
          <w:tcPr>
            <w:tcW w:w="957" w:type="dxa"/>
            <w:vAlign w:val="center"/>
          </w:tcPr>
          <w:p w14:paraId="28EFD550" w14:textId="77777777" w:rsidR="00277AC6" w:rsidRPr="00A41B49" w:rsidRDefault="00277AC6">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-0,1</w:t>
            </w:r>
          </w:p>
        </w:tc>
      </w:tr>
      <w:tr w:rsidR="00A41B49" w:rsidRPr="00A41B49" w14:paraId="61B037E6" w14:textId="77777777" w:rsidTr="00CE06C3">
        <w:trPr>
          <w:jc w:val="center"/>
        </w:trPr>
        <w:tc>
          <w:tcPr>
            <w:tcW w:w="2077" w:type="dxa"/>
            <w:vAlign w:val="center"/>
          </w:tcPr>
          <w:p w14:paraId="42B66885" w14:textId="77777777" w:rsidR="00277AC6" w:rsidRPr="00A41B49" w:rsidRDefault="00277AC6"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Тернопільська</w:t>
            </w:r>
          </w:p>
        </w:tc>
        <w:tc>
          <w:tcPr>
            <w:tcW w:w="996" w:type="dxa"/>
            <w:vAlign w:val="center"/>
          </w:tcPr>
          <w:p w14:paraId="6AD49A7E"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265,4</w:t>
            </w:r>
          </w:p>
        </w:tc>
        <w:tc>
          <w:tcPr>
            <w:tcW w:w="756" w:type="dxa"/>
            <w:vAlign w:val="center"/>
          </w:tcPr>
          <w:p w14:paraId="7937CE5A"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0,5</w:t>
            </w:r>
          </w:p>
        </w:tc>
        <w:tc>
          <w:tcPr>
            <w:tcW w:w="996" w:type="dxa"/>
            <w:vAlign w:val="center"/>
          </w:tcPr>
          <w:p w14:paraId="6CF45930"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350,3</w:t>
            </w:r>
          </w:p>
        </w:tc>
        <w:tc>
          <w:tcPr>
            <w:tcW w:w="756" w:type="dxa"/>
            <w:vAlign w:val="center"/>
          </w:tcPr>
          <w:p w14:paraId="750E886F"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0,5</w:t>
            </w:r>
          </w:p>
        </w:tc>
        <w:tc>
          <w:tcPr>
            <w:tcW w:w="996" w:type="dxa"/>
            <w:vAlign w:val="center"/>
          </w:tcPr>
          <w:p w14:paraId="49951039"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404,3</w:t>
            </w:r>
          </w:p>
        </w:tc>
        <w:tc>
          <w:tcPr>
            <w:tcW w:w="869" w:type="dxa"/>
            <w:vAlign w:val="center"/>
          </w:tcPr>
          <w:p w14:paraId="769C24F5"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0,8</w:t>
            </w:r>
          </w:p>
        </w:tc>
        <w:tc>
          <w:tcPr>
            <w:tcW w:w="1168" w:type="dxa"/>
            <w:vAlign w:val="center"/>
          </w:tcPr>
          <w:p w14:paraId="5F42CB6E" w14:textId="77777777" w:rsidR="00277AC6" w:rsidRPr="00A41B49" w:rsidRDefault="00277AC6">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138,9</w:t>
            </w:r>
          </w:p>
        </w:tc>
        <w:tc>
          <w:tcPr>
            <w:tcW w:w="957" w:type="dxa"/>
            <w:vAlign w:val="center"/>
          </w:tcPr>
          <w:p w14:paraId="208321B1" w14:textId="77777777" w:rsidR="00277AC6" w:rsidRPr="00A41B49" w:rsidRDefault="00277AC6">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0,3</w:t>
            </w:r>
          </w:p>
        </w:tc>
      </w:tr>
      <w:tr w:rsidR="00A41B49" w:rsidRPr="00A41B49" w14:paraId="4512DE8D" w14:textId="77777777" w:rsidTr="00CE06C3">
        <w:trPr>
          <w:jc w:val="center"/>
        </w:trPr>
        <w:tc>
          <w:tcPr>
            <w:tcW w:w="2077" w:type="dxa"/>
            <w:vAlign w:val="center"/>
          </w:tcPr>
          <w:p w14:paraId="405D6006" w14:textId="77777777" w:rsidR="00277AC6" w:rsidRPr="00A41B49" w:rsidRDefault="00277AC6"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Харківська</w:t>
            </w:r>
          </w:p>
        </w:tc>
        <w:tc>
          <w:tcPr>
            <w:tcW w:w="996" w:type="dxa"/>
            <w:vAlign w:val="center"/>
          </w:tcPr>
          <w:p w14:paraId="5939AE7B"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1100,4</w:t>
            </w:r>
          </w:p>
        </w:tc>
        <w:tc>
          <w:tcPr>
            <w:tcW w:w="756" w:type="dxa"/>
            <w:vAlign w:val="center"/>
          </w:tcPr>
          <w:p w14:paraId="14E77888"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2,1</w:t>
            </w:r>
          </w:p>
        </w:tc>
        <w:tc>
          <w:tcPr>
            <w:tcW w:w="996" w:type="dxa"/>
            <w:vAlign w:val="center"/>
          </w:tcPr>
          <w:p w14:paraId="0F07B6B3"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1428,2</w:t>
            </w:r>
          </w:p>
        </w:tc>
        <w:tc>
          <w:tcPr>
            <w:tcW w:w="756" w:type="dxa"/>
            <w:vAlign w:val="center"/>
          </w:tcPr>
          <w:p w14:paraId="35F8BAD5"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2,2</w:t>
            </w:r>
          </w:p>
        </w:tc>
        <w:tc>
          <w:tcPr>
            <w:tcW w:w="996" w:type="dxa"/>
            <w:vAlign w:val="center"/>
          </w:tcPr>
          <w:p w14:paraId="22245400"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953,8</w:t>
            </w:r>
          </w:p>
        </w:tc>
        <w:tc>
          <w:tcPr>
            <w:tcW w:w="869" w:type="dxa"/>
            <w:vAlign w:val="center"/>
          </w:tcPr>
          <w:p w14:paraId="66B73693"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1,9</w:t>
            </w:r>
          </w:p>
        </w:tc>
        <w:tc>
          <w:tcPr>
            <w:tcW w:w="1168" w:type="dxa"/>
            <w:vAlign w:val="center"/>
          </w:tcPr>
          <w:p w14:paraId="1DB5968C" w14:textId="77777777" w:rsidR="00277AC6" w:rsidRPr="00A41B49" w:rsidRDefault="00277AC6">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-146,6</w:t>
            </w:r>
          </w:p>
        </w:tc>
        <w:tc>
          <w:tcPr>
            <w:tcW w:w="957" w:type="dxa"/>
            <w:vAlign w:val="center"/>
          </w:tcPr>
          <w:p w14:paraId="5A5D36F9" w14:textId="77777777" w:rsidR="00277AC6" w:rsidRPr="00A41B49" w:rsidRDefault="00277AC6">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-0,2</w:t>
            </w:r>
          </w:p>
        </w:tc>
      </w:tr>
      <w:tr w:rsidR="00A41B49" w:rsidRPr="00A41B49" w14:paraId="574932AD" w14:textId="77777777" w:rsidTr="00CE06C3">
        <w:trPr>
          <w:jc w:val="center"/>
        </w:trPr>
        <w:tc>
          <w:tcPr>
            <w:tcW w:w="2077" w:type="dxa"/>
            <w:vAlign w:val="center"/>
          </w:tcPr>
          <w:p w14:paraId="7FF096DE" w14:textId="77777777" w:rsidR="00277AC6" w:rsidRPr="00A41B49" w:rsidRDefault="00277AC6"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Херсонська</w:t>
            </w:r>
          </w:p>
        </w:tc>
        <w:tc>
          <w:tcPr>
            <w:tcW w:w="996" w:type="dxa"/>
            <w:vAlign w:val="center"/>
          </w:tcPr>
          <w:p w14:paraId="4BD8C613"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439,0</w:t>
            </w:r>
          </w:p>
        </w:tc>
        <w:tc>
          <w:tcPr>
            <w:tcW w:w="756" w:type="dxa"/>
            <w:vAlign w:val="center"/>
          </w:tcPr>
          <w:p w14:paraId="56339174"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0,8</w:t>
            </w:r>
          </w:p>
        </w:tc>
        <w:tc>
          <w:tcPr>
            <w:tcW w:w="996" w:type="dxa"/>
            <w:vAlign w:val="center"/>
          </w:tcPr>
          <w:p w14:paraId="13600515"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585,6</w:t>
            </w:r>
          </w:p>
        </w:tc>
        <w:tc>
          <w:tcPr>
            <w:tcW w:w="756" w:type="dxa"/>
            <w:vAlign w:val="center"/>
          </w:tcPr>
          <w:p w14:paraId="65AFA65B"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0,9</w:t>
            </w:r>
          </w:p>
        </w:tc>
        <w:tc>
          <w:tcPr>
            <w:tcW w:w="996" w:type="dxa"/>
            <w:vAlign w:val="center"/>
          </w:tcPr>
          <w:p w14:paraId="1E8DE5F3" w14:textId="77777777" w:rsidR="00277AC6" w:rsidRPr="00A41B49" w:rsidRDefault="00277AC6" w:rsidP="00503FCA">
            <w:pPr>
              <w:jc w:val="right"/>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869" w:type="dxa"/>
            <w:vAlign w:val="center"/>
          </w:tcPr>
          <w:p w14:paraId="44BB5C8A" w14:textId="77777777" w:rsidR="00277AC6" w:rsidRPr="00A41B49" w:rsidRDefault="00277AC6" w:rsidP="00503FCA">
            <w:pPr>
              <w:jc w:val="right"/>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1168" w:type="dxa"/>
            <w:vAlign w:val="center"/>
          </w:tcPr>
          <w:p w14:paraId="62D9FBFD" w14:textId="77777777" w:rsidR="00277AC6" w:rsidRPr="00A41B49" w:rsidRDefault="00277AC6" w:rsidP="00503FCA">
            <w:pPr>
              <w:jc w:val="right"/>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57" w:type="dxa"/>
            <w:vAlign w:val="center"/>
          </w:tcPr>
          <w:p w14:paraId="5FA4FB4A" w14:textId="77777777" w:rsidR="00277AC6" w:rsidRPr="00A41B49" w:rsidRDefault="00277AC6" w:rsidP="00503FCA">
            <w:pPr>
              <w:jc w:val="right"/>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r>
    </w:tbl>
    <w:p w14:paraId="2E2A0D29" w14:textId="77777777" w:rsidR="00CE06C3" w:rsidRPr="00A41B49" w:rsidRDefault="00CE06C3" w:rsidP="00CE06C3">
      <w:pPr>
        <w:spacing w:after="0" w:line="240" w:lineRule="auto"/>
        <w:rPr>
          <w:rFonts w:ascii="Times New Roman" w:hAnsi="Times New Roman" w:cs="Times New Roman"/>
          <w:sz w:val="28"/>
          <w:szCs w:val="28"/>
          <w:lang w:val="uk-UA"/>
        </w:rPr>
      </w:pPr>
      <w:r w:rsidRPr="00A41B49">
        <w:rPr>
          <w:rFonts w:ascii="Times New Roman" w:hAnsi="Times New Roman" w:cs="Times New Roman"/>
          <w:sz w:val="28"/>
          <w:szCs w:val="28"/>
          <w:lang w:val="uk-UA"/>
        </w:rPr>
        <w:lastRenderedPageBreak/>
        <w:t>Продовження таблиці 3.1</w:t>
      </w:r>
    </w:p>
    <w:tbl>
      <w:tblPr>
        <w:tblStyle w:val="a3"/>
        <w:tblW w:w="5000" w:type="pct"/>
        <w:jc w:val="center"/>
        <w:tblLook w:val="04A0" w:firstRow="1" w:lastRow="0" w:firstColumn="1" w:lastColumn="0" w:noHBand="0" w:noVBand="1"/>
      </w:tblPr>
      <w:tblGrid>
        <w:gridCol w:w="2078"/>
        <w:gridCol w:w="996"/>
        <w:gridCol w:w="755"/>
        <w:gridCol w:w="996"/>
        <w:gridCol w:w="756"/>
        <w:gridCol w:w="996"/>
        <w:gridCol w:w="869"/>
        <w:gridCol w:w="1168"/>
        <w:gridCol w:w="957"/>
      </w:tblGrid>
      <w:tr w:rsidR="00A41B49" w:rsidRPr="00A41B49" w14:paraId="1147E019" w14:textId="77777777" w:rsidTr="00CE06C3">
        <w:trPr>
          <w:jc w:val="center"/>
        </w:trPr>
        <w:tc>
          <w:tcPr>
            <w:tcW w:w="1086" w:type="pct"/>
          </w:tcPr>
          <w:p w14:paraId="1E47B078" w14:textId="77777777" w:rsidR="00CE06C3" w:rsidRPr="00A41B49" w:rsidRDefault="00CE06C3"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1</w:t>
            </w:r>
          </w:p>
        </w:tc>
        <w:tc>
          <w:tcPr>
            <w:tcW w:w="520" w:type="pct"/>
          </w:tcPr>
          <w:p w14:paraId="3F49A584" w14:textId="77777777" w:rsidR="00CE06C3" w:rsidRPr="00A41B49" w:rsidRDefault="00CE06C3"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2</w:t>
            </w:r>
          </w:p>
        </w:tc>
        <w:tc>
          <w:tcPr>
            <w:tcW w:w="395" w:type="pct"/>
          </w:tcPr>
          <w:p w14:paraId="075F7C18" w14:textId="77777777" w:rsidR="00CE06C3" w:rsidRPr="00A41B49" w:rsidRDefault="00CE06C3"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3</w:t>
            </w:r>
          </w:p>
        </w:tc>
        <w:tc>
          <w:tcPr>
            <w:tcW w:w="520" w:type="pct"/>
          </w:tcPr>
          <w:p w14:paraId="75284E9A" w14:textId="77777777" w:rsidR="00CE06C3" w:rsidRPr="00A41B49" w:rsidRDefault="00CE06C3"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4</w:t>
            </w:r>
          </w:p>
        </w:tc>
        <w:tc>
          <w:tcPr>
            <w:tcW w:w="395" w:type="pct"/>
          </w:tcPr>
          <w:p w14:paraId="265C5864" w14:textId="77777777" w:rsidR="00CE06C3" w:rsidRPr="00A41B49" w:rsidRDefault="00CE06C3"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5</w:t>
            </w:r>
          </w:p>
        </w:tc>
        <w:tc>
          <w:tcPr>
            <w:tcW w:w="520" w:type="pct"/>
          </w:tcPr>
          <w:p w14:paraId="3FB7C447" w14:textId="77777777" w:rsidR="00CE06C3" w:rsidRPr="00A41B49" w:rsidRDefault="00CE06C3"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6</w:t>
            </w:r>
          </w:p>
        </w:tc>
        <w:tc>
          <w:tcPr>
            <w:tcW w:w="454" w:type="pct"/>
          </w:tcPr>
          <w:p w14:paraId="07F1AA5E" w14:textId="77777777" w:rsidR="00CE06C3" w:rsidRPr="00A41B49" w:rsidRDefault="00CE06C3"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7</w:t>
            </w:r>
          </w:p>
        </w:tc>
        <w:tc>
          <w:tcPr>
            <w:tcW w:w="610" w:type="pct"/>
          </w:tcPr>
          <w:p w14:paraId="5D219211" w14:textId="77777777" w:rsidR="00CE06C3" w:rsidRPr="00A41B49" w:rsidRDefault="00CE06C3"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8</w:t>
            </w:r>
          </w:p>
        </w:tc>
        <w:tc>
          <w:tcPr>
            <w:tcW w:w="500" w:type="pct"/>
          </w:tcPr>
          <w:p w14:paraId="6BED7FAC" w14:textId="77777777" w:rsidR="00CE06C3" w:rsidRPr="00A41B49" w:rsidRDefault="00CE06C3"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9</w:t>
            </w:r>
          </w:p>
        </w:tc>
      </w:tr>
      <w:tr w:rsidR="00A41B49" w:rsidRPr="00A41B49" w14:paraId="574736F4" w14:textId="77777777" w:rsidTr="00CE06C3">
        <w:trPr>
          <w:jc w:val="center"/>
        </w:trPr>
        <w:tc>
          <w:tcPr>
            <w:tcW w:w="1085" w:type="pct"/>
            <w:vAlign w:val="center"/>
          </w:tcPr>
          <w:p w14:paraId="0D6CE73E" w14:textId="77777777" w:rsidR="00277AC6" w:rsidRPr="00A41B49" w:rsidRDefault="00277AC6"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Хмельницька</w:t>
            </w:r>
          </w:p>
        </w:tc>
        <w:tc>
          <w:tcPr>
            <w:tcW w:w="520" w:type="pct"/>
            <w:vAlign w:val="center"/>
          </w:tcPr>
          <w:p w14:paraId="25EFE5EE"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881,3</w:t>
            </w:r>
          </w:p>
        </w:tc>
        <w:tc>
          <w:tcPr>
            <w:tcW w:w="395" w:type="pct"/>
            <w:vAlign w:val="center"/>
          </w:tcPr>
          <w:p w14:paraId="7F549BF8"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1,7</w:t>
            </w:r>
          </w:p>
        </w:tc>
        <w:tc>
          <w:tcPr>
            <w:tcW w:w="520" w:type="pct"/>
            <w:vAlign w:val="center"/>
          </w:tcPr>
          <w:p w14:paraId="6BF0885B"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1017,0</w:t>
            </w:r>
          </w:p>
        </w:tc>
        <w:tc>
          <w:tcPr>
            <w:tcW w:w="395" w:type="pct"/>
            <w:vAlign w:val="center"/>
          </w:tcPr>
          <w:p w14:paraId="05ABF04A"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1,5</w:t>
            </w:r>
          </w:p>
        </w:tc>
        <w:tc>
          <w:tcPr>
            <w:tcW w:w="520" w:type="pct"/>
            <w:vAlign w:val="center"/>
          </w:tcPr>
          <w:p w14:paraId="302E09A5"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1000,6</w:t>
            </w:r>
          </w:p>
        </w:tc>
        <w:tc>
          <w:tcPr>
            <w:tcW w:w="454" w:type="pct"/>
            <w:vAlign w:val="center"/>
          </w:tcPr>
          <w:p w14:paraId="7134D2B5" w14:textId="77777777" w:rsidR="00277AC6" w:rsidRPr="00A41B49" w:rsidRDefault="00277AC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w:t>
            </w:r>
          </w:p>
        </w:tc>
        <w:tc>
          <w:tcPr>
            <w:tcW w:w="610" w:type="pct"/>
            <w:vAlign w:val="center"/>
          </w:tcPr>
          <w:p w14:paraId="12846CCE" w14:textId="77777777" w:rsidR="00277AC6" w:rsidRPr="00A41B49" w:rsidRDefault="00277AC6">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119,3</w:t>
            </w:r>
          </w:p>
        </w:tc>
        <w:tc>
          <w:tcPr>
            <w:tcW w:w="500" w:type="pct"/>
            <w:vAlign w:val="center"/>
          </w:tcPr>
          <w:p w14:paraId="7D4EE8D5" w14:textId="77777777" w:rsidR="00277AC6" w:rsidRPr="00A41B49" w:rsidRDefault="00277AC6">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0,3</w:t>
            </w:r>
          </w:p>
        </w:tc>
      </w:tr>
      <w:tr w:rsidR="00A41B49" w:rsidRPr="00A41B49" w14:paraId="464C873A" w14:textId="77777777" w:rsidTr="00CE06C3">
        <w:trPr>
          <w:jc w:val="center"/>
        </w:trPr>
        <w:tc>
          <w:tcPr>
            <w:tcW w:w="1085" w:type="pct"/>
            <w:vAlign w:val="center"/>
          </w:tcPr>
          <w:p w14:paraId="621406FB" w14:textId="77777777" w:rsidR="00CF77CC" w:rsidRPr="00A41B49" w:rsidRDefault="00CF77CC"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Черкаська</w:t>
            </w:r>
          </w:p>
        </w:tc>
        <w:tc>
          <w:tcPr>
            <w:tcW w:w="520" w:type="pct"/>
            <w:vAlign w:val="center"/>
          </w:tcPr>
          <w:p w14:paraId="355CAAF1"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303,3</w:t>
            </w:r>
          </w:p>
        </w:tc>
        <w:tc>
          <w:tcPr>
            <w:tcW w:w="395" w:type="pct"/>
            <w:vAlign w:val="center"/>
          </w:tcPr>
          <w:p w14:paraId="3F16BEA3"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0,6</w:t>
            </w:r>
          </w:p>
        </w:tc>
        <w:tc>
          <w:tcPr>
            <w:tcW w:w="520" w:type="pct"/>
            <w:vAlign w:val="center"/>
          </w:tcPr>
          <w:p w14:paraId="669C39F2"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492,8</w:t>
            </w:r>
          </w:p>
        </w:tc>
        <w:tc>
          <w:tcPr>
            <w:tcW w:w="395" w:type="pct"/>
            <w:vAlign w:val="center"/>
          </w:tcPr>
          <w:p w14:paraId="1267E4BD"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0,7</w:t>
            </w:r>
          </w:p>
        </w:tc>
        <w:tc>
          <w:tcPr>
            <w:tcW w:w="520" w:type="pct"/>
            <w:vAlign w:val="center"/>
          </w:tcPr>
          <w:p w14:paraId="36BEE8BF"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464,4</w:t>
            </w:r>
          </w:p>
        </w:tc>
        <w:tc>
          <w:tcPr>
            <w:tcW w:w="454" w:type="pct"/>
            <w:vAlign w:val="center"/>
          </w:tcPr>
          <w:p w14:paraId="54F3C92B"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0,9</w:t>
            </w:r>
          </w:p>
        </w:tc>
        <w:tc>
          <w:tcPr>
            <w:tcW w:w="610" w:type="pct"/>
            <w:vAlign w:val="center"/>
          </w:tcPr>
          <w:p w14:paraId="27795209" w14:textId="77777777" w:rsidR="00CF77CC" w:rsidRPr="00A41B49" w:rsidRDefault="00CF77CC">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161,1</w:t>
            </w:r>
          </w:p>
        </w:tc>
        <w:tc>
          <w:tcPr>
            <w:tcW w:w="500" w:type="pct"/>
            <w:vAlign w:val="center"/>
          </w:tcPr>
          <w:p w14:paraId="744CEDD2" w14:textId="77777777" w:rsidR="00CF77CC" w:rsidRPr="00A41B49" w:rsidRDefault="00CF77CC">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0,3</w:t>
            </w:r>
          </w:p>
        </w:tc>
      </w:tr>
      <w:tr w:rsidR="00A41B49" w:rsidRPr="00A41B49" w14:paraId="1356E1CB" w14:textId="77777777" w:rsidTr="00CE06C3">
        <w:trPr>
          <w:jc w:val="center"/>
        </w:trPr>
        <w:tc>
          <w:tcPr>
            <w:tcW w:w="1085" w:type="pct"/>
            <w:vAlign w:val="center"/>
          </w:tcPr>
          <w:p w14:paraId="00EC9251" w14:textId="77777777" w:rsidR="00CF77CC" w:rsidRPr="00A41B49" w:rsidRDefault="00CF77CC"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Чернівецька</w:t>
            </w:r>
          </w:p>
        </w:tc>
        <w:tc>
          <w:tcPr>
            <w:tcW w:w="520" w:type="pct"/>
            <w:vAlign w:val="center"/>
          </w:tcPr>
          <w:p w14:paraId="0EB5E387"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63,4</w:t>
            </w:r>
          </w:p>
        </w:tc>
        <w:tc>
          <w:tcPr>
            <w:tcW w:w="395" w:type="pct"/>
            <w:vAlign w:val="center"/>
          </w:tcPr>
          <w:p w14:paraId="72E66B10"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0,1</w:t>
            </w:r>
          </w:p>
        </w:tc>
        <w:tc>
          <w:tcPr>
            <w:tcW w:w="520" w:type="pct"/>
            <w:vAlign w:val="center"/>
          </w:tcPr>
          <w:p w14:paraId="0CA632EC"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70,1</w:t>
            </w:r>
          </w:p>
        </w:tc>
        <w:tc>
          <w:tcPr>
            <w:tcW w:w="395" w:type="pct"/>
            <w:vAlign w:val="center"/>
          </w:tcPr>
          <w:p w14:paraId="5EFC4B65"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0,1</w:t>
            </w:r>
          </w:p>
        </w:tc>
        <w:tc>
          <w:tcPr>
            <w:tcW w:w="520" w:type="pct"/>
            <w:vAlign w:val="center"/>
          </w:tcPr>
          <w:p w14:paraId="0FE53C5C"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66,4</w:t>
            </w:r>
          </w:p>
        </w:tc>
        <w:tc>
          <w:tcPr>
            <w:tcW w:w="454" w:type="pct"/>
            <w:vAlign w:val="center"/>
          </w:tcPr>
          <w:p w14:paraId="684940A7"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0,1</w:t>
            </w:r>
          </w:p>
        </w:tc>
        <w:tc>
          <w:tcPr>
            <w:tcW w:w="610" w:type="pct"/>
            <w:vAlign w:val="center"/>
          </w:tcPr>
          <w:p w14:paraId="5D423F73" w14:textId="77777777" w:rsidR="00CF77CC" w:rsidRPr="00A41B49" w:rsidRDefault="00CF77CC">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3,0</w:t>
            </w:r>
          </w:p>
        </w:tc>
        <w:tc>
          <w:tcPr>
            <w:tcW w:w="500" w:type="pct"/>
            <w:vAlign w:val="center"/>
          </w:tcPr>
          <w:p w14:paraId="5189177C" w14:textId="77777777" w:rsidR="00CF77CC" w:rsidRPr="00A41B49" w:rsidRDefault="00CF77CC">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0,0</w:t>
            </w:r>
          </w:p>
        </w:tc>
      </w:tr>
      <w:tr w:rsidR="00A41B49" w:rsidRPr="00A41B49" w14:paraId="29A27AE7" w14:textId="77777777" w:rsidTr="00CE06C3">
        <w:trPr>
          <w:jc w:val="center"/>
        </w:trPr>
        <w:tc>
          <w:tcPr>
            <w:tcW w:w="1085" w:type="pct"/>
            <w:vAlign w:val="center"/>
          </w:tcPr>
          <w:p w14:paraId="0720D1E3" w14:textId="77777777" w:rsidR="00CF77CC" w:rsidRPr="00A41B49" w:rsidRDefault="00CF77CC"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Чернігівська</w:t>
            </w:r>
          </w:p>
        </w:tc>
        <w:tc>
          <w:tcPr>
            <w:tcW w:w="520" w:type="pct"/>
            <w:vAlign w:val="center"/>
          </w:tcPr>
          <w:p w14:paraId="11209A3B"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537,4</w:t>
            </w:r>
          </w:p>
        </w:tc>
        <w:tc>
          <w:tcPr>
            <w:tcW w:w="395" w:type="pct"/>
            <w:vAlign w:val="center"/>
          </w:tcPr>
          <w:p w14:paraId="2AC975B8"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1,0</w:t>
            </w:r>
          </w:p>
        </w:tc>
        <w:tc>
          <w:tcPr>
            <w:tcW w:w="520" w:type="pct"/>
            <w:vAlign w:val="center"/>
          </w:tcPr>
          <w:p w14:paraId="0DB5D4BC"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671,7</w:t>
            </w:r>
          </w:p>
        </w:tc>
        <w:tc>
          <w:tcPr>
            <w:tcW w:w="395" w:type="pct"/>
            <w:vAlign w:val="center"/>
          </w:tcPr>
          <w:p w14:paraId="13AEEF51"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1,0</w:t>
            </w:r>
          </w:p>
        </w:tc>
        <w:tc>
          <w:tcPr>
            <w:tcW w:w="520" w:type="pct"/>
            <w:vAlign w:val="center"/>
          </w:tcPr>
          <w:p w14:paraId="391FA0B0"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649,2</w:t>
            </w:r>
          </w:p>
        </w:tc>
        <w:tc>
          <w:tcPr>
            <w:tcW w:w="454" w:type="pct"/>
            <w:vAlign w:val="center"/>
          </w:tcPr>
          <w:p w14:paraId="0D644480"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1,3</w:t>
            </w:r>
          </w:p>
        </w:tc>
        <w:tc>
          <w:tcPr>
            <w:tcW w:w="610" w:type="pct"/>
            <w:vAlign w:val="center"/>
          </w:tcPr>
          <w:p w14:paraId="5AA49DB1" w14:textId="77777777" w:rsidR="00CF77CC" w:rsidRPr="00A41B49" w:rsidRDefault="00CF77CC">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111,8</w:t>
            </w:r>
          </w:p>
        </w:tc>
        <w:tc>
          <w:tcPr>
            <w:tcW w:w="500" w:type="pct"/>
            <w:vAlign w:val="center"/>
          </w:tcPr>
          <w:p w14:paraId="78427C2B" w14:textId="77777777" w:rsidR="00CF77CC" w:rsidRPr="00A41B49" w:rsidRDefault="00CF77CC">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0,2</w:t>
            </w:r>
          </w:p>
        </w:tc>
      </w:tr>
      <w:tr w:rsidR="00A41B49" w:rsidRPr="00A41B49" w14:paraId="3F2DA024" w14:textId="77777777" w:rsidTr="00CE06C3">
        <w:trPr>
          <w:jc w:val="center"/>
        </w:trPr>
        <w:tc>
          <w:tcPr>
            <w:tcW w:w="1085" w:type="pct"/>
            <w:vAlign w:val="center"/>
          </w:tcPr>
          <w:p w14:paraId="5951BE5E" w14:textId="77777777" w:rsidR="00CF77CC" w:rsidRPr="00A41B49" w:rsidRDefault="00CF77CC"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м. Київ</w:t>
            </w:r>
          </w:p>
        </w:tc>
        <w:tc>
          <w:tcPr>
            <w:tcW w:w="520" w:type="pct"/>
            <w:vAlign w:val="center"/>
          </w:tcPr>
          <w:p w14:paraId="3000FCCF"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22823,0</w:t>
            </w:r>
          </w:p>
        </w:tc>
        <w:tc>
          <w:tcPr>
            <w:tcW w:w="395" w:type="pct"/>
            <w:vAlign w:val="center"/>
          </w:tcPr>
          <w:p w14:paraId="30EF50D1"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43,8</w:t>
            </w:r>
          </w:p>
        </w:tc>
        <w:tc>
          <w:tcPr>
            <w:tcW w:w="520" w:type="pct"/>
            <w:vAlign w:val="center"/>
          </w:tcPr>
          <w:p w14:paraId="67FC1D91"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25664,2</w:t>
            </w:r>
          </w:p>
        </w:tc>
        <w:tc>
          <w:tcPr>
            <w:tcW w:w="395" w:type="pct"/>
            <w:vAlign w:val="center"/>
          </w:tcPr>
          <w:p w14:paraId="4E0733FE"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39,0</w:t>
            </w:r>
          </w:p>
        </w:tc>
        <w:tc>
          <w:tcPr>
            <w:tcW w:w="520" w:type="pct"/>
            <w:vAlign w:val="center"/>
          </w:tcPr>
          <w:p w14:paraId="05627BD5"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19322,5</w:t>
            </w:r>
          </w:p>
        </w:tc>
        <w:tc>
          <w:tcPr>
            <w:tcW w:w="454" w:type="pct"/>
            <w:vAlign w:val="center"/>
          </w:tcPr>
          <w:p w14:paraId="2E3544B7"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37,9</w:t>
            </w:r>
          </w:p>
        </w:tc>
        <w:tc>
          <w:tcPr>
            <w:tcW w:w="610" w:type="pct"/>
            <w:vAlign w:val="center"/>
          </w:tcPr>
          <w:p w14:paraId="4C99EC02" w14:textId="77777777" w:rsidR="00CF77CC" w:rsidRPr="00A41B49" w:rsidRDefault="00CF77CC">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-3500,5</w:t>
            </w:r>
          </w:p>
        </w:tc>
        <w:tc>
          <w:tcPr>
            <w:tcW w:w="500" w:type="pct"/>
            <w:vAlign w:val="center"/>
          </w:tcPr>
          <w:p w14:paraId="47FFE629" w14:textId="77777777" w:rsidR="00CF77CC" w:rsidRPr="00A41B49" w:rsidRDefault="00CF77CC">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-5,9</w:t>
            </w:r>
          </w:p>
        </w:tc>
      </w:tr>
      <w:tr w:rsidR="00A41B49" w:rsidRPr="00A41B49" w14:paraId="1F7B9B8B" w14:textId="77777777" w:rsidTr="00CE06C3">
        <w:trPr>
          <w:jc w:val="center"/>
        </w:trPr>
        <w:tc>
          <w:tcPr>
            <w:tcW w:w="1085" w:type="pct"/>
            <w:vAlign w:val="center"/>
          </w:tcPr>
          <w:p w14:paraId="54655879" w14:textId="77777777" w:rsidR="00CF77CC" w:rsidRPr="00A41B49" w:rsidRDefault="00CF77CC" w:rsidP="00D12870">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Нерозподілено за регіонами</w:t>
            </w:r>
          </w:p>
        </w:tc>
        <w:tc>
          <w:tcPr>
            <w:tcW w:w="520" w:type="pct"/>
            <w:vAlign w:val="center"/>
          </w:tcPr>
          <w:p w14:paraId="4EFFFA2A"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2882,4</w:t>
            </w:r>
          </w:p>
        </w:tc>
        <w:tc>
          <w:tcPr>
            <w:tcW w:w="395" w:type="pct"/>
            <w:vAlign w:val="center"/>
          </w:tcPr>
          <w:p w14:paraId="4D2CFFCA"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5,5</w:t>
            </w:r>
          </w:p>
        </w:tc>
        <w:tc>
          <w:tcPr>
            <w:tcW w:w="520" w:type="pct"/>
            <w:vAlign w:val="center"/>
          </w:tcPr>
          <w:p w14:paraId="525DBCC0"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2994,3</w:t>
            </w:r>
          </w:p>
        </w:tc>
        <w:tc>
          <w:tcPr>
            <w:tcW w:w="395" w:type="pct"/>
            <w:vAlign w:val="center"/>
          </w:tcPr>
          <w:p w14:paraId="711EFFD1"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4,6</w:t>
            </w:r>
          </w:p>
        </w:tc>
        <w:tc>
          <w:tcPr>
            <w:tcW w:w="520" w:type="pct"/>
            <w:vAlign w:val="center"/>
          </w:tcPr>
          <w:p w14:paraId="4D48EE9C"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3043,0</w:t>
            </w:r>
          </w:p>
        </w:tc>
        <w:tc>
          <w:tcPr>
            <w:tcW w:w="454" w:type="pct"/>
            <w:vAlign w:val="center"/>
          </w:tcPr>
          <w:p w14:paraId="01F6AFEA" w14:textId="77777777" w:rsidR="00CF77CC" w:rsidRPr="00A41B49" w:rsidRDefault="00CF77CC">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6,0</w:t>
            </w:r>
          </w:p>
        </w:tc>
        <w:tc>
          <w:tcPr>
            <w:tcW w:w="610" w:type="pct"/>
            <w:vAlign w:val="center"/>
          </w:tcPr>
          <w:p w14:paraId="6FC7644B" w14:textId="77777777" w:rsidR="00CF77CC" w:rsidRPr="00A41B49" w:rsidRDefault="00CF77CC">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160,6</w:t>
            </w:r>
          </w:p>
        </w:tc>
        <w:tc>
          <w:tcPr>
            <w:tcW w:w="500" w:type="pct"/>
            <w:vAlign w:val="center"/>
          </w:tcPr>
          <w:p w14:paraId="4F5F8B9B" w14:textId="77777777" w:rsidR="00CF77CC" w:rsidRPr="00A41B49" w:rsidRDefault="00CF77CC">
            <w:pPr>
              <w:jc w:val="right"/>
              <w:rPr>
                <w:rFonts w:ascii="Times New Roman" w:hAnsi="Times New Roman" w:cs="Times New Roman"/>
                <w:sz w:val="24"/>
                <w:szCs w:val="24"/>
                <w:lang w:val="uk-UA"/>
              </w:rPr>
            </w:pPr>
            <w:r w:rsidRPr="00A41B49">
              <w:rPr>
                <w:rFonts w:ascii="Times New Roman" w:hAnsi="Times New Roman" w:cs="Times New Roman"/>
                <w:sz w:val="24"/>
                <w:szCs w:val="24"/>
                <w:lang w:val="uk-UA"/>
              </w:rPr>
              <w:t>0,4</w:t>
            </w:r>
          </w:p>
        </w:tc>
      </w:tr>
    </w:tbl>
    <w:p w14:paraId="640ADBFD" w14:textId="77777777" w:rsidR="0037223D" w:rsidRPr="00A41B49" w:rsidRDefault="00D12870" w:rsidP="00D720C1">
      <w:pPr>
        <w:spacing w:after="0" w:line="240" w:lineRule="auto"/>
        <w:rPr>
          <w:rFonts w:ascii="Times New Roman" w:hAnsi="Times New Roman" w:cs="Times New Roman"/>
          <w:i/>
          <w:sz w:val="28"/>
          <w:szCs w:val="28"/>
          <w:lang w:val="uk-UA"/>
        </w:rPr>
      </w:pPr>
      <w:r w:rsidRPr="00A41B49">
        <w:rPr>
          <w:rFonts w:ascii="Times New Roman" w:hAnsi="Times New Roman" w:cs="Times New Roman"/>
          <w:i/>
          <w:sz w:val="28"/>
          <w:szCs w:val="28"/>
          <w:lang w:val="uk-UA"/>
        </w:rPr>
        <w:t xml:space="preserve">Джерело: складено </w:t>
      </w:r>
      <w:r w:rsidR="00FA7759" w:rsidRPr="00A41B49">
        <w:rPr>
          <w:rFonts w:ascii="Times New Roman" w:hAnsi="Times New Roman" w:cs="Times New Roman"/>
          <w:i/>
          <w:sz w:val="28"/>
          <w:szCs w:val="28"/>
          <w:lang w:val="uk-UA"/>
        </w:rPr>
        <w:t xml:space="preserve">та розраховано </w:t>
      </w:r>
      <w:r w:rsidRPr="00A41B49">
        <w:rPr>
          <w:rFonts w:ascii="Times New Roman" w:hAnsi="Times New Roman" w:cs="Times New Roman"/>
          <w:i/>
          <w:sz w:val="28"/>
          <w:szCs w:val="28"/>
          <w:lang w:val="uk-UA"/>
        </w:rPr>
        <w:t>автором на основі даних джерела [18]</w:t>
      </w:r>
    </w:p>
    <w:p w14:paraId="0FA67778" w14:textId="77777777" w:rsidR="0037223D" w:rsidRPr="00A41B49" w:rsidRDefault="0037223D" w:rsidP="00D720C1">
      <w:pPr>
        <w:spacing w:after="0" w:line="240" w:lineRule="auto"/>
        <w:rPr>
          <w:rFonts w:ascii="Times New Roman" w:hAnsi="Times New Roman" w:cs="Times New Roman"/>
          <w:sz w:val="28"/>
          <w:szCs w:val="28"/>
          <w:lang w:val="uk-UA"/>
        </w:rPr>
      </w:pPr>
    </w:p>
    <w:p w14:paraId="0041E20E" w14:textId="77777777" w:rsidR="002213AB" w:rsidRPr="00A41B49" w:rsidRDefault="00502D1E" w:rsidP="00FA3B96">
      <w:pPr>
        <w:spacing w:after="0" w:line="240" w:lineRule="auto"/>
        <w:ind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У 2020-2022 рр. в Україні спстерігалося, як вже зазначалося више, зниження інвестиційної привабливості та, як наслідок, зниження обсягів</w:t>
      </w:r>
      <w:r w:rsidR="006742F6" w:rsidRPr="00A41B49">
        <w:rPr>
          <w:rFonts w:ascii="Times New Roman" w:hAnsi="Times New Roman" w:cs="Times New Roman"/>
          <w:spacing w:val="6"/>
          <w:sz w:val="28"/>
          <w:szCs w:val="28"/>
          <w:lang w:val="uk-UA"/>
        </w:rPr>
        <w:t xml:space="preserve"> ПІІ. Така динаміка ПІІ України, як свідчать дані Національного банку України, була обумовлена в першу чергу змінами – зменшенням обсягів ПІІ (інструменти участі у капіталі). Так, у 2020-2022 рр. обсяги ПІІ у вигляді акціонерного капіталу зменшилися на 3488,4 млн дол та станом на 2022 р. становили 34112 млн дол </w:t>
      </w:r>
      <w:r w:rsidR="00FA3B96" w:rsidRPr="00A41B49">
        <w:rPr>
          <w:rFonts w:ascii="Times New Roman" w:hAnsi="Times New Roman" w:cs="Times New Roman"/>
          <w:spacing w:val="6"/>
          <w:sz w:val="28"/>
          <w:szCs w:val="28"/>
          <w:lang w:val="uk-UA"/>
        </w:rPr>
        <w:t>проти 37600,4 млн дол у 2020 р.; інвестиції у вигляді боргового капіталу – ПІІ (боргові інструменти) – збільшилися на 2383,7 млн дол і становили на 2022 р. – 16874,7 млн дол проти 14491 млн дол у 2020 р. Така си</w:t>
      </w:r>
      <w:r w:rsidR="00516057" w:rsidRPr="00A41B49">
        <w:rPr>
          <w:rFonts w:ascii="Times New Roman" w:hAnsi="Times New Roman" w:cs="Times New Roman"/>
          <w:spacing w:val="6"/>
          <w:sz w:val="28"/>
          <w:szCs w:val="28"/>
          <w:lang w:val="uk-UA"/>
        </w:rPr>
        <w:t xml:space="preserve">туація із динамікою потоків ПІІ, нарощенням обсягів залучених ПІІ у вигляді боргового капіталу є достатньо негативною, адже ПІІ у вигляді боргового капіталу генеруються запозиченнями, призводять до зростання заборгованості, негативно позначаються на привабливості та економічній стійкості країни та її регіонів у довгостроковій перспективі. </w:t>
      </w:r>
    </w:p>
    <w:p w14:paraId="7A89F40C" w14:textId="77777777" w:rsidR="003D16DF" w:rsidRPr="00A41B49" w:rsidRDefault="004C2075" w:rsidP="00FA3B96">
      <w:pPr>
        <w:spacing w:after="0" w:line="240" w:lineRule="auto"/>
        <w:ind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У 2020-2022 рр. обсяги ПІІ у розрізі інструментів участі у капіталі та боргових інструментах по регіонах характеризувалися суттєвими </w:t>
      </w:r>
      <w:r w:rsidR="003D16DF" w:rsidRPr="00A41B49">
        <w:rPr>
          <w:rFonts w:ascii="Times New Roman" w:hAnsi="Times New Roman" w:cs="Times New Roman"/>
          <w:spacing w:val="6"/>
          <w:sz w:val="28"/>
          <w:szCs w:val="28"/>
          <w:lang w:val="uk-UA"/>
        </w:rPr>
        <w:t>відмінностями.</w:t>
      </w:r>
    </w:p>
    <w:p w14:paraId="19645CB6" w14:textId="77777777" w:rsidR="003D16DF" w:rsidRPr="00A41B49" w:rsidRDefault="003D16DF" w:rsidP="00FA3B96">
      <w:pPr>
        <w:spacing w:after="0" w:line="240" w:lineRule="auto"/>
        <w:ind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Н</w:t>
      </w:r>
      <w:r w:rsidR="004C2075" w:rsidRPr="00A41B49">
        <w:rPr>
          <w:rFonts w:ascii="Times New Roman" w:hAnsi="Times New Roman" w:cs="Times New Roman"/>
          <w:spacing w:val="6"/>
          <w:sz w:val="28"/>
          <w:szCs w:val="28"/>
          <w:lang w:val="uk-UA"/>
        </w:rPr>
        <w:t xml:space="preserve">айбільший обсяг ПІІ у вигляді акціонерного капіталу, що не призводить до зростання заборгованості, мав місце в </w:t>
      </w:r>
      <w:r w:rsidR="00CE6DC1" w:rsidRPr="00A41B49">
        <w:rPr>
          <w:rFonts w:ascii="Times New Roman" w:hAnsi="Times New Roman" w:cs="Times New Roman"/>
          <w:spacing w:val="6"/>
          <w:sz w:val="28"/>
          <w:szCs w:val="28"/>
          <w:lang w:val="uk-UA"/>
        </w:rPr>
        <w:t>Дніпропетровській (6204,6 млн дол у 2022 р.), Запорізькій (</w:t>
      </w:r>
      <w:r w:rsidR="001871CB" w:rsidRPr="00A41B49">
        <w:rPr>
          <w:rFonts w:ascii="Times New Roman" w:hAnsi="Times New Roman" w:cs="Times New Roman"/>
          <w:spacing w:val="6"/>
          <w:sz w:val="28"/>
          <w:szCs w:val="28"/>
          <w:lang w:val="uk-UA"/>
        </w:rPr>
        <w:t>1355,2 млн дол у 2022 р.</w:t>
      </w:r>
      <w:r w:rsidR="00CE6DC1" w:rsidRPr="00A41B49">
        <w:rPr>
          <w:rFonts w:ascii="Times New Roman" w:hAnsi="Times New Roman" w:cs="Times New Roman"/>
          <w:spacing w:val="6"/>
          <w:sz w:val="28"/>
          <w:szCs w:val="28"/>
          <w:lang w:val="uk-UA"/>
        </w:rPr>
        <w:t>)</w:t>
      </w:r>
      <w:r w:rsidR="001871CB" w:rsidRPr="00A41B49">
        <w:rPr>
          <w:rFonts w:ascii="Times New Roman" w:hAnsi="Times New Roman" w:cs="Times New Roman"/>
          <w:spacing w:val="6"/>
          <w:sz w:val="28"/>
          <w:szCs w:val="28"/>
          <w:lang w:val="uk-UA"/>
        </w:rPr>
        <w:t>, Київській (1456,8 млн дол у 2022 р.), Львіській (1693,5 млн дол), Полтавській (1658,8 млн дол у 2022 р.) областях, м. Київ (</w:t>
      </w:r>
      <w:r w:rsidR="004F024C" w:rsidRPr="00A41B49">
        <w:rPr>
          <w:rFonts w:ascii="Times New Roman" w:hAnsi="Times New Roman" w:cs="Times New Roman"/>
          <w:spacing w:val="6"/>
          <w:sz w:val="28"/>
          <w:szCs w:val="28"/>
          <w:lang w:val="uk-UA"/>
        </w:rPr>
        <w:t>12307,9</w:t>
      </w:r>
      <w:r w:rsidR="004F024C" w:rsidRPr="00A41B49">
        <w:rPr>
          <w:spacing w:val="6"/>
          <w:sz w:val="28"/>
          <w:szCs w:val="28"/>
          <w:lang w:val="uk-UA"/>
        </w:rPr>
        <w:t xml:space="preserve"> </w:t>
      </w:r>
      <w:r w:rsidR="004F024C" w:rsidRPr="00A41B49">
        <w:rPr>
          <w:rFonts w:ascii="Times New Roman" w:hAnsi="Times New Roman" w:cs="Times New Roman"/>
          <w:spacing w:val="6"/>
          <w:sz w:val="28"/>
          <w:szCs w:val="28"/>
          <w:lang w:val="uk-UA"/>
        </w:rPr>
        <w:t>млн дол</w:t>
      </w:r>
      <w:r w:rsidR="001871CB" w:rsidRPr="00A41B49">
        <w:rPr>
          <w:rFonts w:ascii="Times New Roman" w:hAnsi="Times New Roman" w:cs="Times New Roman"/>
          <w:spacing w:val="6"/>
          <w:sz w:val="28"/>
          <w:szCs w:val="28"/>
          <w:lang w:val="uk-UA"/>
        </w:rPr>
        <w:t>)</w:t>
      </w:r>
      <w:r w:rsidR="004F024C" w:rsidRPr="00A41B49">
        <w:rPr>
          <w:rFonts w:ascii="Times New Roman" w:hAnsi="Times New Roman" w:cs="Times New Roman"/>
          <w:spacing w:val="6"/>
          <w:sz w:val="28"/>
          <w:szCs w:val="28"/>
          <w:lang w:val="uk-UA"/>
        </w:rPr>
        <w:t xml:space="preserve">, найменший – Тернопільській (68,4 млн дол), Чернівецькій (54,1 млн дол). </w:t>
      </w:r>
    </w:p>
    <w:p w14:paraId="3A4566A5" w14:textId="77777777" w:rsidR="00FA3B96" w:rsidRPr="00A41B49" w:rsidRDefault="003D16DF" w:rsidP="00CC1709">
      <w:pPr>
        <w:spacing w:after="0" w:line="240" w:lineRule="auto"/>
        <w:ind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Найбільший обсяг ПІІ у вигляді боргового капіталу, що призводить до </w:t>
      </w:r>
      <w:r w:rsidR="00463C48" w:rsidRPr="00A41B49">
        <w:rPr>
          <w:rFonts w:ascii="Times New Roman" w:hAnsi="Times New Roman" w:cs="Times New Roman"/>
          <w:spacing w:val="6"/>
          <w:sz w:val="28"/>
          <w:szCs w:val="28"/>
          <w:lang w:val="uk-UA"/>
        </w:rPr>
        <w:t>зростання заборгованості, мав місце в Дніпропетровській  (1450,8 млн дол у 2022 р.),  Івано-Франківській (899,6 млн дол у 2022 р.)</w:t>
      </w:r>
      <w:r w:rsidR="00CC1709" w:rsidRPr="00A41B49">
        <w:rPr>
          <w:rFonts w:ascii="Times New Roman" w:hAnsi="Times New Roman" w:cs="Times New Roman"/>
          <w:spacing w:val="6"/>
          <w:sz w:val="28"/>
          <w:szCs w:val="28"/>
          <w:lang w:val="uk-UA"/>
        </w:rPr>
        <w:t xml:space="preserve">, м. Київ (12307,9 млн дол), найменший – Кіровоградській (31,8 млн дол), Чернівецькій (12,3 млн дол), </w:t>
      </w:r>
      <w:r w:rsidR="001B2189" w:rsidRPr="00A41B49">
        <w:rPr>
          <w:rFonts w:ascii="Times New Roman" w:hAnsi="Times New Roman" w:cs="Times New Roman"/>
          <w:spacing w:val="6"/>
          <w:sz w:val="28"/>
          <w:szCs w:val="28"/>
          <w:lang w:val="uk-UA"/>
        </w:rPr>
        <w:t>Чернігівській (78,5 млн дол) областях.</w:t>
      </w:r>
    </w:p>
    <w:p w14:paraId="137F8815" w14:textId="77777777" w:rsidR="002C0616" w:rsidRPr="00A41B49" w:rsidRDefault="001B2189" w:rsidP="001B2189">
      <w:pPr>
        <w:spacing w:after="0" w:line="240" w:lineRule="auto"/>
        <w:ind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У 2020-2022 рр. спостерігалося:</w:t>
      </w:r>
      <w:r w:rsidR="002C0616" w:rsidRPr="00A41B49">
        <w:rPr>
          <w:rFonts w:ascii="Times New Roman" w:hAnsi="Times New Roman" w:cs="Times New Roman"/>
          <w:spacing w:val="6"/>
          <w:sz w:val="28"/>
          <w:szCs w:val="28"/>
          <w:lang w:val="uk-UA"/>
        </w:rPr>
        <w:t xml:space="preserve"> </w:t>
      </w:r>
    </w:p>
    <w:p w14:paraId="1E9453B0" w14:textId="77777777" w:rsidR="001B2189" w:rsidRPr="00A41B49" w:rsidRDefault="001B2189" w:rsidP="001B2189">
      <w:pPr>
        <w:spacing w:after="0" w:line="240" w:lineRule="auto"/>
        <w:ind w:firstLine="709"/>
        <w:jc w:val="both"/>
        <w:rPr>
          <w:rFonts w:ascii="Times New Roman" w:hAnsi="Times New Roman" w:cs="Times New Roman"/>
          <w:iCs/>
          <w:spacing w:val="-6"/>
          <w:sz w:val="28"/>
          <w:szCs w:val="28"/>
          <w:lang w:val="uk-UA"/>
        </w:rPr>
      </w:pPr>
      <w:r w:rsidRPr="00A41B49">
        <w:rPr>
          <w:rFonts w:ascii="Times New Roman" w:hAnsi="Times New Roman" w:cs="Times New Roman"/>
          <w:sz w:val="28"/>
          <w:szCs w:val="28"/>
          <w:lang w:val="uk-UA"/>
        </w:rPr>
        <w:t>Зростання як ПІІ у вигляді акціонерного, так і боргового капіталу у Вінницькій, Волинській, Дніпропетровській</w:t>
      </w:r>
      <w:r w:rsidR="00AB449B" w:rsidRPr="00A41B49">
        <w:rPr>
          <w:rFonts w:ascii="Times New Roman" w:hAnsi="Times New Roman" w:cs="Times New Roman"/>
          <w:sz w:val="28"/>
          <w:szCs w:val="28"/>
          <w:lang w:val="uk-UA"/>
        </w:rPr>
        <w:t xml:space="preserve">, </w:t>
      </w:r>
      <w:r w:rsidR="00AB449B" w:rsidRPr="00A41B49">
        <w:rPr>
          <w:rFonts w:ascii="Times New Roman" w:hAnsi="Times New Roman" w:cs="Times New Roman"/>
          <w:iCs/>
          <w:spacing w:val="-6"/>
          <w:sz w:val="28"/>
          <w:szCs w:val="28"/>
          <w:lang w:val="uk-UA"/>
        </w:rPr>
        <w:t>Закарпатській, Кіровоградській, Львівській, Тернопільській, Черкаській областях;</w:t>
      </w:r>
    </w:p>
    <w:p w14:paraId="3B5B5A69" w14:textId="77777777" w:rsidR="00AB449B" w:rsidRPr="00A41B49" w:rsidRDefault="00AB449B" w:rsidP="001B2189">
      <w:pPr>
        <w:spacing w:after="0" w:line="240" w:lineRule="auto"/>
        <w:ind w:firstLine="709"/>
        <w:jc w:val="both"/>
        <w:rPr>
          <w:rFonts w:ascii="Times New Roman" w:hAnsi="Times New Roman" w:cs="Times New Roman"/>
          <w:iCs/>
          <w:spacing w:val="-6"/>
          <w:sz w:val="28"/>
          <w:szCs w:val="28"/>
          <w:lang w:val="uk-UA"/>
        </w:rPr>
      </w:pPr>
      <w:r w:rsidRPr="00A41B49">
        <w:rPr>
          <w:rFonts w:ascii="Times New Roman" w:hAnsi="Times New Roman" w:cs="Times New Roman"/>
          <w:iCs/>
          <w:spacing w:val="-6"/>
          <w:sz w:val="28"/>
          <w:szCs w:val="28"/>
          <w:lang w:val="uk-UA"/>
        </w:rPr>
        <w:lastRenderedPageBreak/>
        <w:t xml:space="preserve">Зменшення </w:t>
      </w:r>
      <w:r w:rsidRPr="00A41B49">
        <w:rPr>
          <w:rFonts w:ascii="Times New Roman" w:hAnsi="Times New Roman" w:cs="Times New Roman"/>
          <w:sz w:val="28"/>
          <w:szCs w:val="28"/>
          <w:lang w:val="uk-UA"/>
        </w:rPr>
        <w:t xml:space="preserve">як ПІІ у вигляді акціонерного, так і боргового капіталу у </w:t>
      </w:r>
      <w:r w:rsidR="00B80FE0" w:rsidRPr="00A41B49">
        <w:rPr>
          <w:rFonts w:ascii="Times New Roman" w:hAnsi="Times New Roman" w:cs="Times New Roman"/>
          <w:sz w:val="28"/>
          <w:szCs w:val="28"/>
          <w:lang w:val="uk-UA"/>
        </w:rPr>
        <w:t xml:space="preserve">Одеській, Полтавській, Рівненській, </w:t>
      </w:r>
      <w:r w:rsidR="00B80FE0" w:rsidRPr="00A41B49">
        <w:rPr>
          <w:rFonts w:ascii="Times New Roman" w:hAnsi="Times New Roman" w:cs="Times New Roman"/>
          <w:iCs/>
          <w:spacing w:val="-6"/>
          <w:sz w:val="28"/>
          <w:szCs w:val="28"/>
          <w:lang w:val="uk-UA"/>
        </w:rPr>
        <w:t>Сумській областях;</w:t>
      </w:r>
    </w:p>
    <w:p w14:paraId="3AA82EF5" w14:textId="77777777" w:rsidR="00BD7561" w:rsidRPr="00A41B49" w:rsidRDefault="003633C9" w:rsidP="00BD7561">
      <w:pPr>
        <w:spacing w:after="0" w:line="240" w:lineRule="auto"/>
        <w:ind w:firstLine="709"/>
        <w:jc w:val="both"/>
        <w:rPr>
          <w:rFonts w:ascii="Times New Roman" w:hAnsi="Times New Roman" w:cs="Times New Roman"/>
          <w:iCs/>
          <w:spacing w:val="-6"/>
          <w:sz w:val="28"/>
          <w:szCs w:val="28"/>
          <w:lang w:val="uk-UA"/>
        </w:rPr>
      </w:pPr>
      <w:r w:rsidRPr="00A41B49">
        <w:rPr>
          <w:rFonts w:ascii="Times New Roman" w:hAnsi="Times New Roman" w:cs="Times New Roman"/>
          <w:iCs/>
          <w:spacing w:val="-6"/>
          <w:sz w:val="28"/>
          <w:szCs w:val="28"/>
          <w:lang w:val="uk-UA"/>
        </w:rPr>
        <w:t xml:space="preserve">Зменшення ПІІ у вигляді акціонерного капіталу та зростання ПІІ у вигляді боргового капіталу у Житомирській, Запорізькій, Івано-Франківській, </w:t>
      </w:r>
      <w:r w:rsidR="00161629" w:rsidRPr="00A41B49">
        <w:rPr>
          <w:rFonts w:ascii="Times New Roman" w:hAnsi="Times New Roman" w:cs="Times New Roman"/>
          <w:iCs/>
          <w:spacing w:val="-6"/>
          <w:sz w:val="28"/>
          <w:szCs w:val="28"/>
          <w:lang w:val="uk-UA"/>
        </w:rPr>
        <w:t>Миколаївськ</w:t>
      </w:r>
      <w:r w:rsidRPr="00A41B49">
        <w:rPr>
          <w:rFonts w:ascii="Times New Roman" w:hAnsi="Times New Roman" w:cs="Times New Roman"/>
          <w:iCs/>
          <w:spacing w:val="-6"/>
          <w:sz w:val="28"/>
          <w:szCs w:val="28"/>
          <w:lang w:val="uk-UA"/>
        </w:rPr>
        <w:t xml:space="preserve">ій, </w:t>
      </w:r>
      <w:r w:rsidR="00BD7561" w:rsidRPr="00A41B49">
        <w:rPr>
          <w:rFonts w:ascii="Times New Roman" w:hAnsi="Times New Roman" w:cs="Times New Roman"/>
          <w:iCs/>
          <w:spacing w:val="-6"/>
          <w:sz w:val="28"/>
          <w:szCs w:val="28"/>
          <w:lang w:val="uk-UA"/>
        </w:rPr>
        <w:t>Харківськ</w:t>
      </w:r>
      <w:r w:rsidR="00894FEF" w:rsidRPr="00A41B49">
        <w:rPr>
          <w:rFonts w:ascii="Times New Roman" w:hAnsi="Times New Roman" w:cs="Times New Roman"/>
          <w:iCs/>
          <w:spacing w:val="-6"/>
          <w:sz w:val="28"/>
          <w:szCs w:val="28"/>
          <w:lang w:val="uk-UA"/>
        </w:rPr>
        <w:t>ій областях</w:t>
      </w:r>
      <w:r w:rsidR="00BD7561" w:rsidRPr="00A41B49">
        <w:rPr>
          <w:rFonts w:ascii="Times New Roman" w:hAnsi="Times New Roman" w:cs="Times New Roman"/>
          <w:iCs/>
          <w:spacing w:val="-6"/>
          <w:sz w:val="28"/>
          <w:szCs w:val="28"/>
          <w:lang w:val="uk-UA"/>
        </w:rPr>
        <w:t>;</w:t>
      </w:r>
    </w:p>
    <w:p w14:paraId="611E4B69" w14:textId="77777777" w:rsidR="00BD7561" w:rsidRPr="00A41B49" w:rsidRDefault="00BD7561" w:rsidP="00BD7561">
      <w:pPr>
        <w:spacing w:after="0" w:line="240" w:lineRule="auto"/>
        <w:ind w:firstLine="709"/>
        <w:jc w:val="both"/>
        <w:rPr>
          <w:rFonts w:ascii="Times New Roman" w:hAnsi="Times New Roman" w:cs="Times New Roman"/>
          <w:iCs/>
          <w:spacing w:val="-6"/>
          <w:sz w:val="28"/>
          <w:szCs w:val="28"/>
          <w:lang w:val="uk-UA"/>
        </w:rPr>
      </w:pPr>
      <w:r w:rsidRPr="00A41B49">
        <w:rPr>
          <w:rFonts w:ascii="Times New Roman" w:hAnsi="Times New Roman" w:cs="Times New Roman"/>
          <w:iCs/>
          <w:spacing w:val="-6"/>
          <w:sz w:val="28"/>
          <w:szCs w:val="28"/>
          <w:lang w:val="uk-UA"/>
        </w:rPr>
        <w:t xml:space="preserve">Збільшення ПІІ у вигляді акціонерного капіталу та зменшення у вигляді боргового капіталу у Київській, </w:t>
      </w:r>
      <w:r w:rsidR="00894FEF" w:rsidRPr="00A41B49">
        <w:rPr>
          <w:rFonts w:ascii="Times New Roman" w:hAnsi="Times New Roman" w:cs="Times New Roman"/>
          <w:iCs/>
          <w:spacing w:val="-6"/>
          <w:sz w:val="28"/>
          <w:szCs w:val="28"/>
          <w:lang w:val="uk-UA"/>
        </w:rPr>
        <w:t>Чернігівській, Хмельницькій областях (табл.</w:t>
      </w:r>
      <w:r w:rsidR="00CC43A3" w:rsidRPr="00A41B49">
        <w:rPr>
          <w:rFonts w:ascii="Times New Roman" w:hAnsi="Times New Roman" w:cs="Times New Roman"/>
          <w:iCs/>
          <w:spacing w:val="-6"/>
          <w:sz w:val="28"/>
          <w:szCs w:val="28"/>
          <w:lang w:val="uk-UA"/>
        </w:rPr>
        <w:t xml:space="preserve"> </w:t>
      </w:r>
      <w:r w:rsidR="00CE06C3" w:rsidRPr="00A41B49">
        <w:rPr>
          <w:rFonts w:ascii="Times New Roman" w:hAnsi="Times New Roman" w:cs="Times New Roman"/>
          <w:iCs/>
          <w:spacing w:val="-6"/>
          <w:sz w:val="28"/>
          <w:szCs w:val="28"/>
          <w:lang w:val="uk-UA"/>
        </w:rPr>
        <w:t>3.</w:t>
      </w:r>
      <w:r w:rsidR="00CC43A3" w:rsidRPr="00A41B49">
        <w:rPr>
          <w:rFonts w:ascii="Times New Roman" w:hAnsi="Times New Roman" w:cs="Times New Roman"/>
          <w:iCs/>
          <w:spacing w:val="-6"/>
          <w:sz w:val="28"/>
          <w:szCs w:val="28"/>
          <w:lang w:val="uk-UA"/>
        </w:rPr>
        <w:t>2</w:t>
      </w:r>
      <w:r w:rsidR="007D3015" w:rsidRPr="00A41B49">
        <w:rPr>
          <w:rFonts w:ascii="Times New Roman" w:hAnsi="Times New Roman" w:cs="Times New Roman"/>
          <w:iCs/>
          <w:spacing w:val="-6"/>
          <w:sz w:val="28"/>
          <w:szCs w:val="28"/>
          <w:lang w:val="uk-UA"/>
        </w:rPr>
        <w:t>).</w:t>
      </w:r>
    </w:p>
    <w:p w14:paraId="623FF640" w14:textId="77777777" w:rsidR="00C54B6F" w:rsidRPr="00A41B49" w:rsidRDefault="00C54B6F" w:rsidP="001B2189">
      <w:pPr>
        <w:spacing w:after="0" w:line="240" w:lineRule="auto"/>
        <w:ind w:firstLine="709"/>
        <w:jc w:val="both"/>
        <w:rPr>
          <w:rFonts w:ascii="Times New Roman" w:hAnsi="Times New Roman" w:cs="Times New Roman"/>
          <w:iCs/>
          <w:spacing w:val="-6"/>
          <w:sz w:val="28"/>
          <w:szCs w:val="28"/>
          <w:lang w:val="uk-UA"/>
        </w:rPr>
      </w:pPr>
    </w:p>
    <w:p w14:paraId="4AD6DFCC" w14:textId="77777777" w:rsidR="002A74C5" w:rsidRPr="00A41B49" w:rsidRDefault="002A74C5" w:rsidP="00CE06C3">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Таблиця </w:t>
      </w:r>
      <w:r w:rsidR="00CE06C3" w:rsidRPr="00A41B49">
        <w:rPr>
          <w:rFonts w:ascii="Times New Roman" w:hAnsi="Times New Roman" w:cs="Times New Roman"/>
          <w:sz w:val="28"/>
          <w:szCs w:val="28"/>
          <w:lang w:val="uk-UA"/>
        </w:rPr>
        <w:t>3.</w:t>
      </w:r>
      <w:r w:rsidR="00CC43A3" w:rsidRPr="00A41B49">
        <w:rPr>
          <w:rFonts w:ascii="Times New Roman" w:hAnsi="Times New Roman" w:cs="Times New Roman"/>
          <w:sz w:val="28"/>
          <w:szCs w:val="28"/>
          <w:lang w:val="uk-UA"/>
        </w:rPr>
        <w:t xml:space="preserve">2 </w:t>
      </w:r>
      <w:r w:rsidRPr="00A41B49">
        <w:rPr>
          <w:rFonts w:ascii="Times New Roman" w:hAnsi="Times New Roman" w:cs="Times New Roman"/>
          <w:sz w:val="28"/>
          <w:szCs w:val="28"/>
          <w:lang w:val="uk-UA"/>
        </w:rPr>
        <w:t xml:space="preserve">– </w:t>
      </w:r>
      <w:r w:rsidR="004E642C" w:rsidRPr="00A41B49">
        <w:rPr>
          <w:rFonts w:ascii="Times New Roman" w:hAnsi="Times New Roman" w:cs="Times New Roman"/>
          <w:sz w:val="28"/>
          <w:szCs w:val="28"/>
          <w:lang w:val="uk-UA"/>
        </w:rPr>
        <w:t xml:space="preserve">Структура </w:t>
      </w:r>
      <w:r w:rsidRPr="00A41B49">
        <w:rPr>
          <w:rFonts w:ascii="Times New Roman" w:hAnsi="Times New Roman" w:cs="Times New Roman"/>
          <w:sz w:val="28"/>
          <w:szCs w:val="28"/>
          <w:lang w:val="uk-UA"/>
        </w:rPr>
        <w:t>ПІІ в економ</w:t>
      </w:r>
      <w:r w:rsidR="004E642C" w:rsidRPr="00A41B49">
        <w:rPr>
          <w:rFonts w:ascii="Times New Roman" w:hAnsi="Times New Roman" w:cs="Times New Roman"/>
          <w:sz w:val="28"/>
          <w:szCs w:val="28"/>
          <w:lang w:val="uk-UA"/>
        </w:rPr>
        <w:t>іку України,</w:t>
      </w:r>
      <w:r w:rsidR="004E642C" w:rsidRPr="00A41B49">
        <w:rPr>
          <w:lang w:val="uk-UA"/>
        </w:rPr>
        <w:t xml:space="preserve"> </w:t>
      </w:r>
      <w:r w:rsidR="004E642C" w:rsidRPr="00A41B49">
        <w:rPr>
          <w:rFonts w:ascii="Times New Roman" w:hAnsi="Times New Roman" w:cs="Times New Roman"/>
          <w:sz w:val="28"/>
          <w:szCs w:val="28"/>
          <w:lang w:val="uk-UA"/>
        </w:rPr>
        <w:t>млн дол</w:t>
      </w:r>
    </w:p>
    <w:tbl>
      <w:tblPr>
        <w:tblStyle w:val="a3"/>
        <w:tblW w:w="0" w:type="auto"/>
        <w:jc w:val="center"/>
        <w:tblLook w:val="04A0" w:firstRow="1" w:lastRow="0" w:firstColumn="1" w:lastColumn="0" w:noHBand="0" w:noVBand="1"/>
      </w:tblPr>
      <w:tblGrid>
        <w:gridCol w:w="1980"/>
        <w:gridCol w:w="889"/>
        <w:gridCol w:w="889"/>
        <w:gridCol w:w="785"/>
        <w:gridCol w:w="890"/>
        <w:gridCol w:w="890"/>
        <w:gridCol w:w="890"/>
        <w:gridCol w:w="786"/>
        <w:gridCol w:w="786"/>
        <w:gridCol w:w="786"/>
      </w:tblGrid>
      <w:tr w:rsidR="00A41B49" w:rsidRPr="00A41B49" w14:paraId="251653F0" w14:textId="77777777" w:rsidTr="002C0616">
        <w:trPr>
          <w:jc w:val="center"/>
        </w:trPr>
        <w:tc>
          <w:tcPr>
            <w:tcW w:w="1918" w:type="dxa"/>
            <w:vMerge w:val="restart"/>
            <w:vAlign w:val="center"/>
          </w:tcPr>
          <w:p w14:paraId="30547A30" w14:textId="77777777" w:rsidR="00B060E0" w:rsidRPr="00A41B49" w:rsidRDefault="00D75056" w:rsidP="00EC1B7E">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Регіони</w:t>
            </w:r>
          </w:p>
        </w:tc>
        <w:tc>
          <w:tcPr>
            <w:tcW w:w="2586" w:type="dxa"/>
            <w:gridSpan w:val="3"/>
            <w:vAlign w:val="center"/>
          </w:tcPr>
          <w:p w14:paraId="33E05E8D" w14:textId="77777777" w:rsidR="00B060E0" w:rsidRPr="00A41B49" w:rsidRDefault="00B060E0" w:rsidP="00EC1B7E">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2020 р.</w:t>
            </w:r>
          </w:p>
        </w:tc>
        <w:tc>
          <w:tcPr>
            <w:tcW w:w="2691" w:type="dxa"/>
            <w:gridSpan w:val="3"/>
            <w:vAlign w:val="center"/>
          </w:tcPr>
          <w:p w14:paraId="41981C44" w14:textId="77777777" w:rsidR="00B060E0" w:rsidRPr="00A41B49" w:rsidRDefault="00B060E0" w:rsidP="00EC1B7E">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2022 р.</w:t>
            </w:r>
          </w:p>
        </w:tc>
        <w:tc>
          <w:tcPr>
            <w:tcW w:w="1584" w:type="dxa"/>
            <w:gridSpan w:val="2"/>
            <w:vAlign w:val="center"/>
          </w:tcPr>
          <w:p w14:paraId="03813CC4" w14:textId="77777777" w:rsidR="00B060E0" w:rsidRPr="00A41B49" w:rsidRDefault="00B060E0" w:rsidP="00EC1B7E">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Відхилення</w:t>
            </w:r>
          </w:p>
        </w:tc>
        <w:tc>
          <w:tcPr>
            <w:tcW w:w="792" w:type="dxa"/>
            <w:vAlign w:val="center"/>
          </w:tcPr>
          <w:p w14:paraId="1004D970" w14:textId="77777777" w:rsidR="00B060E0" w:rsidRPr="00A41B49" w:rsidRDefault="00B060E0" w:rsidP="00EC1B7E">
            <w:pPr>
              <w:jc w:val="center"/>
              <w:rPr>
                <w:rFonts w:ascii="Times New Roman" w:hAnsi="Times New Roman" w:cs="Times New Roman"/>
                <w:spacing w:val="-6"/>
                <w:sz w:val="24"/>
                <w:szCs w:val="24"/>
                <w:lang w:val="uk-UA"/>
              </w:rPr>
            </w:pPr>
          </w:p>
        </w:tc>
      </w:tr>
      <w:tr w:rsidR="00A41B49" w:rsidRPr="00A41B49" w14:paraId="170D9D35" w14:textId="77777777" w:rsidTr="002C0616">
        <w:trPr>
          <w:jc w:val="center"/>
        </w:trPr>
        <w:tc>
          <w:tcPr>
            <w:tcW w:w="1918" w:type="dxa"/>
            <w:vMerge/>
            <w:vAlign w:val="center"/>
          </w:tcPr>
          <w:p w14:paraId="649EE525" w14:textId="77777777" w:rsidR="00B060E0" w:rsidRPr="00A41B49" w:rsidRDefault="00B060E0" w:rsidP="00EC1B7E">
            <w:pPr>
              <w:jc w:val="center"/>
              <w:rPr>
                <w:rFonts w:ascii="Times New Roman" w:hAnsi="Times New Roman" w:cs="Times New Roman"/>
                <w:spacing w:val="-6"/>
                <w:sz w:val="24"/>
                <w:szCs w:val="24"/>
                <w:lang w:val="uk-UA"/>
              </w:rPr>
            </w:pPr>
          </w:p>
        </w:tc>
        <w:tc>
          <w:tcPr>
            <w:tcW w:w="897" w:type="dxa"/>
            <w:vAlign w:val="center"/>
          </w:tcPr>
          <w:p w14:paraId="3EC996CE" w14:textId="77777777" w:rsidR="00B060E0" w:rsidRPr="00A41B49" w:rsidRDefault="00B060E0" w:rsidP="00EC1B7E">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1</w:t>
            </w:r>
          </w:p>
        </w:tc>
        <w:tc>
          <w:tcPr>
            <w:tcW w:w="897" w:type="dxa"/>
            <w:vAlign w:val="center"/>
          </w:tcPr>
          <w:p w14:paraId="56AB38EC" w14:textId="77777777" w:rsidR="00B060E0" w:rsidRPr="00A41B49" w:rsidRDefault="00B060E0" w:rsidP="00EC1B7E">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2</w:t>
            </w:r>
          </w:p>
        </w:tc>
        <w:tc>
          <w:tcPr>
            <w:tcW w:w="792" w:type="dxa"/>
            <w:vAlign w:val="center"/>
          </w:tcPr>
          <w:p w14:paraId="01B398A5" w14:textId="77777777" w:rsidR="00B060E0" w:rsidRPr="00A41B49" w:rsidRDefault="00B060E0" w:rsidP="00EC1B7E">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3</w:t>
            </w:r>
          </w:p>
        </w:tc>
        <w:tc>
          <w:tcPr>
            <w:tcW w:w="897" w:type="dxa"/>
            <w:vAlign w:val="center"/>
          </w:tcPr>
          <w:p w14:paraId="61F39C6D" w14:textId="77777777" w:rsidR="00B060E0" w:rsidRPr="00A41B49" w:rsidRDefault="00B060E0" w:rsidP="00EC1B7E">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1</w:t>
            </w:r>
          </w:p>
        </w:tc>
        <w:tc>
          <w:tcPr>
            <w:tcW w:w="897" w:type="dxa"/>
            <w:vAlign w:val="center"/>
          </w:tcPr>
          <w:p w14:paraId="59C4DB10" w14:textId="77777777" w:rsidR="00B060E0" w:rsidRPr="00A41B49" w:rsidRDefault="00B060E0" w:rsidP="00EC1B7E">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2</w:t>
            </w:r>
          </w:p>
        </w:tc>
        <w:tc>
          <w:tcPr>
            <w:tcW w:w="897" w:type="dxa"/>
            <w:vAlign w:val="center"/>
          </w:tcPr>
          <w:p w14:paraId="7014E102" w14:textId="77777777" w:rsidR="00B060E0" w:rsidRPr="00A41B49" w:rsidRDefault="00B060E0" w:rsidP="00EC1B7E">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3</w:t>
            </w:r>
          </w:p>
        </w:tc>
        <w:tc>
          <w:tcPr>
            <w:tcW w:w="792" w:type="dxa"/>
            <w:vAlign w:val="center"/>
          </w:tcPr>
          <w:p w14:paraId="6C08EEA7" w14:textId="77777777" w:rsidR="00B060E0" w:rsidRPr="00A41B49" w:rsidRDefault="00B060E0" w:rsidP="00EC1B7E">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1</w:t>
            </w:r>
          </w:p>
        </w:tc>
        <w:tc>
          <w:tcPr>
            <w:tcW w:w="792" w:type="dxa"/>
            <w:vAlign w:val="center"/>
          </w:tcPr>
          <w:p w14:paraId="2DB87049" w14:textId="77777777" w:rsidR="00B060E0" w:rsidRPr="00A41B49" w:rsidRDefault="00B060E0" w:rsidP="00EC1B7E">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2</w:t>
            </w:r>
          </w:p>
        </w:tc>
        <w:tc>
          <w:tcPr>
            <w:tcW w:w="792" w:type="dxa"/>
            <w:vAlign w:val="center"/>
          </w:tcPr>
          <w:p w14:paraId="17B85E7D" w14:textId="77777777" w:rsidR="00B060E0" w:rsidRPr="00A41B49" w:rsidRDefault="00B060E0" w:rsidP="00EC1B7E">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3</w:t>
            </w:r>
          </w:p>
        </w:tc>
      </w:tr>
      <w:tr w:rsidR="00A41B49" w:rsidRPr="00A41B49" w14:paraId="04D9B49E" w14:textId="77777777" w:rsidTr="002C0616">
        <w:trPr>
          <w:jc w:val="center"/>
        </w:trPr>
        <w:tc>
          <w:tcPr>
            <w:tcW w:w="1918" w:type="dxa"/>
            <w:vAlign w:val="center"/>
          </w:tcPr>
          <w:p w14:paraId="0054ABC9" w14:textId="77777777" w:rsidR="0065655E" w:rsidRPr="00A41B49" w:rsidRDefault="0065655E" w:rsidP="00EC1B7E">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Усього країна</w:t>
            </w:r>
          </w:p>
        </w:tc>
        <w:tc>
          <w:tcPr>
            <w:tcW w:w="897" w:type="dxa"/>
            <w:vAlign w:val="center"/>
          </w:tcPr>
          <w:p w14:paraId="4B4EF3F8" w14:textId="77777777" w:rsidR="0065655E" w:rsidRPr="00A41B49" w:rsidRDefault="0065655E" w:rsidP="00EC1B7E">
            <w:pPr>
              <w:jc w:val="center"/>
              <w:rPr>
                <w:rFonts w:ascii="Times New Roman" w:hAnsi="Times New Roman" w:cs="Times New Roman"/>
                <w:bCs/>
                <w:spacing w:val="-6"/>
                <w:lang w:val="uk-UA"/>
              </w:rPr>
            </w:pPr>
            <w:r w:rsidRPr="00A41B49">
              <w:rPr>
                <w:rFonts w:ascii="Times New Roman" w:hAnsi="Times New Roman" w:cs="Times New Roman"/>
                <w:bCs/>
                <w:spacing w:val="-6"/>
                <w:lang w:val="uk-UA"/>
              </w:rPr>
              <w:t>52091,4</w:t>
            </w:r>
          </w:p>
        </w:tc>
        <w:tc>
          <w:tcPr>
            <w:tcW w:w="897" w:type="dxa"/>
            <w:vAlign w:val="center"/>
          </w:tcPr>
          <w:p w14:paraId="2EF2428B" w14:textId="77777777" w:rsidR="0065655E" w:rsidRPr="00A41B49" w:rsidRDefault="0065655E" w:rsidP="00EC1B7E">
            <w:pPr>
              <w:jc w:val="center"/>
              <w:rPr>
                <w:rFonts w:ascii="Times New Roman" w:hAnsi="Times New Roman" w:cs="Times New Roman"/>
                <w:bCs/>
                <w:spacing w:val="-6"/>
                <w:lang w:val="uk-UA"/>
              </w:rPr>
            </w:pPr>
            <w:r w:rsidRPr="00A41B49">
              <w:rPr>
                <w:rFonts w:ascii="Times New Roman" w:hAnsi="Times New Roman" w:cs="Times New Roman"/>
                <w:bCs/>
                <w:spacing w:val="-6"/>
                <w:lang w:val="uk-UA"/>
              </w:rPr>
              <w:t>37600,4</w:t>
            </w:r>
          </w:p>
        </w:tc>
        <w:tc>
          <w:tcPr>
            <w:tcW w:w="792" w:type="dxa"/>
            <w:vAlign w:val="center"/>
          </w:tcPr>
          <w:p w14:paraId="1EEFA15E" w14:textId="77777777" w:rsidR="0065655E" w:rsidRPr="00A41B49" w:rsidRDefault="0065655E" w:rsidP="00EC1B7E">
            <w:pPr>
              <w:jc w:val="center"/>
              <w:rPr>
                <w:rFonts w:ascii="Times New Roman" w:hAnsi="Times New Roman" w:cs="Times New Roman"/>
                <w:bCs/>
                <w:spacing w:val="-6"/>
                <w:lang w:val="uk-UA"/>
              </w:rPr>
            </w:pPr>
            <w:r w:rsidRPr="00A41B49">
              <w:rPr>
                <w:rFonts w:ascii="Times New Roman" w:hAnsi="Times New Roman" w:cs="Times New Roman"/>
                <w:bCs/>
                <w:spacing w:val="-6"/>
                <w:lang w:val="uk-UA"/>
              </w:rPr>
              <w:t>14491</w:t>
            </w:r>
          </w:p>
        </w:tc>
        <w:tc>
          <w:tcPr>
            <w:tcW w:w="897" w:type="dxa"/>
            <w:vAlign w:val="center"/>
          </w:tcPr>
          <w:p w14:paraId="6A0E68F0" w14:textId="77777777" w:rsidR="0065655E" w:rsidRPr="00A41B49" w:rsidRDefault="0065655E" w:rsidP="00EC1B7E">
            <w:pPr>
              <w:jc w:val="center"/>
              <w:rPr>
                <w:rFonts w:ascii="Times New Roman" w:hAnsi="Times New Roman" w:cs="Times New Roman"/>
                <w:bCs/>
                <w:spacing w:val="-6"/>
                <w:lang w:val="uk-UA"/>
              </w:rPr>
            </w:pPr>
            <w:r w:rsidRPr="00A41B49">
              <w:rPr>
                <w:rFonts w:ascii="Times New Roman" w:hAnsi="Times New Roman" w:cs="Times New Roman"/>
                <w:bCs/>
                <w:spacing w:val="-6"/>
                <w:lang w:val="uk-UA"/>
              </w:rPr>
              <w:t>50986,7</w:t>
            </w:r>
          </w:p>
        </w:tc>
        <w:tc>
          <w:tcPr>
            <w:tcW w:w="897" w:type="dxa"/>
            <w:vAlign w:val="center"/>
          </w:tcPr>
          <w:p w14:paraId="45DCBE91" w14:textId="77777777" w:rsidR="0065655E" w:rsidRPr="00A41B49" w:rsidRDefault="0065655E" w:rsidP="00EC1B7E">
            <w:pPr>
              <w:jc w:val="center"/>
              <w:rPr>
                <w:rFonts w:ascii="Times New Roman" w:hAnsi="Times New Roman" w:cs="Times New Roman"/>
                <w:bCs/>
                <w:spacing w:val="-6"/>
                <w:lang w:val="uk-UA"/>
              </w:rPr>
            </w:pPr>
            <w:r w:rsidRPr="00A41B49">
              <w:rPr>
                <w:rFonts w:ascii="Times New Roman" w:hAnsi="Times New Roman" w:cs="Times New Roman"/>
                <w:bCs/>
                <w:spacing w:val="-6"/>
                <w:lang w:val="uk-UA"/>
              </w:rPr>
              <w:t>34112</w:t>
            </w:r>
          </w:p>
        </w:tc>
        <w:tc>
          <w:tcPr>
            <w:tcW w:w="897" w:type="dxa"/>
            <w:vAlign w:val="center"/>
          </w:tcPr>
          <w:p w14:paraId="4087926C" w14:textId="77777777" w:rsidR="0065655E" w:rsidRPr="00A41B49" w:rsidRDefault="0065655E" w:rsidP="00EC1B7E">
            <w:pPr>
              <w:jc w:val="center"/>
              <w:rPr>
                <w:rFonts w:ascii="Times New Roman" w:hAnsi="Times New Roman" w:cs="Times New Roman"/>
                <w:bCs/>
                <w:spacing w:val="-6"/>
                <w:lang w:val="uk-UA"/>
              </w:rPr>
            </w:pPr>
            <w:r w:rsidRPr="00A41B49">
              <w:rPr>
                <w:rFonts w:ascii="Times New Roman" w:hAnsi="Times New Roman" w:cs="Times New Roman"/>
                <w:bCs/>
                <w:spacing w:val="-6"/>
                <w:lang w:val="uk-UA"/>
              </w:rPr>
              <w:t>16874,7</w:t>
            </w:r>
          </w:p>
        </w:tc>
        <w:tc>
          <w:tcPr>
            <w:tcW w:w="792" w:type="dxa"/>
            <w:vAlign w:val="center"/>
          </w:tcPr>
          <w:p w14:paraId="2C091998"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-1104,7</w:t>
            </w:r>
          </w:p>
        </w:tc>
        <w:tc>
          <w:tcPr>
            <w:tcW w:w="792" w:type="dxa"/>
            <w:vAlign w:val="center"/>
          </w:tcPr>
          <w:p w14:paraId="7427A652"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-3488,4</w:t>
            </w:r>
          </w:p>
        </w:tc>
        <w:tc>
          <w:tcPr>
            <w:tcW w:w="792" w:type="dxa"/>
            <w:vAlign w:val="center"/>
          </w:tcPr>
          <w:p w14:paraId="30248A48"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2383,7</w:t>
            </w:r>
          </w:p>
        </w:tc>
      </w:tr>
      <w:tr w:rsidR="00A41B49" w:rsidRPr="00A41B49" w14:paraId="636993F8" w14:textId="77777777" w:rsidTr="002C0616">
        <w:trPr>
          <w:jc w:val="center"/>
        </w:trPr>
        <w:tc>
          <w:tcPr>
            <w:tcW w:w="1918" w:type="dxa"/>
            <w:vAlign w:val="center"/>
          </w:tcPr>
          <w:p w14:paraId="2EF2B750" w14:textId="77777777" w:rsidR="0065655E" w:rsidRPr="00A41B49" w:rsidRDefault="0065655E"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Вінницька</w:t>
            </w:r>
          </w:p>
        </w:tc>
        <w:tc>
          <w:tcPr>
            <w:tcW w:w="897" w:type="dxa"/>
            <w:vAlign w:val="center"/>
          </w:tcPr>
          <w:p w14:paraId="306F4E75"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737,8</w:t>
            </w:r>
          </w:p>
        </w:tc>
        <w:tc>
          <w:tcPr>
            <w:tcW w:w="897" w:type="dxa"/>
            <w:vAlign w:val="center"/>
          </w:tcPr>
          <w:p w14:paraId="3921A28A"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384,1</w:t>
            </w:r>
          </w:p>
        </w:tc>
        <w:tc>
          <w:tcPr>
            <w:tcW w:w="792" w:type="dxa"/>
            <w:vAlign w:val="center"/>
          </w:tcPr>
          <w:p w14:paraId="5A655F46"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353,7</w:t>
            </w:r>
          </w:p>
        </w:tc>
        <w:tc>
          <w:tcPr>
            <w:tcW w:w="897" w:type="dxa"/>
            <w:vAlign w:val="center"/>
          </w:tcPr>
          <w:p w14:paraId="7E04E3C8"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925,3</w:t>
            </w:r>
          </w:p>
        </w:tc>
        <w:tc>
          <w:tcPr>
            <w:tcW w:w="897" w:type="dxa"/>
            <w:vAlign w:val="center"/>
          </w:tcPr>
          <w:p w14:paraId="1CA36A51"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502,5</w:t>
            </w:r>
          </w:p>
        </w:tc>
        <w:tc>
          <w:tcPr>
            <w:tcW w:w="897" w:type="dxa"/>
            <w:vAlign w:val="center"/>
          </w:tcPr>
          <w:p w14:paraId="4432663D"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422,8</w:t>
            </w:r>
          </w:p>
        </w:tc>
        <w:tc>
          <w:tcPr>
            <w:tcW w:w="792" w:type="dxa"/>
            <w:vAlign w:val="center"/>
          </w:tcPr>
          <w:p w14:paraId="5C891092"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187,5</w:t>
            </w:r>
          </w:p>
        </w:tc>
        <w:tc>
          <w:tcPr>
            <w:tcW w:w="792" w:type="dxa"/>
            <w:vAlign w:val="center"/>
          </w:tcPr>
          <w:p w14:paraId="114D85C9"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118,4</w:t>
            </w:r>
          </w:p>
        </w:tc>
        <w:tc>
          <w:tcPr>
            <w:tcW w:w="792" w:type="dxa"/>
            <w:vAlign w:val="center"/>
          </w:tcPr>
          <w:p w14:paraId="66123434"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69,1</w:t>
            </w:r>
          </w:p>
        </w:tc>
      </w:tr>
      <w:tr w:rsidR="00A41B49" w:rsidRPr="00A41B49" w14:paraId="182EED0C" w14:textId="77777777" w:rsidTr="002C0616">
        <w:trPr>
          <w:jc w:val="center"/>
        </w:trPr>
        <w:tc>
          <w:tcPr>
            <w:tcW w:w="1918" w:type="dxa"/>
            <w:vAlign w:val="center"/>
          </w:tcPr>
          <w:p w14:paraId="645E6C34" w14:textId="77777777" w:rsidR="0065655E" w:rsidRPr="00A41B49" w:rsidRDefault="0065655E"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Волинська</w:t>
            </w:r>
          </w:p>
        </w:tc>
        <w:tc>
          <w:tcPr>
            <w:tcW w:w="897" w:type="dxa"/>
            <w:vAlign w:val="center"/>
          </w:tcPr>
          <w:p w14:paraId="156A024D"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331,2</w:t>
            </w:r>
          </w:p>
        </w:tc>
        <w:tc>
          <w:tcPr>
            <w:tcW w:w="897" w:type="dxa"/>
            <w:vAlign w:val="center"/>
          </w:tcPr>
          <w:p w14:paraId="1EE6FDAB"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247,9</w:t>
            </w:r>
          </w:p>
        </w:tc>
        <w:tc>
          <w:tcPr>
            <w:tcW w:w="792" w:type="dxa"/>
            <w:vAlign w:val="center"/>
          </w:tcPr>
          <w:p w14:paraId="1E9E5DB8"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83,3</w:t>
            </w:r>
          </w:p>
        </w:tc>
        <w:tc>
          <w:tcPr>
            <w:tcW w:w="897" w:type="dxa"/>
            <w:vAlign w:val="center"/>
          </w:tcPr>
          <w:p w14:paraId="3C7E1218"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367,7</w:t>
            </w:r>
          </w:p>
        </w:tc>
        <w:tc>
          <w:tcPr>
            <w:tcW w:w="897" w:type="dxa"/>
            <w:vAlign w:val="center"/>
          </w:tcPr>
          <w:p w14:paraId="4B88E9AD"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260,2</w:t>
            </w:r>
          </w:p>
        </w:tc>
        <w:tc>
          <w:tcPr>
            <w:tcW w:w="897" w:type="dxa"/>
            <w:vAlign w:val="center"/>
          </w:tcPr>
          <w:p w14:paraId="5E796C36"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107,5</w:t>
            </w:r>
          </w:p>
        </w:tc>
        <w:tc>
          <w:tcPr>
            <w:tcW w:w="792" w:type="dxa"/>
            <w:vAlign w:val="center"/>
          </w:tcPr>
          <w:p w14:paraId="73392FB4"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36,5</w:t>
            </w:r>
          </w:p>
        </w:tc>
        <w:tc>
          <w:tcPr>
            <w:tcW w:w="792" w:type="dxa"/>
            <w:vAlign w:val="center"/>
          </w:tcPr>
          <w:p w14:paraId="73E7EF4B"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12,3</w:t>
            </w:r>
          </w:p>
        </w:tc>
        <w:tc>
          <w:tcPr>
            <w:tcW w:w="792" w:type="dxa"/>
            <w:vAlign w:val="center"/>
          </w:tcPr>
          <w:p w14:paraId="23D40776"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24,2</w:t>
            </w:r>
          </w:p>
        </w:tc>
      </w:tr>
      <w:tr w:rsidR="00A41B49" w:rsidRPr="00A41B49" w14:paraId="2EC4E3CD" w14:textId="77777777" w:rsidTr="002C0616">
        <w:trPr>
          <w:jc w:val="center"/>
        </w:trPr>
        <w:tc>
          <w:tcPr>
            <w:tcW w:w="1918" w:type="dxa"/>
            <w:vAlign w:val="center"/>
          </w:tcPr>
          <w:p w14:paraId="5B489B28" w14:textId="77777777" w:rsidR="0065655E" w:rsidRPr="00A41B49" w:rsidRDefault="0065655E"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Дніпропетровська</w:t>
            </w:r>
          </w:p>
        </w:tc>
        <w:tc>
          <w:tcPr>
            <w:tcW w:w="897" w:type="dxa"/>
            <w:vAlign w:val="center"/>
          </w:tcPr>
          <w:p w14:paraId="0B753769"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5772,7</w:t>
            </w:r>
          </w:p>
        </w:tc>
        <w:tc>
          <w:tcPr>
            <w:tcW w:w="897" w:type="dxa"/>
            <w:vAlign w:val="center"/>
          </w:tcPr>
          <w:p w14:paraId="2ADB5D82"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4661,7</w:t>
            </w:r>
          </w:p>
        </w:tc>
        <w:tc>
          <w:tcPr>
            <w:tcW w:w="792" w:type="dxa"/>
            <w:vAlign w:val="center"/>
          </w:tcPr>
          <w:p w14:paraId="3C9F1E11"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1111</w:t>
            </w:r>
          </w:p>
        </w:tc>
        <w:tc>
          <w:tcPr>
            <w:tcW w:w="897" w:type="dxa"/>
            <w:vAlign w:val="center"/>
          </w:tcPr>
          <w:p w14:paraId="3F5143D9"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7655,4</w:t>
            </w:r>
          </w:p>
        </w:tc>
        <w:tc>
          <w:tcPr>
            <w:tcW w:w="897" w:type="dxa"/>
            <w:vAlign w:val="center"/>
          </w:tcPr>
          <w:p w14:paraId="2BA4B539"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6204,6</w:t>
            </w:r>
          </w:p>
        </w:tc>
        <w:tc>
          <w:tcPr>
            <w:tcW w:w="897" w:type="dxa"/>
            <w:vAlign w:val="center"/>
          </w:tcPr>
          <w:p w14:paraId="68C919EE"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1450,8</w:t>
            </w:r>
          </w:p>
        </w:tc>
        <w:tc>
          <w:tcPr>
            <w:tcW w:w="792" w:type="dxa"/>
            <w:vAlign w:val="center"/>
          </w:tcPr>
          <w:p w14:paraId="05F4B195"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1882,7</w:t>
            </w:r>
          </w:p>
        </w:tc>
        <w:tc>
          <w:tcPr>
            <w:tcW w:w="792" w:type="dxa"/>
            <w:vAlign w:val="center"/>
          </w:tcPr>
          <w:p w14:paraId="174D46BF"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1542,9</w:t>
            </w:r>
          </w:p>
        </w:tc>
        <w:tc>
          <w:tcPr>
            <w:tcW w:w="792" w:type="dxa"/>
            <w:vAlign w:val="center"/>
          </w:tcPr>
          <w:p w14:paraId="0A9FC7E9" w14:textId="77777777" w:rsidR="0065655E" w:rsidRPr="00A41B49" w:rsidRDefault="0065655E"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339,8</w:t>
            </w:r>
          </w:p>
        </w:tc>
      </w:tr>
      <w:tr w:rsidR="00A41B49" w:rsidRPr="00A41B49" w14:paraId="354AC28E" w14:textId="77777777" w:rsidTr="002C0616">
        <w:trPr>
          <w:jc w:val="center"/>
        </w:trPr>
        <w:tc>
          <w:tcPr>
            <w:tcW w:w="1918" w:type="dxa"/>
            <w:vAlign w:val="center"/>
          </w:tcPr>
          <w:p w14:paraId="5264051D"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Донецька</w:t>
            </w:r>
          </w:p>
        </w:tc>
        <w:tc>
          <w:tcPr>
            <w:tcW w:w="897" w:type="dxa"/>
            <w:vAlign w:val="center"/>
          </w:tcPr>
          <w:p w14:paraId="62251AF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2438,1</w:t>
            </w:r>
          </w:p>
        </w:tc>
        <w:tc>
          <w:tcPr>
            <w:tcW w:w="897" w:type="dxa"/>
            <w:vAlign w:val="center"/>
          </w:tcPr>
          <w:p w14:paraId="4488C2CF"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1745,3</w:t>
            </w:r>
          </w:p>
        </w:tc>
        <w:tc>
          <w:tcPr>
            <w:tcW w:w="792" w:type="dxa"/>
            <w:vAlign w:val="center"/>
          </w:tcPr>
          <w:p w14:paraId="4DA65ECF"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692,8</w:t>
            </w:r>
          </w:p>
        </w:tc>
        <w:tc>
          <w:tcPr>
            <w:tcW w:w="897" w:type="dxa"/>
            <w:vAlign w:val="center"/>
          </w:tcPr>
          <w:p w14:paraId="028FFC5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c>
          <w:tcPr>
            <w:tcW w:w="897" w:type="dxa"/>
            <w:vAlign w:val="center"/>
          </w:tcPr>
          <w:p w14:paraId="68D0B14E"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c>
          <w:tcPr>
            <w:tcW w:w="897" w:type="dxa"/>
            <w:vAlign w:val="center"/>
          </w:tcPr>
          <w:p w14:paraId="292EE86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c>
          <w:tcPr>
            <w:tcW w:w="792" w:type="dxa"/>
            <w:vAlign w:val="center"/>
          </w:tcPr>
          <w:p w14:paraId="0796E448"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c>
          <w:tcPr>
            <w:tcW w:w="792" w:type="dxa"/>
            <w:vAlign w:val="center"/>
          </w:tcPr>
          <w:p w14:paraId="42C0535B"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c>
          <w:tcPr>
            <w:tcW w:w="792" w:type="dxa"/>
            <w:vAlign w:val="center"/>
          </w:tcPr>
          <w:p w14:paraId="674AA28C"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r>
      <w:tr w:rsidR="00A41B49" w:rsidRPr="00A41B49" w14:paraId="604C4978" w14:textId="77777777" w:rsidTr="002C0616">
        <w:trPr>
          <w:jc w:val="center"/>
        </w:trPr>
        <w:tc>
          <w:tcPr>
            <w:tcW w:w="1918" w:type="dxa"/>
            <w:vAlign w:val="center"/>
          </w:tcPr>
          <w:p w14:paraId="1016986E"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Житомирська</w:t>
            </w:r>
          </w:p>
        </w:tc>
        <w:tc>
          <w:tcPr>
            <w:tcW w:w="897" w:type="dxa"/>
            <w:vAlign w:val="center"/>
          </w:tcPr>
          <w:p w14:paraId="4DE27B71"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692,5</w:t>
            </w:r>
          </w:p>
        </w:tc>
        <w:tc>
          <w:tcPr>
            <w:tcW w:w="897" w:type="dxa"/>
            <w:vAlign w:val="center"/>
          </w:tcPr>
          <w:p w14:paraId="04A682D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320,4</w:t>
            </w:r>
          </w:p>
        </w:tc>
        <w:tc>
          <w:tcPr>
            <w:tcW w:w="792" w:type="dxa"/>
            <w:vAlign w:val="center"/>
          </w:tcPr>
          <w:p w14:paraId="02F5E49F"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372,1</w:t>
            </w:r>
          </w:p>
        </w:tc>
        <w:tc>
          <w:tcPr>
            <w:tcW w:w="897" w:type="dxa"/>
            <w:vAlign w:val="center"/>
          </w:tcPr>
          <w:p w14:paraId="2E5066E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682,7</w:t>
            </w:r>
          </w:p>
        </w:tc>
        <w:tc>
          <w:tcPr>
            <w:tcW w:w="897" w:type="dxa"/>
            <w:vAlign w:val="center"/>
          </w:tcPr>
          <w:p w14:paraId="5D8970A8"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284</w:t>
            </w:r>
          </w:p>
        </w:tc>
        <w:tc>
          <w:tcPr>
            <w:tcW w:w="897" w:type="dxa"/>
            <w:vAlign w:val="center"/>
          </w:tcPr>
          <w:p w14:paraId="7CB3D6B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398,7</w:t>
            </w:r>
          </w:p>
        </w:tc>
        <w:tc>
          <w:tcPr>
            <w:tcW w:w="792" w:type="dxa"/>
            <w:vAlign w:val="center"/>
          </w:tcPr>
          <w:p w14:paraId="1A4103B9"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-9,8</w:t>
            </w:r>
          </w:p>
        </w:tc>
        <w:tc>
          <w:tcPr>
            <w:tcW w:w="792" w:type="dxa"/>
            <w:vAlign w:val="center"/>
          </w:tcPr>
          <w:p w14:paraId="4B389092"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-36,4</w:t>
            </w:r>
          </w:p>
        </w:tc>
        <w:tc>
          <w:tcPr>
            <w:tcW w:w="792" w:type="dxa"/>
            <w:vAlign w:val="center"/>
          </w:tcPr>
          <w:p w14:paraId="540F0C00"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26,6</w:t>
            </w:r>
          </w:p>
        </w:tc>
      </w:tr>
      <w:tr w:rsidR="00A41B49" w:rsidRPr="00A41B49" w14:paraId="0893231A" w14:textId="77777777" w:rsidTr="002C0616">
        <w:trPr>
          <w:jc w:val="center"/>
        </w:trPr>
        <w:tc>
          <w:tcPr>
            <w:tcW w:w="1918" w:type="dxa"/>
            <w:vAlign w:val="center"/>
          </w:tcPr>
          <w:p w14:paraId="69AB68E4"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Закарпатська</w:t>
            </w:r>
          </w:p>
        </w:tc>
        <w:tc>
          <w:tcPr>
            <w:tcW w:w="897" w:type="dxa"/>
            <w:vAlign w:val="center"/>
          </w:tcPr>
          <w:p w14:paraId="6FE3ED09"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407,9</w:t>
            </w:r>
          </w:p>
        </w:tc>
        <w:tc>
          <w:tcPr>
            <w:tcW w:w="897" w:type="dxa"/>
            <w:vAlign w:val="center"/>
          </w:tcPr>
          <w:p w14:paraId="160955E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242</w:t>
            </w:r>
          </w:p>
        </w:tc>
        <w:tc>
          <w:tcPr>
            <w:tcW w:w="792" w:type="dxa"/>
            <w:vAlign w:val="center"/>
          </w:tcPr>
          <w:p w14:paraId="7F322F0C"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166</w:t>
            </w:r>
          </w:p>
        </w:tc>
        <w:tc>
          <w:tcPr>
            <w:tcW w:w="897" w:type="dxa"/>
            <w:vAlign w:val="center"/>
          </w:tcPr>
          <w:p w14:paraId="4343EA47"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589,9</w:t>
            </w:r>
          </w:p>
        </w:tc>
        <w:tc>
          <w:tcPr>
            <w:tcW w:w="897" w:type="dxa"/>
            <w:vAlign w:val="center"/>
          </w:tcPr>
          <w:p w14:paraId="1F7F76A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405,1</w:t>
            </w:r>
          </w:p>
        </w:tc>
        <w:tc>
          <w:tcPr>
            <w:tcW w:w="897" w:type="dxa"/>
            <w:vAlign w:val="center"/>
          </w:tcPr>
          <w:p w14:paraId="77F74B0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184,8</w:t>
            </w:r>
          </w:p>
        </w:tc>
        <w:tc>
          <w:tcPr>
            <w:tcW w:w="792" w:type="dxa"/>
            <w:vAlign w:val="center"/>
          </w:tcPr>
          <w:p w14:paraId="6506BA30"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182</w:t>
            </w:r>
          </w:p>
        </w:tc>
        <w:tc>
          <w:tcPr>
            <w:tcW w:w="792" w:type="dxa"/>
            <w:vAlign w:val="center"/>
          </w:tcPr>
          <w:p w14:paraId="4E21B182"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163,1</w:t>
            </w:r>
          </w:p>
        </w:tc>
        <w:tc>
          <w:tcPr>
            <w:tcW w:w="792" w:type="dxa"/>
            <w:vAlign w:val="center"/>
          </w:tcPr>
          <w:p w14:paraId="7DA39B8B"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18,8</w:t>
            </w:r>
          </w:p>
        </w:tc>
      </w:tr>
      <w:tr w:rsidR="00A41B49" w:rsidRPr="00A41B49" w14:paraId="5AE6E3B0" w14:textId="77777777" w:rsidTr="002C0616">
        <w:trPr>
          <w:jc w:val="center"/>
        </w:trPr>
        <w:tc>
          <w:tcPr>
            <w:tcW w:w="1918" w:type="dxa"/>
            <w:vAlign w:val="center"/>
          </w:tcPr>
          <w:p w14:paraId="0FB65CD0"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Запорізька</w:t>
            </w:r>
          </w:p>
        </w:tc>
        <w:tc>
          <w:tcPr>
            <w:tcW w:w="897" w:type="dxa"/>
            <w:vAlign w:val="center"/>
          </w:tcPr>
          <w:p w14:paraId="62134C29"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1558,1</w:t>
            </w:r>
          </w:p>
        </w:tc>
        <w:tc>
          <w:tcPr>
            <w:tcW w:w="897" w:type="dxa"/>
            <w:vAlign w:val="center"/>
          </w:tcPr>
          <w:p w14:paraId="195DAE5E"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1427,8</w:t>
            </w:r>
          </w:p>
        </w:tc>
        <w:tc>
          <w:tcPr>
            <w:tcW w:w="792" w:type="dxa"/>
            <w:vAlign w:val="center"/>
          </w:tcPr>
          <w:p w14:paraId="39F70E1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130,3</w:t>
            </w:r>
          </w:p>
        </w:tc>
        <w:tc>
          <w:tcPr>
            <w:tcW w:w="897" w:type="dxa"/>
            <w:vAlign w:val="center"/>
          </w:tcPr>
          <w:p w14:paraId="55E435D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1688,5</w:t>
            </w:r>
          </w:p>
        </w:tc>
        <w:tc>
          <w:tcPr>
            <w:tcW w:w="897" w:type="dxa"/>
            <w:vAlign w:val="center"/>
          </w:tcPr>
          <w:p w14:paraId="2EF2366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1355,2</w:t>
            </w:r>
          </w:p>
        </w:tc>
        <w:tc>
          <w:tcPr>
            <w:tcW w:w="897" w:type="dxa"/>
            <w:vAlign w:val="center"/>
          </w:tcPr>
          <w:p w14:paraId="1D1DB0D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333,3</w:t>
            </w:r>
          </w:p>
        </w:tc>
        <w:tc>
          <w:tcPr>
            <w:tcW w:w="792" w:type="dxa"/>
            <w:vAlign w:val="center"/>
          </w:tcPr>
          <w:p w14:paraId="1716BE8B"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130,4</w:t>
            </w:r>
          </w:p>
        </w:tc>
        <w:tc>
          <w:tcPr>
            <w:tcW w:w="792" w:type="dxa"/>
            <w:vAlign w:val="center"/>
          </w:tcPr>
          <w:p w14:paraId="5E988D12"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-72,6</w:t>
            </w:r>
          </w:p>
        </w:tc>
        <w:tc>
          <w:tcPr>
            <w:tcW w:w="792" w:type="dxa"/>
            <w:vAlign w:val="center"/>
          </w:tcPr>
          <w:p w14:paraId="1D68DCAF"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203</w:t>
            </w:r>
          </w:p>
        </w:tc>
      </w:tr>
      <w:tr w:rsidR="00A41B49" w:rsidRPr="00A41B49" w14:paraId="74149064" w14:textId="77777777" w:rsidTr="002C0616">
        <w:trPr>
          <w:jc w:val="center"/>
        </w:trPr>
        <w:tc>
          <w:tcPr>
            <w:tcW w:w="1918" w:type="dxa"/>
            <w:vAlign w:val="center"/>
          </w:tcPr>
          <w:p w14:paraId="66B9C707"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Івано-Франківська</w:t>
            </w:r>
          </w:p>
        </w:tc>
        <w:tc>
          <w:tcPr>
            <w:tcW w:w="897" w:type="dxa"/>
            <w:vAlign w:val="center"/>
          </w:tcPr>
          <w:p w14:paraId="00154D8F"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679,5</w:t>
            </w:r>
          </w:p>
        </w:tc>
        <w:tc>
          <w:tcPr>
            <w:tcW w:w="897" w:type="dxa"/>
            <w:vAlign w:val="center"/>
          </w:tcPr>
          <w:p w14:paraId="4C4D1DA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548,6</w:t>
            </w:r>
          </w:p>
        </w:tc>
        <w:tc>
          <w:tcPr>
            <w:tcW w:w="792" w:type="dxa"/>
            <w:vAlign w:val="center"/>
          </w:tcPr>
          <w:p w14:paraId="457733B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130,8</w:t>
            </w:r>
          </w:p>
        </w:tc>
        <w:tc>
          <w:tcPr>
            <w:tcW w:w="897" w:type="dxa"/>
            <w:vAlign w:val="center"/>
          </w:tcPr>
          <w:p w14:paraId="09079C6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1321,3</w:t>
            </w:r>
          </w:p>
        </w:tc>
        <w:tc>
          <w:tcPr>
            <w:tcW w:w="897" w:type="dxa"/>
            <w:vAlign w:val="center"/>
          </w:tcPr>
          <w:p w14:paraId="040788E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421,7</w:t>
            </w:r>
          </w:p>
        </w:tc>
        <w:tc>
          <w:tcPr>
            <w:tcW w:w="897" w:type="dxa"/>
            <w:vAlign w:val="center"/>
          </w:tcPr>
          <w:p w14:paraId="301C31A8"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899,6</w:t>
            </w:r>
          </w:p>
        </w:tc>
        <w:tc>
          <w:tcPr>
            <w:tcW w:w="792" w:type="dxa"/>
            <w:vAlign w:val="center"/>
          </w:tcPr>
          <w:p w14:paraId="44A9B9CC"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641,8</w:t>
            </w:r>
          </w:p>
        </w:tc>
        <w:tc>
          <w:tcPr>
            <w:tcW w:w="792" w:type="dxa"/>
            <w:vAlign w:val="center"/>
          </w:tcPr>
          <w:p w14:paraId="3E4990B0"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-126,9</w:t>
            </w:r>
          </w:p>
        </w:tc>
        <w:tc>
          <w:tcPr>
            <w:tcW w:w="792" w:type="dxa"/>
            <w:vAlign w:val="center"/>
          </w:tcPr>
          <w:p w14:paraId="27409804"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768,8</w:t>
            </w:r>
          </w:p>
        </w:tc>
      </w:tr>
      <w:tr w:rsidR="00A41B49" w:rsidRPr="00A41B49" w14:paraId="61F80B3A" w14:textId="77777777" w:rsidTr="002C0616">
        <w:trPr>
          <w:jc w:val="center"/>
        </w:trPr>
        <w:tc>
          <w:tcPr>
            <w:tcW w:w="1918" w:type="dxa"/>
            <w:vAlign w:val="center"/>
          </w:tcPr>
          <w:p w14:paraId="53F43C58"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Київська</w:t>
            </w:r>
          </w:p>
        </w:tc>
        <w:tc>
          <w:tcPr>
            <w:tcW w:w="897" w:type="dxa"/>
            <w:vAlign w:val="center"/>
          </w:tcPr>
          <w:p w14:paraId="5BBBEB1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2189,7</w:t>
            </w:r>
          </w:p>
        </w:tc>
        <w:tc>
          <w:tcPr>
            <w:tcW w:w="897" w:type="dxa"/>
            <w:vAlign w:val="center"/>
          </w:tcPr>
          <w:p w14:paraId="53369324"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1313,3</w:t>
            </w:r>
          </w:p>
        </w:tc>
        <w:tc>
          <w:tcPr>
            <w:tcW w:w="792" w:type="dxa"/>
            <w:vAlign w:val="center"/>
          </w:tcPr>
          <w:p w14:paraId="6FB7B859"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876,4</w:t>
            </w:r>
          </w:p>
        </w:tc>
        <w:tc>
          <w:tcPr>
            <w:tcW w:w="897" w:type="dxa"/>
            <w:vAlign w:val="center"/>
          </w:tcPr>
          <w:p w14:paraId="76281A3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2282,6</w:t>
            </w:r>
          </w:p>
        </w:tc>
        <w:tc>
          <w:tcPr>
            <w:tcW w:w="897" w:type="dxa"/>
            <w:vAlign w:val="center"/>
          </w:tcPr>
          <w:p w14:paraId="7B83127C"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1456,8</w:t>
            </w:r>
          </w:p>
        </w:tc>
        <w:tc>
          <w:tcPr>
            <w:tcW w:w="897" w:type="dxa"/>
            <w:vAlign w:val="center"/>
          </w:tcPr>
          <w:p w14:paraId="6E69232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825,8</w:t>
            </w:r>
          </w:p>
        </w:tc>
        <w:tc>
          <w:tcPr>
            <w:tcW w:w="792" w:type="dxa"/>
            <w:vAlign w:val="center"/>
          </w:tcPr>
          <w:p w14:paraId="5276254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92,9</w:t>
            </w:r>
          </w:p>
        </w:tc>
        <w:tc>
          <w:tcPr>
            <w:tcW w:w="792" w:type="dxa"/>
            <w:vAlign w:val="center"/>
          </w:tcPr>
          <w:p w14:paraId="1980B863"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143,5</w:t>
            </w:r>
          </w:p>
        </w:tc>
        <w:tc>
          <w:tcPr>
            <w:tcW w:w="792" w:type="dxa"/>
            <w:vAlign w:val="center"/>
          </w:tcPr>
          <w:p w14:paraId="7A2E6C27"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-50,6</w:t>
            </w:r>
          </w:p>
        </w:tc>
      </w:tr>
      <w:tr w:rsidR="00A41B49" w:rsidRPr="00A41B49" w14:paraId="7A3CFA61" w14:textId="77777777" w:rsidTr="002C0616">
        <w:trPr>
          <w:jc w:val="center"/>
        </w:trPr>
        <w:tc>
          <w:tcPr>
            <w:tcW w:w="1918" w:type="dxa"/>
            <w:vAlign w:val="center"/>
          </w:tcPr>
          <w:p w14:paraId="03D3A20A"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Кіровоградська</w:t>
            </w:r>
          </w:p>
        </w:tc>
        <w:tc>
          <w:tcPr>
            <w:tcW w:w="897" w:type="dxa"/>
            <w:vAlign w:val="center"/>
          </w:tcPr>
          <w:p w14:paraId="68FC17AC"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194</w:t>
            </w:r>
          </w:p>
        </w:tc>
        <w:tc>
          <w:tcPr>
            <w:tcW w:w="897" w:type="dxa"/>
            <w:vAlign w:val="center"/>
          </w:tcPr>
          <w:p w14:paraId="2A250A9C"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174,6</w:t>
            </w:r>
          </w:p>
        </w:tc>
        <w:tc>
          <w:tcPr>
            <w:tcW w:w="792" w:type="dxa"/>
            <w:vAlign w:val="center"/>
          </w:tcPr>
          <w:p w14:paraId="6A14D671"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19,4</w:t>
            </w:r>
          </w:p>
        </w:tc>
        <w:tc>
          <w:tcPr>
            <w:tcW w:w="897" w:type="dxa"/>
            <w:vAlign w:val="center"/>
          </w:tcPr>
          <w:p w14:paraId="3C7389B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212,2</w:t>
            </w:r>
          </w:p>
        </w:tc>
        <w:tc>
          <w:tcPr>
            <w:tcW w:w="897" w:type="dxa"/>
            <w:vAlign w:val="center"/>
          </w:tcPr>
          <w:p w14:paraId="3777E59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180,4</w:t>
            </w:r>
          </w:p>
        </w:tc>
        <w:tc>
          <w:tcPr>
            <w:tcW w:w="897" w:type="dxa"/>
            <w:vAlign w:val="center"/>
          </w:tcPr>
          <w:p w14:paraId="0DAF81B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31,8</w:t>
            </w:r>
          </w:p>
        </w:tc>
        <w:tc>
          <w:tcPr>
            <w:tcW w:w="792" w:type="dxa"/>
            <w:vAlign w:val="center"/>
          </w:tcPr>
          <w:p w14:paraId="2110E5C3"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18,2</w:t>
            </w:r>
          </w:p>
        </w:tc>
        <w:tc>
          <w:tcPr>
            <w:tcW w:w="792" w:type="dxa"/>
            <w:vAlign w:val="center"/>
          </w:tcPr>
          <w:p w14:paraId="204B22D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5,8</w:t>
            </w:r>
          </w:p>
        </w:tc>
        <w:tc>
          <w:tcPr>
            <w:tcW w:w="792" w:type="dxa"/>
            <w:vAlign w:val="center"/>
          </w:tcPr>
          <w:p w14:paraId="7D85348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12,4</w:t>
            </w:r>
          </w:p>
        </w:tc>
      </w:tr>
      <w:tr w:rsidR="00A41B49" w:rsidRPr="00A41B49" w14:paraId="7B96FC49" w14:textId="77777777" w:rsidTr="002C0616">
        <w:trPr>
          <w:jc w:val="center"/>
        </w:trPr>
        <w:tc>
          <w:tcPr>
            <w:tcW w:w="1918" w:type="dxa"/>
            <w:vAlign w:val="center"/>
          </w:tcPr>
          <w:p w14:paraId="105E4544"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Луганська</w:t>
            </w:r>
          </w:p>
        </w:tc>
        <w:tc>
          <w:tcPr>
            <w:tcW w:w="897" w:type="dxa"/>
            <w:vAlign w:val="center"/>
          </w:tcPr>
          <w:p w14:paraId="0B93F61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385,2</w:t>
            </w:r>
          </w:p>
        </w:tc>
        <w:tc>
          <w:tcPr>
            <w:tcW w:w="897" w:type="dxa"/>
            <w:vAlign w:val="center"/>
          </w:tcPr>
          <w:p w14:paraId="465435D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158,4</w:t>
            </w:r>
          </w:p>
        </w:tc>
        <w:tc>
          <w:tcPr>
            <w:tcW w:w="792" w:type="dxa"/>
            <w:vAlign w:val="center"/>
          </w:tcPr>
          <w:p w14:paraId="27A1FAAE"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226,8</w:t>
            </w:r>
          </w:p>
        </w:tc>
        <w:tc>
          <w:tcPr>
            <w:tcW w:w="897" w:type="dxa"/>
            <w:vAlign w:val="center"/>
          </w:tcPr>
          <w:p w14:paraId="0C1AB7EF"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c>
          <w:tcPr>
            <w:tcW w:w="897" w:type="dxa"/>
            <w:vAlign w:val="center"/>
          </w:tcPr>
          <w:p w14:paraId="780F13A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c>
          <w:tcPr>
            <w:tcW w:w="897" w:type="dxa"/>
            <w:vAlign w:val="center"/>
          </w:tcPr>
          <w:p w14:paraId="7572DB77"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c>
          <w:tcPr>
            <w:tcW w:w="792" w:type="dxa"/>
            <w:vAlign w:val="center"/>
          </w:tcPr>
          <w:p w14:paraId="525A5BBE"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c>
          <w:tcPr>
            <w:tcW w:w="792" w:type="dxa"/>
            <w:vAlign w:val="center"/>
          </w:tcPr>
          <w:p w14:paraId="6F7E5712"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c>
          <w:tcPr>
            <w:tcW w:w="792" w:type="dxa"/>
            <w:vAlign w:val="center"/>
          </w:tcPr>
          <w:p w14:paraId="5CDF3F94"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r>
      <w:tr w:rsidR="00A41B49" w:rsidRPr="00A41B49" w14:paraId="55108678" w14:textId="77777777" w:rsidTr="002C0616">
        <w:trPr>
          <w:jc w:val="center"/>
        </w:trPr>
        <w:tc>
          <w:tcPr>
            <w:tcW w:w="1918" w:type="dxa"/>
            <w:vAlign w:val="center"/>
          </w:tcPr>
          <w:p w14:paraId="6A596F75"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Львівська</w:t>
            </w:r>
          </w:p>
        </w:tc>
        <w:tc>
          <w:tcPr>
            <w:tcW w:w="897" w:type="dxa"/>
            <w:vAlign w:val="center"/>
          </w:tcPr>
          <w:p w14:paraId="0415CDEC"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2043,6</w:t>
            </w:r>
          </w:p>
        </w:tc>
        <w:tc>
          <w:tcPr>
            <w:tcW w:w="897" w:type="dxa"/>
            <w:vAlign w:val="center"/>
          </w:tcPr>
          <w:p w14:paraId="53899839"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1601,5</w:t>
            </w:r>
          </w:p>
        </w:tc>
        <w:tc>
          <w:tcPr>
            <w:tcW w:w="792" w:type="dxa"/>
            <w:vAlign w:val="center"/>
          </w:tcPr>
          <w:p w14:paraId="60A1931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442,1</w:t>
            </w:r>
          </w:p>
        </w:tc>
        <w:tc>
          <w:tcPr>
            <w:tcW w:w="897" w:type="dxa"/>
            <w:vAlign w:val="center"/>
          </w:tcPr>
          <w:p w14:paraId="319548D4"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2194,5</w:t>
            </w:r>
          </w:p>
        </w:tc>
        <w:tc>
          <w:tcPr>
            <w:tcW w:w="897" w:type="dxa"/>
            <w:vAlign w:val="center"/>
          </w:tcPr>
          <w:p w14:paraId="4717B492"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1693,5</w:t>
            </w:r>
          </w:p>
        </w:tc>
        <w:tc>
          <w:tcPr>
            <w:tcW w:w="897" w:type="dxa"/>
            <w:vAlign w:val="center"/>
          </w:tcPr>
          <w:p w14:paraId="737730C8"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501</w:t>
            </w:r>
          </w:p>
        </w:tc>
        <w:tc>
          <w:tcPr>
            <w:tcW w:w="792" w:type="dxa"/>
            <w:vAlign w:val="center"/>
          </w:tcPr>
          <w:p w14:paraId="3E977080"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150,9</w:t>
            </w:r>
          </w:p>
        </w:tc>
        <w:tc>
          <w:tcPr>
            <w:tcW w:w="792" w:type="dxa"/>
            <w:vAlign w:val="center"/>
          </w:tcPr>
          <w:p w14:paraId="52C3C47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92</w:t>
            </w:r>
          </w:p>
        </w:tc>
        <w:tc>
          <w:tcPr>
            <w:tcW w:w="792" w:type="dxa"/>
            <w:vAlign w:val="center"/>
          </w:tcPr>
          <w:p w14:paraId="3B555E54"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58,9</w:t>
            </w:r>
          </w:p>
        </w:tc>
      </w:tr>
      <w:tr w:rsidR="00A41B49" w:rsidRPr="00A41B49" w14:paraId="0545C5D5" w14:textId="77777777" w:rsidTr="002C0616">
        <w:trPr>
          <w:jc w:val="center"/>
        </w:trPr>
        <w:tc>
          <w:tcPr>
            <w:tcW w:w="1918" w:type="dxa"/>
            <w:vAlign w:val="center"/>
          </w:tcPr>
          <w:p w14:paraId="76038E25"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Миколаївська</w:t>
            </w:r>
          </w:p>
        </w:tc>
        <w:tc>
          <w:tcPr>
            <w:tcW w:w="897" w:type="dxa"/>
            <w:vAlign w:val="center"/>
          </w:tcPr>
          <w:p w14:paraId="01711882"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750</w:t>
            </w:r>
          </w:p>
        </w:tc>
        <w:tc>
          <w:tcPr>
            <w:tcW w:w="897" w:type="dxa"/>
            <w:vAlign w:val="center"/>
          </w:tcPr>
          <w:p w14:paraId="6AC5D877"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355,2</w:t>
            </w:r>
          </w:p>
        </w:tc>
        <w:tc>
          <w:tcPr>
            <w:tcW w:w="792" w:type="dxa"/>
            <w:vAlign w:val="center"/>
          </w:tcPr>
          <w:p w14:paraId="430E31A3"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394,8</w:t>
            </w:r>
          </w:p>
        </w:tc>
        <w:tc>
          <w:tcPr>
            <w:tcW w:w="897" w:type="dxa"/>
            <w:vAlign w:val="center"/>
          </w:tcPr>
          <w:p w14:paraId="1293088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828,2</w:t>
            </w:r>
          </w:p>
        </w:tc>
        <w:tc>
          <w:tcPr>
            <w:tcW w:w="897" w:type="dxa"/>
            <w:vAlign w:val="center"/>
          </w:tcPr>
          <w:p w14:paraId="2DBA82A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235,6</w:t>
            </w:r>
          </w:p>
        </w:tc>
        <w:tc>
          <w:tcPr>
            <w:tcW w:w="897" w:type="dxa"/>
            <w:vAlign w:val="center"/>
          </w:tcPr>
          <w:p w14:paraId="6733EEB4"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592,6</w:t>
            </w:r>
          </w:p>
        </w:tc>
        <w:tc>
          <w:tcPr>
            <w:tcW w:w="792" w:type="dxa"/>
            <w:vAlign w:val="center"/>
          </w:tcPr>
          <w:p w14:paraId="4E5950A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78,2</w:t>
            </w:r>
          </w:p>
        </w:tc>
        <w:tc>
          <w:tcPr>
            <w:tcW w:w="792" w:type="dxa"/>
            <w:vAlign w:val="center"/>
          </w:tcPr>
          <w:p w14:paraId="5377C14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-119,6</w:t>
            </w:r>
          </w:p>
        </w:tc>
        <w:tc>
          <w:tcPr>
            <w:tcW w:w="792" w:type="dxa"/>
            <w:vAlign w:val="center"/>
          </w:tcPr>
          <w:p w14:paraId="343F8E60"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197,8</w:t>
            </w:r>
          </w:p>
        </w:tc>
      </w:tr>
      <w:tr w:rsidR="00A41B49" w:rsidRPr="00A41B49" w14:paraId="2D37501E" w14:textId="77777777" w:rsidTr="002C0616">
        <w:trPr>
          <w:jc w:val="center"/>
        </w:trPr>
        <w:tc>
          <w:tcPr>
            <w:tcW w:w="1918" w:type="dxa"/>
            <w:vAlign w:val="center"/>
          </w:tcPr>
          <w:p w14:paraId="60C31E65"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Одеська</w:t>
            </w:r>
          </w:p>
        </w:tc>
        <w:tc>
          <w:tcPr>
            <w:tcW w:w="897" w:type="dxa"/>
            <w:vAlign w:val="center"/>
          </w:tcPr>
          <w:p w14:paraId="3871F45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1815,9</w:t>
            </w:r>
          </w:p>
        </w:tc>
        <w:tc>
          <w:tcPr>
            <w:tcW w:w="897" w:type="dxa"/>
            <w:vAlign w:val="center"/>
          </w:tcPr>
          <w:p w14:paraId="06B86E4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1116,7</w:t>
            </w:r>
          </w:p>
        </w:tc>
        <w:tc>
          <w:tcPr>
            <w:tcW w:w="792" w:type="dxa"/>
            <w:vAlign w:val="center"/>
          </w:tcPr>
          <w:p w14:paraId="6C6C43A1"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699,2</w:t>
            </w:r>
          </w:p>
        </w:tc>
        <w:tc>
          <w:tcPr>
            <w:tcW w:w="897" w:type="dxa"/>
            <w:vAlign w:val="center"/>
          </w:tcPr>
          <w:p w14:paraId="106B788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1276,3</w:t>
            </w:r>
          </w:p>
        </w:tc>
        <w:tc>
          <w:tcPr>
            <w:tcW w:w="897" w:type="dxa"/>
            <w:vAlign w:val="center"/>
          </w:tcPr>
          <w:p w14:paraId="05FB31B4"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852,8</w:t>
            </w:r>
          </w:p>
        </w:tc>
        <w:tc>
          <w:tcPr>
            <w:tcW w:w="897" w:type="dxa"/>
            <w:vAlign w:val="center"/>
          </w:tcPr>
          <w:p w14:paraId="10AE8063"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423,5</w:t>
            </w:r>
          </w:p>
        </w:tc>
        <w:tc>
          <w:tcPr>
            <w:tcW w:w="792" w:type="dxa"/>
            <w:vAlign w:val="center"/>
          </w:tcPr>
          <w:p w14:paraId="11802012"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-539,6</w:t>
            </w:r>
          </w:p>
        </w:tc>
        <w:tc>
          <w:tcPr>
            <w:tcW w:w="792" w:type="dxa"/>
            <w:vAlign w:val="center"/>
          </w:tcPr>
          <w:p w14:paraId="7B5B1EA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-263,9</w:t>
            </w:r>
          </w:p>
        </w:tc>
        <w:tc>
          <w:tcPr>
            <w:tcW w:w="792" w:type="dxa"/>
            <w:vAlign w:val="center"/>
          </w:tcPr>
          <w:p w14:paraId="71B44E93"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-275,7</w:t>
            </w:r>
          </w:p>
        </w:tc>
      </w:tr>
      <w:tr w:rsidR="00A41B49" w:rsidRPr="00A41B49" w14:paraId="3FF79B91" w14:textId="77777777" w:rsidTr="002C0616">
        <w:trPr>
          <w:jc w:val="center"/>
        </w:trPr>
        <w:tc>
          <w:tcPr>
            <w:tcW w:w="1918" w:type="dxa"/>
            <w:vAlign w:val="center"/>
          </w:tcPr>
          <w:p w14:paraId="3E096C56"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Полтавська</w:t>
            </w:r>
          </w:p>
        </w:tc>
        <w:tc>
          <w:tcPr>
            <w:tcW w:w="897" w:type="dxa"/>
            <w:vAlign w:val="center"/>
          </w:tcPr>
          <w:p w14:paraId="0A8DE621"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1776,4</w:t>
            </w:r>
          </w:p>
        </w:tc>
        <w:tc>
          <w:tcPr>
            <w:tcW w:w="897" w:type="dxa"/>
            <w:vAlign w:val="center"/>
          </w:tcPr>
          <w:p w14:paraId="00C22D0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1947</w:t>
            </w:r>
          </w:p>
        </w:tc>
        <w:tc>
          <w:tcPr>
            <w:tcW w:w="792" w:type="dxa"/>
            <w:vAlign w:val="center"/>
          </w:tcPr>
          <w:p w14:paraId="3445F90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-170,6</w:t>
            </w:r>
          </w:p>
        </w:tc>
        <w:tc>
          <w:tcPr>
            <w:tcW w:w="897" w:type="dxa"/>
            <w:vAlign w:val="center"/>
          </w:tcPr>
          <w:p w14:paraId="7B6F3DB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1480,5</w:t>
            </w:r>
          </w:p>
        </w:tc>
        <w:tc>
          <w:tcPr>
            <w:tcW w:w="897" w:type="dxa"/>
            <w:vAlign w:val="center"/>
          </w:tcPr>
          <w:p w14:paraId="759F4EFC"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1658,8</w:t>
            </w:r>
          </w:p>
        </w:tc>
        <w:tc>
          <w:tcPr>
            <w:tcW w:w="897" w:type="dxa"/>
            <w:vAlign w:val="center"/>
          </w:tcPr>
          <w:p w14:paraId="7BA6164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-178,3</w:t>
            </w:r>
          </w:p>
        </w:tc>
        <w:tc>
          <w:tcPr>
            <w:tcW w:w="792" w:type="dxa"/>
            <w:vAlign w:val="center"/>
          </w:tcPr>
          <w:p w14:paraId="2DB27272"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-295,9</w:t>
            </w:r>
          </w:p>
        </w:tc>
        <w:tc>
          <w:tcPr>
            <w:tcW w:w="792" w:type="dxa"/>
            <w:vAlign w:val="center"/>
          </w:tcPr>
          <w:p w14:paraId="31DD5D9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-288,2</w:t>
            </w:r>
          </w:p>
        </w:tc>
        <w:tc>
          <w:tcPr>
            <w:tcW w:w="792" w:type="dxa"/>
            <w:vAlign w:val="center"/>
          </w:tcPr>
          <w:p w14:paraId="145C9CC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-7,7</w:t>
            </w:r>
          </w:p>
        </w:tc>
      </w:tr>
      <w:tr w:rsidR="00A41B49" w:rsidRPr="00A41B49" w14:paraId="0A3EFE07" w14:textId="77777777" w:rsidTr="002C0616">
        <w:trPr>
          <w:jc w:val="center"/>
        </w:trPr>
        <w:tc>
          <w:tcPr>
            <w:tcW w:w="1918" w:type="dxa"/>
            <w:vAlign w:val="center"/>
          </w:tcPr>
          <w:p w14:paraId="1917EDA2"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Рівненська</w:t>
            </w:r>
          </w:p>
        </w:tc>
        <w:tc>
          <w:tcPr>
            <w:tcW w:w="897" w:type="dxa"/>
            <w:vAlign w:val="center"/>
          </w:tcPr>
          <w:p w14:paraId="46041F2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445,1</w:t>
            </w:r>
          </w:p>
        </w:tc>
        <w:tc>
          <w:tcPr>
            <w:tcW w:w="897" w:type="dxa"/>
            <w:vAlign w:val="center"/>
          </w:tcPr>
          <w:p w14:paraId="272C7AC1"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264</w:t>
            </w:r>
          </w:p>
        </w:tc>
        <w:tc>
          <w:tcPr>
            <w:tcW w:w="792" w:type="dxa"/>
            <w:vAlign w:val="center"/>
          </w:tcPr>
          <w:p w14:paraId="706E188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181</w:t>
            </w:r>
          </w:p>
        </w:tc>
        <w:tc>
          <w:tcPr>
            <w:tcW w:w="897" w:type="dxa"/>
            <w:vAlign w:val="center"/>
          </w:tcPr>
          <w:p w14:paraId="4AB0BC47"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421,8</w:t>
            </w:r>
          </w:p>
        </w:tc>
        <w:tc>
          <w:tcPr>
            <w:tcW w:w="897" w:type="dxa"/>
            <w:vAlign w:val="center"/>
          </w:tcPr>
          <w:p w14:paraId="7933CEB9"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246,9</w:t>
            </w:r>
          </w:p>
        </w:tc>
        <w:tc>
          <w:tcPr>
            <w:tcW w:w="897" w:type="dxa"/>
            <w:vAlign w:val="center"/>
          </w:tcPr>
          <w:p w14:paraId="538E94B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174,9</w:t>
            </w:r>
          </w:p>
        </w:tc>
        <w:tc>
          <w:tcPr>
            <w:tcW w:w="792" w:type="dxa"/>
            <w:vAlign w:val="center"/>
          </w:tcPr>
          <w:p w14:paraId="1FEC97C9"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-23,3</w:t>
            </w:r>
          </w:p>
        </w:tc>
        <w:tc>
          <w:tcPr>
            <w:tcW w:w="792" w:type="dxa"/>
            <w:vAlign w:val="center"/>
          </w:tcPr>
          <w:p w14:paraId="5287C94B"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-17,1</w:t>
            </w:r>
          </w:p>
        </w:tc>
        <w:tc>
          <w:tcPr>
            <w:tcW w:w="792" w:type="dxa"/>
            <w:vAlign w:val="center"/>
          </w:tcPr>
          <w:p w14:paraId="3E4222D4"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-6,1</w:t>
            </w:r>
          </w:p>
        </w:tc>
      </w:tr>
      <w:tr w:rsidR="00A41B49" w:rsidRPr="00A41B49" w14:paraId="097D86E6" w14:textId="77777777" w:rsidTr="002C0616">
        <w:trPr>
          <w:jc w:val="center"/>
        </w:trPr>
        <w:tc>
          <w:tcPr>
            <w:tcW w:w="1918" w:type="dxa"/>
            <w:vAlign w:val="center"/>
          </w:tcPr>
          <w:p w14:paraId="2DA4124F"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Сумська</w:t>
            </w:r>
          </w:p>
        </w:tc>
        <w:tc>
          <w:tcPr>
            <w:tcW w:w="897" w:type="dxa"/>
            <w:vAlign w:val="center"/>
          </w:tcPr>
          <w:p w14:paraId="0A5F2A48"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578,3</w:t>
            </w:r>
          </w:p>
        </w:tc>
        <w:tc>
          <w:tcPr>
            <w:tcW w:w="897" w:type="dxa"/>
            <w:vAlign w:val="center"/>
          </w:tcPr>
          <w:p w14:paraId="7FE5CDD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341,5</w:t>
            </w:r>
          </w:p>
        </w:tc>
        <w:tc>
          <w:tcPr>
            <w:tcW w:w="792" w:type="dxa"/>
            <w:vAlign w:val="center"/>
          </w:tcPr>
          <w:p w14:paraId="2E17A2F4"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236,8</w:t>
            </w:r>
          </w:p>
        </w:tc>
        <w:tc>
          <w:tcPr>
            <w:tcW w:w="897" w:type="dxa"/>
            <w:vAlign w:val="center"/>
          </w:tcPr>
          <w:p w14:paraId="5BD3344B"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518,1</w:t>
            </w:r>
          </w:p>
        </w:tc>
        <w:tc>
          <w:tcPr>
            <w:tcW w:w="897" w:type="dxa"/>
            <w:vAlign w:val="center"/>
          </w:tcPr>
          <w:p w14:paraId="508A104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314</w:t>
            </w:r>
          </w:p>
        </w:tc>
        <w:tc>
          <w:tcPr>
            <w:tcW w:w="897" w:type="dxa"/>
            <w:vAlign w:val="center"/>
          </w:tcPr>
          <w:p w14:paraId="5B9FC810"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204,1</w:t>
            </w:r>
          </w:p>
        </w:tc>
        <w:tc>
          <w:tcPr>
            <w:tcW w:w="792" w:type="dxa"/>
            <w:vAlign w:val="center"/>
          </w:tcPr>
          <w:p w14:paraId="1BCAFE3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-60,2</w:t>
            </w:r>
          </w:p>
        </w:tc>
        <w:tc>
          <w:tcPr>
            <w:tcW w:w="792" w:type="dxa"/>
            <w:vAlign w:val="center"/>
          </w:tcPr>
          <w:p w14:paraId="5586FC69"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-27,5</w:t>
            </w:r>
          </w:p>
        </w:tc>
        <w:tc>
          <w:tcPr>
            <w:tcW w:w="792" w:type="dxa"/>
            <w:vAlign w:val="center"/>
          </w:tcPr>
          <w:p w14:paraId="368E3B1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-32,7</w:t>
            </w:r>
          </w:p>
        </w:tc>
      </w:tr>
      <w:tr w:rsidR="00A41B49" w:rsidRPr="00A41B49" w14:paraId="387E4020" w14:textId="77777777" w:rsidTr="002C0616">
        <w:trPr>
          <w:jc w:val="center"/>
        </w:trPr>
        <w:tc>
          <w:tcPr>
            <w:tcW w:w="1918" w:type="dxa"/>
            <w:vAlign w:val="center"/>
          </w:tcPr>
          <w:p w14:paraId="2FACD91B"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Тернопільська</w:t>
            </w:r>
          </w:p>
        </w:tc>
        <w:tc>
          <w:tcPr>
            <w:tcW w:w="897" w:type="dxa"/>
            <w:vAlign w:val="center"/>
          </w:tcPr>
          <w:p w14:paraId="1511B974"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265,4</w:t>
            </w:r>
          </w:p>
        </w:tc>
        <w:tc>
          <w:tcPr>
            <w:tcW w:w="897" w:type="dxa"/>
            <w:vAlign w:val="center"/>
          </w:tcPr>
          <w:p w14:paraId="6404460B"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49,1</w:t>
            </w:r>
          </w:p>
        </w:tc>
        <w:tc>
          <w:tcPr>
            <w:tcW w:w="792" w:type="dxa"/>
            <w:vAlign w:val="center"/>
          </w:tcPr>
          <w:p w14:paraId="130008F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216,3</w:t>
            </w:r>
          </w:p>
        </w:tc>
        <w:tc>
          <w:tcPr>
            <w:tcW w:w="897" w:type="dxa"/>
            <w:vAlign w:val="center"/>
          </w:tcPr>
          <w:p w14:paraId="03648D9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404,3</w:t>
            </w:r>
          </w:p>
        </w:tc>
        <w:tc>
          <w:tcPr>
            <w:tcW w:w="897" w:type="dxa"/>
            <w:vAlign w:val="center"/>
          </w:tcPr>
          <w:p w14:paraId="43990451"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68,4</w:t>
            </w:r>
          </w:p>
        </w:tc>
        <w:tc>
          <w:tcPr>
            <w:tcW w:w="897" w:type="dxa"/>
            <w:vAlign w:val="center"/>
          </w:tcPr>
          <w:p w14:paraId="60477A2E"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335,9</w:t>
            </w:r>
          </w:p>
        </w:tc>
        <w:tc>
          <w:tcPr>
            <w:tcW w:w="792" w:type="dxa"/>
            <w:vAlign w:val="center"/>
          </w:tcPr>
          <w:p w14:paraId="31271FF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138,9</w:t>
            </w:r>
          </w:p>
        </w:tc>
        <w:tc>
          <w:tcPr>
            <w:tcW w:w="792" w:type="dxa"/>
            <w:vAlign w:val="center"/>
          </w:tcPr>
          <w:p w14:paraId="4502E841"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19,3</w:t>
            </w:r>
          </w:p>
        </w:tc>
        <w:tc>
          <w:tcPr>
            <w:tcW w:w="792" w:type="dxa"/>
            <w:vAlign w:val="center"/>
          </w:tcPr>
          <w:p w14:paraId="1B94DA0F"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119,6</w:t>
            </w:r>
          </w:p>
        </w:tc>
      </w:tr>
      <w:tr w:rsidR="00A41B49" w:rsidRPr="00A41B49" w14:paraId="6D1EDEA4" w14:textId="77777777" w:rsidTr="002C0616">
        <w:trPr>
          <w:jc w:val="center"/>
        </w:trPr>
        <w:tc>
          <w:tcPr>
            <w:tcW w:w="1918" w:type="dxa"/>
            <w:vAlign w:val="center"/>
          </w:tcPr>
          <w:p w14:paraId="5E6EDAD3"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Харківська</w:t>
            </w:r>
          </w:p>
        </w:tc>
        <w:tc>
          <w:tcPr>
            <w:tcW w:w="897" w:type="dxa"/>
            <w:vAlign w:val="center"/>
          </w:tcPr>
          <w:p w14:paraId="5DCDAA44"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1100,4</w:t>
            </w:r>
          </w:p>
        </w:tc>
        <w:tc>
          <w:tcPr>
            <w:tcW w:w="897" w:type="dxa"/>
            <w:vAlign w:val="center"/>
          </w:tcPr>
          <w:p w14:paraId="3609D5D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910,4</w:t>
            </w:r>
          </w:p>
        </w:tc>
        <w:tc>
          <w:tcPr>
            <w:tcW w:w="792" w:type="dxa"/>
            <w:vAlign w:val="center"/>
          </w:tcPr>
          <w:p w14:paraId="325D3222"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190</w:t>
            </w:r>
          </w:p>
        </w:tc>
        <w:tc>
          <w:tcPr>
            <w:tcW w:w="897" w:type="dxa"/>
            <w:vAlign w:val="center"/>
          </w:tcPr>
          <w:p w14:paraId="3C590F74"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953,8</w:t>
            </w:r>
          </w:p>
        </w:tc>
        <w:tc>
          <w:tcPr>
            <w:tcW w:w="897" w:type="dxa"/>
            <w:vAlign w:val="center"/>
          </w:tcPr>
          <w:p w14:paraId="3FB2AB7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634,6</w:t>
            </w:r>
          </w:p>
        </w:tc>
        <w:tc>
          <w:tcPr>
            <w:tcW w:w="897" w:type="dxa"/>
            <w:vAlign w:val="center"/>
          </w:tcPr>
          <w:p w14:paraId="44688AEF"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319,2</w:t>
            </w:r>
          </w:p>
        </w:tc>
        <w:tc>
          <w:tcPr>
            <w:tcW w:w="792" w:type="dxa"/>
            <w:vAlign w:val="center"/>
          </w:tcPr>
          <w:p w14:paraId="79A6CE1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-146,6</w:t>
            </w:r>
          </w:p>
        </w:tc>
        <w:tc>
          <w:tcPr>
            <w:tcW w:w="792" w:type="dxa"/>
            <w:vAlign w:val="center"/>
          </w:tcPr>
          <w:p w14:paraId="0F3D04F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-275,8</w:t>
            </w:r>
          </w:p>
        </w:tc>
        <w:tc>
          <w:tcPr>
            <w:tcW w:w="792" w:type="dxa"/>
            <w:vAlign w:val="center"/>
          </w:tcPr>
          <w:p w14:paraId="32F49C59"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129,2</w:t>
            </w:r>
          </w:p>
        </w:tc>
      </w:tr>
      <w:tr w:rsidR="00A41B49" w:rsidRPr="00A41B49" w14:paraId="4ACF1B8C" w14:textId="77777777" w:rsidTr="002C0616">
        <w:trPr>
          <w:jc w:val="center"/>
        </w:trPr>
        <w:tc>
          <w:tcPr>
            <w:tcW w:w="1918" w:type="dxa"/>
            <w:vAlign w:val="center"/>
          </w:tcPr>
          <w:p w14:paraId="54503163"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Херсонська</w:t>
            </w:r>
          </w:p>
        </w:tc>
        <w:tc>
          <w:tcPr>
            <w:tcW w:w="897" w:type="dxa"/>
            <w:vAlign w:val="center"/>
          </w:tcPr>
          <w:p w14:paraId="23838DE4"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439</w:t>
            </w:r>
          </w:p>
        </w:tc>
        <w:tc>
          <w:tcPr>
            <w:tcW w:w="897" w:type="dxa"/>
            <w:vAlign w:val="center"/>
          </w:tcPr>
          <w:p w14:paraId="08E71F0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159,1</w:t>
            </w:r>
          </w:p>
        </w:tc>
        <w:tc>
          <w:tcPr>
            <w:tcW w:w="792" w:type="dxa"/>
            <w:vAlign w:val="center"/>
          </w:tcPr>
          <w:p w14:paraId="259DEFB0"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279,9</w:t>
            </w:r>
          </w:p>
        </w:tc>
        <w:tc>
          <w:tcPr>
            <w:tcW w:w="897" w:type="dxa"/>
            <w:vAlign w:val="center"/>
          </w:tcPr>
          <w:p w14:paraId="370109DB"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c>
          <w:tcPr>
            <w:tcW w:w="897" w:type="dxa"/>
            <w:vAlign w:val="center"/>
          </w:tcPr>
          <w:p w14:paraId="3DE3E502"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c>
          <w:tcPr>
            <w:tcW w:w="897" w:type="dxa"/>
            <w:vAlign w:val="center"/>
          </w:tcPr>
          <w:p w14:paraId="6AD55E62"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c>
          <w:tcPr>
            <w:tcW w:w="792" w:type="dxa"/>
            <w:vAlign w:val="center"/>
          </w:tcPr>
          <w:p w14:paraId="1692BB9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c>
          <w:tcPr>
            <w:tcW w:w="792" w:type="dxa"/>
            <w:vAlign w:val="center"/>
          </w:tcPr>
          <w:p w14:paraId="1632FED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c>
          <w:tcPr>
            <w:tcW w:w="792" w:type="dxa"/>
            <w:vAlign w:val="center"/>
          </w:tcPr>
          <w:p w14:paraId="3D679BC1"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н/д</w:t>
            </w:r>
          </w:p>
        </w:tc>
      </w:tr>
      <w:tr w:rsidR="00A41B49" w:rsidRPr="00A41B49" w14:paraId="6D914AA2" w14:textId="77777777" w:rsidTr="002C0616">
        <w:trPr>
          <w:jc w:val="center"/>
        </w:trPr>
        <w:tc>
          <w:tcPr>
            <w:tcW w:w="1918" w:type="dxa"/>
            <w:vAlign w:val="center"/>
          </w:tcPr>
          <w:p w14:paraId="06609AF0"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Хмельницька</w:t>
            </w:r>
          </w:p>
        </w:tc>
        <w:tc>
          <w:tcPr>
            <w:tcW w:w="897" w:type="dxa"/>
            <w:vAlign w:val="center"/>
          </w:tcPr>
          <w:p w14:paraId="43248AD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881,3</w:t>
            </w:r>
          </w:p>
        </w:tc>
        <w:tc>
          <w:tcPr>
            <w:tcW w:w="897" w:type="dxa"/>
            <w:vAlign w:val="center"/>
          </w:tcPr>
          <w:p w14:paraId="6BEED63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118,4</w:t>
            </w:r>
          </w:p>
        </w:tc>
        <w:tc>
          <w:tcPr>
            <w:tcW w:w="792" w:type="dxa"/>
            <w:vAlign w:val="center"/>
          </w:tcPr>
          <w:p w14:paraId="449C9E5F"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763</w:t>
            </w:r>
          </w:p>
        </w:tc>
        <w:tc>
          <w:tcPr>
            <w:tcW w:w="897" w:type="dxa"/>
            <w:vAlign w:val="center"/>
          </w:tcPr>
          <w:p w14:paraId="47748AB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1000,6</w:t>
            </w:r>
          </w:p>
        </w:tc>
        <w:tc>
          <w:tcPr>
            <w:tcW w:w="897" w:type="dxa"/>
            <w:vAlign w:val="center"/>
          </w:tcPr>
          <w:p w14:paraId="5CFB4189"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260,5</w:t>
            </w:r>
          </w:p>
        </w:tc>
        <w:tc>
          <w:tcPr>
            <w:tcW w:w="897" w:type="dxa"/>
            <w:vAlign w:val="center"/>
          </w:tcPr>
          <w:p w14:paraId="2E0E0C8C"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740,1</w:t>
            </w:r>
          </w:p>
        </w:tc>
        <w:tc>
          <w:tcPr>
            <w:tcW w:w="792" w:type="dxa"/>
            <w:vAlign w:val="center"/>
          </w:tcPr>
          <w:p w14:paraId="6C042049"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119,3</w:t>
            </w:r>
          </w:p>
        </w:tc>
        <w:tc>
          <w:tcPr>
            <w:tcW w:w="792" w:type="dxa"/>
            <w:vAlign w:val="center"/>
          </w:tcPr>
          <w:p w14:paraId="7557910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142,1</w:t>
            </w:r>
          </w:p>
        </w:tc>
        <w:tc>
          <w:tcPr>
            <w:tcW w:w="792" w:type="dxa"/>
            <w:vAlign w:val="center"/>
          </w:tcPr>
          <w:p w14:paraId="3B635A70"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-22,9</w:t>
            </w:r>
          </w:p>
        </w:tc>
      </w:tr>
      <w:tr w:rsidR="00A41B49" w:rsidRPr="00A41B49" w14:paraId="67E86DE9" w14:textId="77777777" w:rsidTr="002C0616">
        <w:trPr>
          <w:jc w:val="center"/>
        </w:trPr>
        <w:tc>
          <w:tcPr>
            <w:tcW w:w="1918" w:type="dxa"/>
            <w:vAlign w:val="center"/>
          </w:tcPr>
          <w:p w14:paraId="79E921C8"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Черкаська</w:t>
            </w:r>
          </w:p>
        </w:tc>
        <w:tc>
          <w:tcPr>
            <w:tcW w:w="897" w:type="dxa"/>
            <w:vAlign w:val="center"/>
          </w:tcPr>
          <w:p w14:paraId="7FC1FC73"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303,3</w:t>
            </w:r>
          </w:p>
        </w:tc>
        <w:tc>
          <w:tcPr>
            <w:tcW w:w="897" w:type="dxa"/>
            <w:vAlign w:val="center"/>
          </w:tcPr>
          <w:p w14:paraId="4FFEBF4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209,4</w:t>
            </w:r>
          </w:p>
        </w:tc>
        <w:tc>
          <w:tcPr>
            <w:tcW w:w="792" w:type="dxa"/>
            <w:vAlign w:val="center"/>
          </w:tcPr>
          <w:p w14:paraId="7AFD48EE"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93,9</w:t>
            </w:r>
          </w:p>
        </w:tc>
        <w:tc>
          <w:tcPr>
            <w:tcW w:w="897" w:type="dxa"/>
            <w:vAlign w:val="center"/>
          </w:tcPr>
          <w:p w14:paraId="61E3C480"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464,4</w:t>
            </w:r>
          </w:p>
        </w:tc>
        <w:tc>
          <w:tcPr>
            <w:tcW w:w="897" w:type="dxa"/>
            <w:vAlign w:val="center"/>
          </w:tcPr>
          <w:p w14:paraId="79F64E0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304,1</w:t>
            </w:r>
          </w:p>
        </w:tc>
        <w:tc>
          <w:tcPr>
            <w:tcW w:w="897" w:type="dxa"/>
            <w:vAlign w:val="center"/>
          </w:tcPr>
          <w:p w14:paraId="791C08C1"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160,3</w:t>
            </w:r>
          </w:p>
        </w:tc>
        <w:tc>
          <w:tcPr>
            <w:tcW w:w="792" w:type="dxa"/>
            <w:vAlign w:val="center"/>
          </w:tcPr>
          <w:p w14:paraId="4388C687"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161,1</w:t>
            </w:r>
          </w:p>
        </w:tc>
        <w:tc>
          <w:tcPr>
            <w:tcW w:w="792" w:type="dxa"/>
            <w:vAlign w:val="center"/>
          </w:tcPr>
          <w:p w14:paraId="713510F7"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94,7</w:t>
            </w:r>
          </w:p>
        </w:tc>
        <w:tc>
          <w:tcPr>
            <w:tcW w:w="792" w:type="dxa"/>
            <w:vAlign w:val="center"/>
          </w:tcPr>
          <w:p w14:paraId="1BD8D17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66,4</w:t>
            </w:r>
          </w:p>
        </w:tc>
      </w:tr>
      <w:tr w:rsidR="00A41B49" w:rsidRPr="00A41B49" w14:paraId="67925668" w14:textId="77777777" w:rsidTr="002C0616">
        <w:trPr>
          <w:jc w:val="center"/>
        </w:trPr>
        <w:tc>
          <w:tcPr>
            <w:tcW w:w="1918" w:type="dxa"/>
            <w:vAlign w:val="center"/>
          </w:tcPr>
          <w:p w14:paraId="5ACD7FE0"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Чернівецька</w:t>
            </w:r>
          </w:p>
        </w:tc>
        <w:tc>
          <w:tcPr>
            <w:tcW w:w="897" w:type="dxa"/>
            <w:vAlign w:val="center"/>
          </w:tcPr>
          <w:p w14:paraId="18AF945C"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63,4</w:t>
            </w:r>
          </w:p>
        </w:tc>
        <w:tc>
          <w:tcPr>
            <w:tcW w:w="897" w:type="dxa"/>
            <w:vAlign w:val="center"/>
          </w:tcPr>
          <w:p w14:paraId="22DB5B0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55,6</w:t>
            </w:r>
          </w:p>
        </w:tc>
        <w:tc>
          <w:tcPr>
            <w:tcW w:w="792" w:type="dxa"/>
            <w:vAlign w:val="center"/>
          </w:tcPr>
          <w:p w14:paraId="5440BC17"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7,8</w:t>
            </w:r>
          </w:p>
        </w:tc>
        <w:tc>
          <w:tcPr>
            <w:tcW w:w="897" w:type="dxa"/>
            <w:vAlign w:val="center"/>
          </w:tcPr>
          <w:p w14:paraId="527CAB4D"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66,4</w:t>
            </w:r>
          </w:p>
        </w:tc>
        <w:tc>
          <w:tcPr>
            <w:tcW w:w="897" w:type="dxa"/>
            <w:vAlign w:val="center"/>
          </w:tcPr>
          <w:p w14:paraId="13C486DC"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54,1</w:t>
            </w:r>
          </w:p>
        </w:tc>
        <w:tc>
          <w:tcPr>
            <w:tcW w:w="897" w:type="dxa"/>
            <w:vAlign w:val="center"/>
          </w:tcPr>
          <w:p w14:paraId="7576703F"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12,3</w:t>
            </w:r>
          </w:p>
        </w:tc>
        <w:tc>
          <w:tcPr>
            <w:tcW w:w="792" w:type="dxa"/>
            <w:vAlign w:val="center"/>
          </w:tcPr>
          <w:p w14:paraId="5BBD2848"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w:t>
            </w:r>
          </w:p>
        </w:tc>
        <w:tc>
          <w:tcPr>
            <w:tcW w:w="792" w:type="dxa"/>
            <w:vAlign w:val="center"/>
          </w:tcPr>
          <w:p w14:paraId="02BF34B1"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-1,5</w:t>
            </w:r>
          </w:p>
        </w:tc>
        <w:tc>
          <w:tcPr>
            <w:tcW w:w="792" w:type="dxa"/>
            <w:vAlign w:val="center"/>
          </w:tcPr>
          <w:p w14:paraId="7C55184E"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4,5</w:t>
            </w:r>
          </w:p>
        </w:tc>
      </w:tr>
      <w:tr w:rsidR="00A41B49" w:rsidRPr="00A41B49" w14:paraId="3AD5374F" w14:textId="77777777" w:rsidTr="002C0616">
        <w:trPr>
          <w:jc w:val="center"/>
        </w:trPr>
        <w:tc>
          <w:tcPr>
            <w:tcW w:w="1918" w:type="dxa"/>
            <w:vAlign w:val="center"/>
          </w:tcPr>
          <w:p w14:paraId="7409BE1A"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Чернігівська</w:t>
            </w:r>
          </w:p>
        </w:tc>
        <w:tc>
          <w:tcPr>
            <w:tcW w:w="897" w:type="dxa"/>
            <w:vAlign w:val="center"/>
          </w:tcPr>
          <w:p w14:paraId="34CEE1FC"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537,4</w:t>
            </w:r>
          </w:p>
        </w:tc>
        <w:tc>
          <w:tcPr>
            <w:tcW w:w="897" w:type="dxa"/>
            <w:vAlign w:val="center"/>
          </w:tcPr>
          <w:p w14:paraId="7FC041CE"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447,7</w:t>
            </w:r>
          </w:p>
        </w:tc>
        <w:tc>
          <w:tcPr>
            <w:tcW w:w="792" w:type="dxa"/>
            <w:vAlign w:val="center"/>
          </w:tcPr>
          <w:p w14:paraId="0DA9840F"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89,8</w:t>
            </w:r>
          </w:p>
        </w:tc>
        <w:tc>
          <w:tcPr>
            <w:tcW w:w="897" w:type="dxa"/>
            <w:vAlign w:val="center"/>
          </w:tcPr>
          <w:p w14:paraId="3B3BEF9E"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649,2</w:t>
            </w:r>
          </w:p>
        </w:tc>
        <w:tc>
          <w:tcPr>
            <w:tcW w:w="897" w:type="dxa"/>
            <w:vAlign w:val="center"/>
          </w:tcPr>
          <w:p w14:paraId="056454C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570,7</w:t>
            </w:r>
          </w:p>
        </w:tc>
        <w:tc>
          <w:tcPr>
            <w:tcW w:w="897" w:type="dxa"/>
            <w:vAlign w:val="center"/>
          </w:tcPr>
          <w:p w14:paraId="7514D14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78,5</w:t>
            </w:r>
          </w:p>
        </w:tc>
        <w:tc>
          <w:tcPr>
            <w:tcW w:w="792" w:type="dxa"/>
            <w:vAlign w:val="center"/>
          </w:tcPr>
          <w:p w14:paraId="3AAD3DC0"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111,8</w:t>
            </w:r>
          </w:p>
        </w:tc>
        <w:tc>
          <w:tcPr>
            <w:tcW w:w="792" w:type="dxa"/>
            <w:vAlign w:val="center"/>
          </w:tcPr>
          <w:p w14:paraId="2326C7FE"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123</w:t>
            </w:r>
          </w:p>
        </w:tc>
        <w:tc>
          <w:tcPr>
            <w:tcW w:w="792" w:type="dxa"/>
            <w:vAlign w:val="center"/>
          </w:tcPr>
          <w:p w14:paraId="21D31B90"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-11,3</w:t>
            </w:r>
          </w:p>
        </w:tc>
      </w:tr>
      <w:tr w:rsidR="00A41B49" w:rsidRPr="00A41B49" w14:paraId="31E64222" w14:textId="77777777" w:rsidTr="002C0616">
        <w:trPr>
          <w:jc w:val="center"/>
        </w:trPr>
        <w:tc>
          <w:tcPr>
            <w:tcW w:w="1918" w:type="dxa"/>
            <w:vAlign w:val="center"/>
          </w:tcPr>
          <w:p w14:paraId="20B79CEE"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м. Київ</w:t>
            </w:r>
          </w:p>
        </w:tc>
        <w:tc>
          <w:tcPr>
            <w:tcW w:w="897" w:type="dxa"/>
            <w:vAlign w:val="center"/>
          </w:tcPr>
          <w:p w14:paraId="3F0C180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22823</w:t>
            </w:r>
          </w:p>
        </w:tc>
        <w:tc>
          <w:tcPr>
            <w:tcW w:w="897" w:type="dxa"/>
            <w:vAlign w:val="center"/>
          </w:tcPr>
          <w:p w14:paraId="4E02758C"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15923,3</w:t>
            </w:r>
          </w:p>
        </w:tc>
        <w:tc>
          <w:tcPr>
            <w:tcW w:w="792" w:type="dxa"/>
            <w:vAlign w:val="center"/>
          </w:tcPr>
          <w:p w14:paraId="4F644DC1"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6899,7</w:t>
            </w:r>
          </w:p>
        </w:tc>
        <w:tc>
          <w:tcPr>
            <w:tcW w:w="897" w:type="dxa"/>
            <w:vAlign w:val="center"/>
          </w:tcPr>
          <w:p w14:paraId="5607D368"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19322,5</w:t>
            </w:r>
          </w:p>
        </w:tc>
        <w:tc>
          <w:tcPr>
            <w:tcW w:w="897" w:type="dxa"/>
            <w:vAlign w:val="center"/>
          </w:tcPr>
          <w:p w14:paraId="05462503"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12307,9</w:t>
            </w:r>
          </w:p>
        </w:tc>
        <w:tc>
          <w:tcPr>
            <w:tcW w:w="897" w:type="dxa"/>
            <w:vAlign w:val="center"/>
          </w:tcPr>
          <w:p w14:paraId="6F068A9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7014,6</w:t>
            </w:r>
          </w:p>
        </w:tc>
        <w:tc>
          <w:tcPr>
            <w:tcW w:w="792" w:type="dxa"/>
            <w:vAlign w:val="center"/>
          </w:tcPr>
          <w:p w14:paraId="69001DB8"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-3500,5</w:t>
            </w:r>
          </w:p>
        </w:tc>
        <w:tc>
          <w:tcPr>
            <w:tcW w:w="792" w:type="dxa"/>
            <w:vAlign w:val="center"/>
          </w:tcPr>
          <w:p w14:paraId="44810BB6"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-3615,4</w:t>
            </w:r>
          </w:p>
        </w:tc>
        <w:tc>
          <w:tcPr>
            <w:tcW w:w="792" w:type="dxa"/>
            <w:vAlign w:val="center"/>
          </w:tcPr>
          <w:p w14:paraId="25AB263A"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114,9</w:t>
            </w:r>
          </w:p>
        </w:tc>
      </w:tr>
      <w:tr w:rsidR="00A41B49" w:rsidRPr="00A41B49" w14:paraId="66E49732" w14:textId="77777777" w:rsidTr="002C0616">
        <w:trPr>
          <w:jc w:val="center"/>
        </w:trPr>
        <w:tc>
          <w:tcPr>
            <w:tcW w:w="1918" w:type="dxa"/>
            <w:vAlign w:val="center"/>
          </w:tcPr>
          <w:p w14:paraId="6983DBA1" w14:textId="77777777" w:rsidR="00CE6DC1" w:rsidRPr="00A41B49" w:rsidRDefault="00CE6DC1" w:rsidP="00EC1B7E">
            <w:pPr>
              <w:jc w:val="cente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Нерозподілено за регіонами</w:t>
            </w:r>
          </w:p>
        </w:tc>
        <w:tc>
          <w:tcPr>
            <w:tcW w:w="897" w:type="dxa"/>
            <w:vAlign w:val="center"/>
          </w:tcPr>
          <w:p w14:paraId="028DA20F"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2882,4</w:t>
            </w:r>
          </w:p>
        </w:tc>
        <w:tc>
          <w:tcPr>
            <w:tcW w:w="897" w:type="dxa"/>
            <w:vAlign w:val="center"/>
          </w:tcPr>
          <w:p w14:paraId="0E8EC283"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2877,4</w:t>
            </w:r>
          </w:p>
        </w:tc>
        <w:tc>
          <w:tcPr>
            <w:tcW w:w="792" w:type="dxa"/>
            <w:vAlign w:val="center"/>
          </w:tcPr>
          <w:p w14:paraId="15C8E3C0"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5</w:t>
            </w:r>
          </w:p>
        </w:tc>
        <w:tc>
          <w:tcPr>
            <w:tcW w:w="897" w:type="dxa"/>
            <w:vAlign w:val="center"/>
          </w:tcPr>
          <w:p w14:paraId="56D60428"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3043</w:t>
            </w:r>
          </w:p>
        </w:tc>
        <w:tc>
          <w:tcPr>
            <w:tcW w:w="897" w:type="dxa"/>
            <w:vAlign w:val="center"/>
          </w:tcPr>
          <w:p w14:paraId="6B6A5057"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3024,8</w:t>
            </w:r>
          </w:p>
        </w:tc>
        <w:tc>
          <w:tcPr>
            <w:tcW w:w="897" w:type="dxa"/>
            <w:vAlign w:val="center"/>
          </w:tcPr>
          <w:p w14:paraId="68990354"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18,2</w:t>
            </w:r>
          </w:p>
        </w:tc>
        <w:tc>
          <w:tcPr>
            <w:tcW w:w="792" w:type="dxa"/>
            <w:vAlign w:val="center"/>
          </w:tcPr>
          <w:p w14:paraId="512192BE"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160,6</w:t>
            </w:r>
          </w:p>
        </w:tc>
        <w:tc>
          <w:tcPr>
            <w:tcW w:w="792" w:type="dxa"/>
            <w:vAlign w:val="center"/>
          </w:tcPr>
          <w:p w14:paraId="10076C13"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147,4</w:t>
            </w:r>
          </w:p>
        </w:tc>
        <w:tc>
          <w:tcPr>
            <w:tcW w:w="792" w:type="dxa"/>
            <w:vAlign w:val="center"/>
          </w:tcPr>
          <w:p w14:paraId="07C9E1B5" w14:textId="77777777" w:rsidR="00CE6DC1" w:rsidRPr="00A41B49" w:rsidRDefault="00CE6DC1" w:rsidP="00EC1B7E">
            <w:pPr>
              <w:jc w:val="center"/>
              <w:rPr>
                <w:rFonts w:ascii="Times New Roman" w:hAnsi="Times New Roman" w:cs="Times New Roman"/>
                <w:spacing w:val="-6"/>
                <w:lang w:val="uk-UA"/>
              </w:rPr>
            </w:pPr>
            <w:r w:rsidRPr="00A41B49">
              <w:rPr>
                <w:rFonts w:ascii="Times New Roman" w:hAnsi="Times New Roman" w:cs="Times New Roman"/>
                <w:spacing w:val="-6"/>
                <w:lang w:val="uk-UA"/>
              </w:rPr>
              <w:t>13,2</w:t>
            </w:r>
          </w:p>
        </w:tc>
      </w:tr>
    </w:tbl>
    <w:p w14:paraId="6A894D13" w14:textId="77777777" w:rsidR="002A74C5" w:rsidRPr="00A41B49" w:rsidRDefault="002A74C5" w:rsidP="00CC43A3">
      <w:pPr>
        <w:spacing w:after="0" w:line="240" w:lineRule="auto"/>
        <w:jc w:val="both"/>
        <w:rPr>
          <w:rFonts w:ascii="Times New Roman" w:hAnsi="Times New Roman" w:cs="Times New Roman"/>
          <w:i/>
          <w:sz w:val="24"/>
          <w:szCs w:val="24"/>
          <w:lang w:val="uk-UA"/>
        </w:rPr>
      </w:pPr>
      <w:r w:rsidRPr="00A41B49">
        <w:rPr>
          <w:rFonts w:ascii="Times New Roman" w:hAnsi="Times New Roman" w:cs="Times New Roman"/>
          <w:i/>
          <w:sz w:val="24"/>
          <w:szCs w:val="24"/>
          <w:lang w:val="uk-UA"/>
        </w:rPr>
        <w:t>Джерело: складено та розраховано автором на основі даних джерела [18]</w:t>
      </w:r>
    </w:p>
    <w:p w14:paraId="305ED208" w14:textId="77777777" w:rsidR="002A74C5" w:rsidRPr="00A41B49" w:rsidRDefault="00CC43A3" w:rsidP="00CC43A3">
      <w:pPr>
        <w:spacing w:after="0" w:line="240" w:lineRule="auto"/>
        <w:jc w:val="both"/>
        <w:rPr>
          <w:rFonts w:ascii="Times New Roman" w:hAnsi="Times New Roman" w:cs="Times New Roman"/>
          <w:i/>
          <w:sz w:val="24"/>
          <w:szCs w:val="24"/>
          <w:lang w:val="uk-UA"/>
        </w:rPr>
      </w:pPr>
      <w:r w:rsidRPr="00A41B49">
        <w:rPr>
          <w:rFonts w:ascii="Times New Roman" w:hAnsi="Times New Roman" w:cs="Times New Roman"/>
          <w:i/>
          <w:sz w:val="24"/>
          <w:szCs w:val="24"/>
          <w:lang w:val="uk-UA"/>
        </w:rPr>
        <w:t xml:space="preserve">1 - Прямі інвестиції (усього), </w:t>
      </w:r>
      <w:r w:rsidR="004E642C" w:rsidRPr="00A41B49">
        <w:rPr>
          <w:rFonts w:ascii="Times New Roman" w:hAnsi="Times New Roman" w:cs="Times New Roman"/>
          <w:i/>
          <w:sz w:val="24"/>
          <w:szCs w:val="24"/>
          <w:lang w:val="uk-UA"/>
        </w:rPr>
        <w:t xml:space="preserve">2 </w:t>
      </w:r>
      <w:r w:rsidR="002C0616" w:rsidRPr="00A41B49">
        <w:rPr>
          <w:rFonts w:ascii="Times New Roman" w:hAnsi="Times New Roman" w:cs="Times New Roman"/>
          <w:i/>
          <w:sz w:val="24"/>
          <w:szCs w:val="24"/>
          <w:lang w:val="uk-UA"/>
        </w:rPr>
        <w:t>- Інструменти участі в капіталі</w:t>
      </w:r>
      <w:r w:rsidRPr="00A41B49">
        <w:rPr>
          <w:rFonts w:ascii="Times New Roman" w:hAnsi="Times New Roman" w:cs="Times New Roman"/>
          <w:i/>
          <w:sz w:val="24"/>
          <w:szCs w:val="24"/>
          <w:lang w:val="uk-UA"/>
        </w:rPr>
        <w:t xml:space="preserve">, </w:t>
      </w:r>
      <w:r w:rsidR="004E642C" w:rsidRPr="00A41B49">
        <w:rPr>
          <w:rFonts w:ascii="Times New Roman" w:hAnsi="Times New Roman" w:cs="Times New Roman"/>
          <w:i/>
          <w:sz w:val="24"/>
          <w:szCs w:val="24"/>
          <w:lang w:val="uk-UA"/>
        </w:rPr>
        <w:t>3 - Боргові інструменти</w:t>
      </w:r>
    </w:p>
    <w:p w14:paraId="40AC479C" w14:textId="77777777" w:rsidR="0074584E" w:rsidRPr="00A41B49" w:rsidRDefault="0074584E" w:rsidP="002A74C5">
      <w:pPr>
        <w:spacing w:after="0" w:line="240" w:lineRule="auto"/>
        <w:rPr>
          <w:rFonts w:ascii="Times New Roman" w:hAnsi="Times New Roman" w:cs="Times New Roman"/>
          <w:sz w:val="28"/>
          <w:szCs w:val="28"/>
          <w:lang w:val="uk-UA"/>
        </w:rPr>
      </w:pPr>
    </w:p>
    <w:p w14:paraId="2C44092F" w14:textId="77777777" w:rsidR="0074584E" w:rsidRPr="00A41B49" w:rsidRDefault="00B55DD4" w:rsidP="001B26C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У структурі ПІІ в Україну у 2020-2022 рр., як свідчать бані Національного банку України,</w:t>
      </w:r>
      <w:r w:rsidR="005F1D87" w:rsidRPr="00A41B49">
        <w:rPr>
          <w:rFonts w:ascii="Times New Roman" w:hAnsi="Times New Roman" w:cs="Times New Roman"/>
          <w:sz w:val="28"/>
          <w:szCs w:val="28"/>
          <w:lang w:val="uk-UA"/>
        </w:rPr>
        <w:t xml:space="preserve"> ПІІ в акціонерний капітал перевищують ПІІ в борговий капітал (в середньому співвідношення становить 69,5%/30,6%). Разом із тим, слід зазначити, що у 2020-2022 рр. фіксується тенденція до </w:t>
      </w:r>
      <w:r w:rsidR="005F1D87" w:rsidRPr="00A41B49">
        <w:rPr>
          <w:rFonts w:ascii="Times New Roman" w:hAnsi="Times New Roman" w:cs="Times New Roman"/>
          <w:sz w:val="28"/>
          <w:szCs w:val="28"/>
          <w:lang w:val="uk-UA"/>
        </w:rPr>
        <w:lastRenderedPageBreak/>
        <w:t>зростання у структурі ПІІ країни частки боргового капіталу. Так, у 2020 році частка акціонерного капіталу у ПІІ України становила 72</w:t>
      </w:r>
      <w:r w:rsidR="00F56E14" w:rsidRPr="00A41B49">
        <w:rPr>
          <w:rFonts w:ascii="Times New Roman" w:hAnsi="Times New Roman" w:cs="Times New Roman"/>
          <w:sz w:val="28"/>
          <w:szCs w:val="28"/>
          <w:lang w:val="uk-UA"/>
        </w:rPr>
        <w:t>,</w:t>
      </w:r>
      <w:r w:rsidR="005F1D87" w:rsidRPr="00A41B49">
        <w:rPr>
          <w:rFonts w:ascii="Times New Roman" w:hAnsi="Times New Roman" w:cs="Times New Roman"/>
          <w:sz w:val="28"/>
          <w:szCs w:val="28"/>
          <w:lang w:val="uk-UA"/>
        </w:rPr>
        <w:t xml:space="preserve">2%, боргового -  </w:t>
      </w:r>
      <w:r w:rsidR="00F56E14" w:rsidRPr="00A41B49">
        <w:rPr>
          <w:rFonts w:ascii="Times New Roman" w:hAnsi="Times New Roman" w:cs="Times New Roman"/>
          <w:sz w:val="28"/>
          <w:szCs w:val="28"/>
          <w:lang w:val="uk-UA"/>
        </w:rPr>
        <w:t>27,8%, у 2022 р. – 66,9% та 33,1%. Таким чином, у 2020-2022 рр. частка ПІІ в акціонерний капітал в Україні скоротилася на 5,2%, частка у борговий капітал збільшилася на 5,3%.</w:t>
      </w:r>
    </w:p>
    <w:p w14:paraId="49211DED" w14:textId="77777777" w:rsidR="00AB2378" w:rsidRPr="00A41B49" w:rsidRDefault="00AB2378" w:rsidP="001B26C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Серед регіонів України </w:t>
      </w:r>
      <w:r w:rsidR="00D57F59" w:rsidRPr="00A41B49">
        <w:rPr>
          <w:rFonts w:ascii="Times New Roman" w:hAnsi="Times New Roman" w:cs="Times New Roman"/>
          <w:sz w:val="28"/>
          <w:szCs w:val="28"/>
          <w:lang w:val="uk-UA"/>
        </w:rPr>
        <w:t xml:space="preserve">найбільшою часткою ПІІ в акціонерний капітал в загальних обсягах ПІІ в акціонерний капітал України характеризуються </w:t>
      </w:r>
      <w:r w:rsidR="00161629" w:rsidRPr="00A41B49">
        <w:rPr>
          <w:rFonts w:ascii="Times New Roman" w:hAnsi="Times New Roman" w:cs="Times New Roman"/>
          <w:sz w:val="28"/>
          <w:szCs w:val="28"/>
          <w:lang w:val="uk-UA"/>
        </w:rPr>
        <w:t>Дніпропетровська</w:t>
      </w:r>
      <w:r w:rsidR="00D57F59" w:rsidRPr="00A41B49">
        <w:rPr>
          <w:rFonts w:ascii="Times New Roman" w:hAnsi="Times New Roman" w:cs="Times New Roman"/>
          <w:sz w:val="28"/>
          <w:szCs w:val="28"/>
          <w:lang w:val="uk-UA"/>
        </w:rPr>
        <w:t xml:space="preserve"> область (в середньому </w:t>
      </w:r>
      <w:r w:rsidR="00D57F59" w:rsidRPr="00A41B49">
        <w:rPr>
          <w:rFonts w:ascii="Calibri" w:eastAsia="Times New Roman" w:hAnsi="Calibri" w:cs="Calibri"/>
          <w:lang w:val="uk-UA" w:eastAsia="ru-RU"/>
        </w:rPr>
        <w:t>15,3 %</w:t>
      </w:r>
      <w:r w:rsidR="00D57F59" w:rsidRPr="00A41B49">
        <w:rPr>
          <w:rFonts w:ascii="Times New Roman" w:hAnsi="Times New Roman" w:cs="Times New Roman"/>
          <w:sz w:val="28"/>
          <w:szCs w:val="28"/>
          <w:lang w:val="uk-UA"/>
        </w:rPr>
        <w:t xml:space="preserve">), м. Київ (в середньому </w:t>
      </w:r>
      <w:r w:rsidR="00D57F59" w:rsidRPr="00A41B49">
        <w:rPr>
          <w:rFonts w:ascii="Calibri" w:eastAsia="Times New Roman" w:hAnsi="Calibri" w:cs="Calibri"/>
          <w:lang w:val="uk-UA" w:eastAsia="ru-RU"/>
        </w:rPr>
        <w:t>39,2 %</w:t>
      </w:r>
      <w:r w:rsidR="00D57F59" w:rsidRPr="00A41B49">
        <w:rPr>
          <w:rFonts w:ascii="Times New Roman" w:hAnsi="Times New Roman" w:cs="Times New Roman"/>
          <w:sz w:val="28"/>
          <w:szCs w:val="28"/>
          <w:lang w:val="uk-UA"/>
        </w:rPr>
        <w:t>)</w:t>
      </w:r>
      <w:r w:rsidR="0053024F" w:rsidRPr="00A41B49">
        <w:rPr>
          <w:rFonts w:ascii="Times New Roman" w:hAnsi="Times New Roman" w:cs="Times New Roman"/>
          <w:sz w:val="28"/>
          <w:szCs w:val="28"/>
          <w:lang w:val="uk-UA"/>
        </w:rPr>
        <w:t>, найменшою – Чернівецька (в середньому 0,15%) та Кіровоградська області (в середньому 0,5%).</w:t>
      </w:r>
    </w:p>
    <w:p w14:paraId="1685DC60" w14:textId="77777777" w:rsidR="001B26C8" w:rsidRPr="00A41B49" w:rsidRDefault="0053024F" w:rsidP="001B26C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Серед регіонів України </w:t>
      </w:r>
      <w:r w:rsidR="00DB573C" w:rsidRPr="00A41B49">
        <w:rPr>
          <w:rFonts w:ascii="Times New Roman" w:hAnsi="Times New Roman" w:cs="Times New Roman"/>
          <w:sz w:val="28"/>
          <w:szCs w:val="28"/>
          <w:lang w:val="uk-UA"/>
        </w:rPr>
        <w:t xml:space="preserve">найбільшою часткою ПІІ </w:t>
      </w:r>
      <w:r w:rsidR="00236417" w:rsidRPr="00A41B49">
        <w:rPr>
          <w:rFonts w:ascii="Times New Roman" w:hAnsi="Times New Roman" w:cs="Times New Roman"/>
          <w:sz w:val="28"/>
          <w:szCs w:val="28"/>
          <w:lang w:val="uk-UA"/>
        </w:rPr>
        <w:t>у вигляді боргового</w:t>
      </w:r>
      <w:r w:rsidR="00DB573C"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капітал</w:t>
      </w:r>
      <w:r w:rsidR="00236417" w:rsidRPr="00A41B49">
        <w:rPr>
          <w:rFonts w:ascii="Times New Roman" w:hAnsi="Times New Roman" w:cs="Times New Roman"/>
          <w:sz w:val="28"/>
          <w:szCs w:val="28"/>
          <w:lang w:val="uk-UA"/>
        </w:rPr>
        <w:t>у</w:t>
      </w:r>
      <w:r w:rsidRPr="00A41B49">
        <w:rPr>
          <w:rFonts w:ascii="Times New Roman" w:hAnsi="Times New Roman" w:cs="Times New Roman"/>
          <w:sz w:val="28"/>
          <w:szCs w:val="28"/>
          <w:lang w:val="uk-UA"/>
        </w:rPr>
        <w:t xml:space="preserve"> в загальних обсягах ПІІ в </w:t>
      </w:r>
      <w:r w:rsidR="00DB573C" w:rsidRPr="00A41B49">
        <w:rPr>
          <w:rFonts w:ascii="Times New Roman" w:hAnsi="Times New Roman" w:cs="Times New Roman"/>
          <w:sz w:val="28"/>
          <w:szCs w:val="28"/>
          <w:lang w:val="uk-UA"/>
        </w:rPr>
        <w:t>борговий</w:t>
      </w:r>
      <w:r w:rsidRPr="00A41B49">
        <w:rPr>
          <w:rFonts w:ascii="Times New Roman" w:hAnsi="Times New Roman" w:cs="Times New Roman"/>
          <w:sz w:val="28"/>
          <w:szCs w:val="28"/>
          <w:lang w:val="uk-UA"/>
        </w:rPr>
        <w:t xml:space="preserve"> капітал України характеризуються</w:t>
      </w:r>
      <w:r w:rsidR="004209B6" w:rsidRPr="00A41B49">
        <w:rPr>
          <w:rFonts w:ascii="Times New Roman" w:hAnsi="Times New Roman" w:cs="Times New Roman"/>
          <w:sz w:val="28"/>
          <w:szCs w:val="28"/>
          <w:lang w:val="uk-UA"/>
        </w:rPr>
        <w:t xml:space="preserve"> </w:t>
      </w:r>
      <w:r w:rsidR="00161629" w:rsidRPr="00A41B49">
        <w:rPr>
          <w:rFonts w:ascii="Times New Roman" w:hAnsi="Times New Roman" w:cs="Times New Roman"/>
          <w:sz w:val="28"/>
          <w:szCs w:val="28"/>
          <w:lang w:val="uk-UA"/>
        </w:rPr>
        <w:t>Дніпропетровська</w:t>
      </w:r>
      <w:r w:rsidR="004209B6" w:rsidRPr="00A41B49">
        <w:rPr>
          <w:rFonts w:ascii="Times New Roman" w:hAnsi="Times New Roman" w:cs="Times New Roman"/>
          <w:sz w:val="28"/>
          <w:szCs w:val="28"/>
          <w:lang w:val="uk-UA"/>
        </w:rPr>
        <w:t xml:space="preserve"> область (в середньому </w:t>
      </w:r>
      <w:r w:rsidR="004209B6" w:rsidRPr="00A41B49">
        <w:rPr>
          <w:rFonts w:ascii="Calibri" w:eastAsia="Times New Roman" w:hAnsi="Calibri" w:cs="Calibri"/>
          <w:lang w:val="uk-UA" w:eastAsia="ru-RU"/>
        </w:rPr>
        <w:t>8,15 %</w:t>
      </w:r>
      <w:r w:rsidR="004209B6" w:rsidRPr="00A41B49">
        <w:rPr>
          <w:rFonts w:ascii="Times New Roman" w:hAnsi="Times New Roman" w:cs="Times New Roman"/>
          <w:sz w:val="28"/>
          <w:szCs w:val="28"/>
          <w:lang w:val="uk-UA"/>
        </w:rPr>
        <w:t xml:space="preserve">), м. Київ (в середньому </w:t>
      </w:r>
      <w:r w:rsidR="004209B6" w:rsidRPr="00A41B49">
        <w:rPr>
          <w:rFonts w:ascii="Calibri" w:eastAsia="Times New Roman" w:hAnsi="Calibri" w:cs="Calibri"/>
          <w:lang w:val="uk-UA" w:eastAsia="ru-RU"/>
        </w:rPr>
        <w:t>44,6 %</w:t>
      </w:r>
      <w:r w:rsidR="004209B6" w:rsidRPr="00A41B49">
        <w:rPr>
          <w:rFonts w:ascii="Times New Roman" w:hAnsi="Times New Roman" w:cs="Times New Roman"/>
          <w:sz w:val="28"/>
          <w:szCs w:val="28"/>
          <w:lang w:val="uk-UA"/>
        </w:rPr>
        <w:t>), найменшою</w:t>
      </w:r>
      <w:r w:rsidR="001B26C8" w:rsidRPr="00A41B49">
        <w:rPr>
          <w:rFonts w:ascii="Times New Roman" w:hAnsi="Times New Roman" w:cs="Times New Roman"/>
          <w:sz w:val="28"/>
          <w:szCs w:val="28"/>
          <w:lang w:val="uk-UA"/>
        </w:rPr>
        <w:t xml:space="preserve"> – Кіровоградська (в середньому 0,15%), Чернівецька (в середньому 0,1%) області. </w:t>
      </w:r>
    </w:p>
    <w:p w14:paraId="28640919" w14:textId="77777777" w:rsidR="00047E53" w:rsidRPr="00A41B49" w:rsidRDefault="001B26C8" w:rsidP="001B26C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У 2020-2022 рр.</w:t>
      </w:r>
      <w:r w:rsidR="00047E53" w:rsidRPr="00A41B49">
        <w:rPr>
          <w:rFonts w:ascii="Times New Roman" w:hAnsi="Times New Roman" w:cs="Times New Roman"/>
          <w:sz w:val="28"/>
          <w:szCs w:val="28"/>
          <w:lang w:val="uk-UA"/>
        </w:rPr>
        <w:t>:</w:t>
      </w:r>
    </w:p>
    <w:p w14:paraId="20BDBCBB" w14:textId="77777777" w:rsidR="001B26C8" w:rsidRPr="00A41B49" w:rsidRDefault="00047E53" w:rsidP="001B26C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найбільше зростання частки інвестицій у вигляді акціонерного капіталу </w:t>
      </w:r>
      <w:r w:rsidR="00232951" w:rsidRPr="00A41B49">
        <w:rPr>
          <w:rFonts w:ascii="Times New Roman" w:hAnsi="Times New Roman" w:cs="Times New Roman"/>
          <w:sz w:val="28"/>
          <w:szCs w:val="28"/>
          <w:lang w:val="uk-UA"/>
        </w:rPr>
        <w:t xml:space="preserve">в загальних обсягах інвестицій в акціонерний капітал України </w:t>
      </w:r>
      <w:r w:rsidRPr="00A41B49">
        <w:rPr>
          <w:rFonts w:ascii="Times New Roman" w:hAnsi="Times New Roman" w:cs="Times New Roman"/>
          <w:sz w:val="28"/>
          <w:szCs w:val="28"/>
          <w:lang w:val="uk-UA"/>
        </w:rPr>
        <w:t>фіксувалося в Дніпропетровській області (+5,8%), найменше – Волинській, Кіровоградській, Тернопільській областях (+0,1%)</w:t>
      </w:r>
      <w:r w:rsidR="00232951" w:rsidRPr="00A41B49">
        <w:rPr>
          <w:rFonts w:ascii="Times New Roman" w:hAnsi="Times New Roman" w:cs="Times New Roman"/>
          <w:sz w:val="28"/>
          <w:szCs w:val="28"/>
          <w:lang w:val="uk-UA"/>
        </w:rPr>
        <w:t>;</w:t>
      </w:r>
    </w:p>
    <w:p w14:paraId="29FE11B3" w14:textId="77777777" w:rsidR="00B03368" w:rsidRPr="00A41B49" w:rsidRDefault="00232951" w:rsidP="00B0336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найбільше зростання частки інвестицій у вигляді боргового капіталу в загальних обсягах інвестицій в борговий капітал України фіксувалося в </w:t>
      </w:r>
      <w:r w:rsidR="00B03368" w:rsidRPr="00A41B49">
        <w:rPr>
          <w:rFonts w:ascii="Times New Roman" w:hAnsi="Times New Roman" w:cs="Times New Roman"/>
          <w:sz w:val="28"/>
          <w:szCs w:val="28"/>
          <w:lang w:val="uk-UA"/>
        </w:rPr>
        <w:t>Івано-Франківській (+4,4%), Запорізькій області (+1,1%), найменше – Вінницькій, Волинській, Кіровоградській, Полтавській областях (+0,1%);</w:t>
      </w:r>
    </w:p>
    <w:p w14:paraId="12F9C99C" w14:textId="77777777" w:rsidR="0019130A" w:rsidRPr="00A41B49" w:rsidRDefault="0019130A" w:rsidP="00B0336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найбільше зменшення частки інвестицій у вигляді акціонерного капіталу в загальних обсягах інвестицій в акціонерний капітал України фіксувалося в м. Київ (-6,3%), найменше - Івано-Франківській (-0,2%);</w:t>
      </w:r>
    </w:p>
    <w:p w14:paraId="13B82763" w14:textId="77777777" w:rsidR="0019130A" w:rsidRPr="00A41B49" w:rsidRDefault="0019130A" w:rsidP="0019130A">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найбільше зменшення частки інвестицій у вигляді </w:t>
      </w:r>
      <w:r w:rsidR="00BE765C" w:rsidRPr="00A41B49">
        <w:rPr>
          <w:rFonts w:ascii="Times New Roman" w:hAnsi="Times New Roman" w:cs="Times New Roman"/>
          <w:sz w:val="28"/>
          <w:szCs w:val="28"/>
          <w:lang w:val="uk-UA"/>
        </w:rPr>
        <w:t>боргового</w:t>
      </w:r>
      <w:r w:rsidRPr="00A41B49">
        <w:rPr>
          <w:rFonts w:ascii="Times New Roman" w:hAnsi="Times New Roman" w:cs="Times New Roman"/>
          <w:sz w:val="28"/>
          <w:szCs w:val="28"/>
          <w:lang w:val="uk-UA"/>
        </w:rPr>
        <w:t xml:space="preserve"> капіталу в загальних обсягах інвестицій в </w:t>
      </w:r>
      <w:r w:rsidR="00BE765C" w:rsidRPr="00A41B49">
        <w:rPr>
          <w:rFonts w:ascii="Times New Roman" w:hAnsi="Times New Roman" w:cs="Times New Roman"/>
          <w:sz w:val="28"/>
          <w:szCs w:val="28"/>
          <w:lang w:val="uk-UA"/>
        </w:rPr>
        <w:t>борговий</w:t>
      </w:r>
      <w:r w:rsidRPr="00A41B49">
        <w:rPr>
          <w:rFonts w:ascii="Times New Roman" w:hAnsi="Times New Roman" w:cs="Times New Roman"/>
          <w:sz w:val="28"/>
          <w:szCs w:val="28"/>
          <w:lang w:val="uk-UA"/>
        </w:rPr>
        <w:t xml:space="preserve"> капітал України фіксувалося в м. Київ</w:t>
      </w:r>
      <w:r w:rsidR="00BE765C" w:rsidRPr="00A41B49">
        <w:rPr>
          <w:rFonts w:ascii="Times New Roman" w:hAnsi="Times New Roman" w:cs="Times New Roman"/>
          <w:sz w:val="28"/>
          <w:szCs w:val="28"/>
          <w:lang w:val="uk-UA"/>
        </w:rPr>
        <w:t xml:space="preserve"> (-6%</w:t>
      </w:r>
      <w:r w:rsidRPr="00A41B49">
        <w:rPr>
          <w:rFonts w:ascii="Times New Roman" w:hAnsi="Times New Roman" w:cs="Times New Roman"/>
          <w:sz w:val="28"/>
          <w:szCs w:val="28"/>
          <w:lang w:val="uk-UA"/>
        </w:rPr>
        <w:t xml:space="preserve">), найменше - </w:t>
      </w:r>
      <w:r w:rsidR="00BE765C" w:rsidRPr="00A41B49">
        <w:rPr>
          <w:rFonts w:ascii="Times New Roman" w:hAnsi="Times New Roman" w:cs="Times New Roman"/>
          <w:sz w:val="28"/>
          <w:szCs w:val="28"/>
          <w:lang w:val="uk-UA"/>
        </w:rPr>
        <w:t xml:space="preserve"> Львівській </w:t>
      </w:r>
      <w:r w:rsidRPr="00A41B49">
        <w:rPr>
          <w:rFonts w:ascii="Times New Roman" w:hAnsi="Times New Roman" w:cs="Times New Roman"/>
          <w:sz w:val="28"/>
          <w:szCs w:val="28"/>
          <w:lang w:val="uk-UA"/>
        </w:rPr>
        <w:t>(-0,</w:t>
      </w:r>
      <w:r w:rsidR="00BE765C" w:rsidRPr="00A41B49">
        <w:rPr>
          <w:rFonts w:ascii="Times New Roman" w:hAnsi="Times New Roman" w:cs="Times New Roman"/>
          <w:sz w:val="28"/>
          <w:szCs w:val="28"/>
          <w:lang w:val="uk-UA"/>
        </w:rPr>
        <w:t>1%).</w:t>
      </w:r>
    </w:p>
    <w:p w14:paraId="1ACBBFE8" w14:textId="77777777" w:rsidR="00BE765C" w:rsidRPr="00A41B49" w:rsidRDefault="00BE765C" w:rsidP="001529F5">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Статичністю частки ПІІ у вигляді акціонерного капіталу у загальному обсязі ПІІ у вигляді акціонерного капіталу України у 2020-2022 рр. характеризувалися такі регіони – Житомирська, </w:t>
      </w:r>
      <w:r w:rsidR="001529F5" w:rsidRPr="00A41B49">
        <w:rPr>
          <w:rFonts w:ascii="Times New Roman" w:hAnsi="Times New Roman" w:cs="Times New Roman"/>
          <w:sz w:val="28"/>
          <w:szCs w:val="28"/>
          <w:lang w:val="uk-UA"/>
        </w:rPr>
        <w:t xml:space="preserve">Рівненська, Сумська, Чернівецька області; борговому капіталі - </w:t>
      </w:r>
      <w:r w:rsidR="000855EE" w:rsidRPr="00A41B49">
        <w:rPr>
          <w:rFonts w:ascii="Times New Roman" w:hAnsi="Times New Roman" w:cs="Times New Roman"/>
          <w:sz w:val="28"/>
          <w:szCs w:val="28"/>
          <w:lang w:val="uk-UA"/>
        </w:rPr>
        <w:t>Чернівецька область (табл.</w:t>
      </w:r>
      <w:r w:rsidR="00CC43A3" w:rsidRPr="00A41B49">
        <w:rPr>
          <w:rFonts w:ascii="Times New Roman" w:hAnsi="Times New Roman" w:cs="Times New Roman"/>
          <w:sz w:val="28"/>
          <w:szCs w:val="28"/>
          <w:lang w:val="uk-UA"/>
        </w:rPr>
        <w:t xml:space="preserve"> </w:t>
      </w:r>
      <w:r w:rsidR="00CE06C3" w:rsidRPr="00A41B49">
        <w:rPr>
          <w:rFonts w:ascii="Times New Roman" w:hAnsi="Times New Roman" w:cs="Times New Roman"/>
          <w:sz w:val="28"/>
          <w:szCs w:val="28"/>
          <w:lang w:val="uk-UA"/>
        </w:rPr>
        <w:t>3.</w:t>
      </w:r>
      <w:r w:rsidR="00CC43A3" w:rsidRPr="00A41B49">
        <w:rPr>
          <w:rFonts w:ascii="Times New Roman" w:hAnsi="Times New Roman" w:cs="Times New Roman"/>
          <w:sz w:val="28"/>
          <w:szCs w:val="28"/>
          <w:lang w:val="uk-UA"/>
        </w:rPr>
        <w:t>3</w:t>
      </w:r>
      <w:r w:rsidR="000855EE" w:rsidRPr="00A41B49">
        <w:rPr>
          <w:rFonts w:ascii="Times New Roman" w:hAnsi="Times New Roman" w:cs="Times New Roman"/>
          <w:sz w:val="28"/>
          <w:szCs w:val="28"/>
          <w:lang w:val="uk-UA"/>
        </w:rPr>
        <w:t>)</w:t>
      </w:r>
    </w:p>
    <w:p w14:paraId="158DF0F0" w14:textId="77777777" w:rsidR="000855EE" w:rsidRPr="00A41B49" w:rsidRDefault="000855EE" w:rsidP="001529F5">
      <w:pPr>
        <w:spacing w:after="0" w:line="240" w:lineRule="auto"/>
        <w:ind w:firstLine="709"/>
        <w:jc w:val="both"/>
        <w:rPr>
          <w:rFonts w:ascii="Times New Roman" w:hAnsi="Times New Roman" w:cs="Times New Roman"/>
          <w:sz w:val="28"/>
          <w:szCs w:val="28"/>
          <w:lang w:val="uk-UA"/>
        </w:rPr>
      </w:pPr>
    </w:p>
    <w:p w14:paraId="0160EFDF" w14:textId="77777777" w:rsidR="000855EE" w:rsidRPr="00A41B49" w:rsidRDefault="000855EE" w:rsidP="000855EE">
      <w:pPr>
        <w:spacing w:after="0" w:line="240" w:lineRule="auto"/>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Таблиця </w:t>
      </w:r>
      <w:r w:rsidR="00CC43A3" w:rsidRPr="00A41B49">
        <w:rPr>
          <w:rFonts w:ascii="Times New Roman" w:hAnsi="Times New Roman" w:cs="Times New Roman"/>
          <w:sz w:val="28"/>
          <w:szCs w:val="28"/>
          <w:lang w:val="uk-UA"/>
        </w:rPr>
        <w:t xml:space="preserve">3 </w:t>
      </w:r>
      <w:r w:rsidRPr="00A41B49">
        <w:rPr>
          <w:rFonts w:ascii="Times New Roman" w:hAnsi="Times New Roman" w:cs="Times New Roman"/>
          <w:sz w:val="28"/>
          <w:szCs w:val="28"/>
          <w:lang w:val="uk-UA"/>
        </w:rPr>
        <w:t>– Структура ПІІ в економіку України,</w:t>
      </w:r>
      <w:r w:rsidRPr="00A41B49">
        <w:rPr>
          <w:lang w:val="uk-UA"/>
        </w:rPr>
        <w:t xml:space="preserve"> </w:t>
      </w:r>
      <w:r w:rsidRPr="00A41B49">
        <w:rPr>
          <w:rFonts w:ascii="Times New Roman" w:hAnsi="Times New Roman" w:cs="Times New Roman"/>
          <w:sz w:val="28"/>
          <w:szCs w:val="28"/>
          <w:lang w:val="uk-UA"/>
        </w:rPr>
        <w:t>млн дол</w:t>
      </w:r>
    </w:p>
    <w:tbl>
      <w:tblPr>
        <w:tblStyle w:val="a3"/>
        <w:tblW w:w="5000" w:type="pct"/>
        <w:jc w:val="center"/>
        <w:tblLook w:val="04A0" w:firstRow="1" w:lastRow="0" w:firstColumn="1" w:lastColumn="0" w:noHBand="0" w:noVBand="1"/>
      </w:tblPr>
      <w:tblGrid>
        <w:gridCol w:w="1981"/>
        <w:gridCol w:w="726"/>
        <w:gridCol w:w="726"/>
        <w:gridCol w:w="727"/>
        <w:gridCol w:w="909"/>
        <w:gridCol w:w="909"/>
        <w:gridCol w:w="911"/>
        <w:gridCol w:w="907"/>
        <w:gridCol w:w="896"/>
        <w:gridCol w:w="879"/>
      </w:tblGrid>
      <w:tr w:rsidR="00A41B49" w:rsidRPr="00A41B49" w14:paraId="6D8EE612" w14:textId="77777777" w:rsidTr="00CE06C3">
        <w:trPr>
          <w:jc w:val="center"/>
        </w:trPr>
        <w:tc>
          <w:tcPr>
            <w:tcW w:w="1035" w:type="pct"/>
            <w:vMerge w:val="restart"/>
            <w:vAlign w:val="center"/>
          </w:tcPr>
          <w:p w14:paraId="7EDEF8D4" w14:textId="77777777" w:rsidR="000855EE" w:rsidRPr="00A41B49" w:rsidRDefault="00D75056"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Регіони</w:t>
            </w:r>
          </w:p>
        </w:tc>
        <w:tc>
          <w:tcPr>
            <w:tcW w:w="1138" w:type="pct"/>
            <w:gridSpan w:val="3"/>
            <w:vAlign w:val="center"/>
          </w:tcPr>
          <w:p w14:paraId="4AFCCD69" w14:textId="77777777" w:rsidR="000855EE" w:rsidRPr="00A41B49" w:rsidRDefault="000855EE" w:rsidP="0008650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2020 р.</w:t>
            </w:r>
          </w:p>
        </w:tc>
        <w:tc>
          <w:tcPr>
            <w:tcW w:w="1426" w:type="pct"/>
            <w:gridSpan w:val="3"/>
          </w:tcPr>
          <w:p w14:paraId="5F6105D7" w14:textId="77777777" w:rsidR="000855EE" w:rsidRPr="00A41B49" w:rsidRDefault="000855EE" w:rsidP="0008650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2022 р.</w:t>
            </w:r>
          </w:p>
        </w:tc>
        <w:tc>
          <w:tcPr>
            <w:tcW w:w="1401" w:type="pct"/>
            <w:gridSpan w:val="3"/>
          </w:tcPr>
          <w:p w14:paraId="2829FB00" w14:textId="77777777" w:rsidR="000855EE" w:rsidRPr="00A41B49" w:rsidRDefault="000855EE" w:rsidP="0008650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Відхилення</w:t>
            </w:r>
          </w:p>
        </w:tc>
      </w:tr>
      <w:tr w:rsidR="00A41B49" w:rsidRPr="00A41B49" w14:paraId="4E7E354F" w14:textId="77777777" w:rsidTr="00CE06C3">
        <w:trPr>
          <w:jc w:val="center"/>
        </w:trPr>
        <w:tc>
          <w:tcPr>
            <w:tcW w:w="1035" w:type="pct"/>
            <w:vMerge/>
          </w:tcPr>
          <w:p w14:paraId="1E1D2DC9" w14:textId="77777777" w:rsidR="000855EE" w:rsidRPr="00A41B49" w:rsidRDefault="000855EE" w:rsidP="00086503">
            <w:pPr>
              <w:rPr>
                <w:rFonts w:ascii="Times New Roman" w:hAnsi="Times New Roman" w:cs="Times New Roman"/>
                <w:spacing w:val="-6"/>
                <w:sz w:val="24"/>
                <w:szCs w:val="24"/>
                <w:lang w:val="uk-UA"/>
              </w:rPr>
            </w:pPr>
          </w:p>
        </w:tc>
        <w:tc>
          <w:tcPr>
            <w:tcW w:w="379" w:type="pct"/>
            <w:vAlign w:val="center"/>
          </w:tcPr>
          <w:p w14:paraId="60724B90" w14:textId="77777777" w:rsidR="000855EE" w:rsidRPr="00A41B49" w:rsidRDefault="000855EE" w:rsidP="005E36C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1</w:t>
            </w:r>
          </w:p>
        </w:tc>
        <w:tc>
          <w:tcPr>
            <w:tcW w:w="379" w:type="pct"/>
            <w:vAlign w:val="center"/>
          </w:tcPr>
          <w:p w14:paraId="1BC9C176" w14:textId="77777777" w:rsidR="000855EE" w:rsidRPr="00A41B49" w:rsidRDefault="000855EE" w:rsidP="005E36C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2</w:t>
            </w:r>
          </w:p>
        </w:tc>
        <w:tc>
          <w:tcPr>
            <w:tcW w:w="380" w:type="pct"/>
            <w:vAlign w:val="center"/>
          </w:tcPr>
          <w:p w14:paraId="260F7FCB" w14:textId="77777777" w:rsidR="000855EE" w:rsidRPr="00A41B49" w:rsidRDefault="000855EE" w:rsidP="005E36C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3</w:t>
            </w:r>
          </w:p>
        </w:tc>
        <w:tc>
          <w:tcPr>
            <w:tcW w:w="475" w:type="pct"/>
            <w:vAlign w:val="center"/>
          </w:tcPr>
          <w:p w14:paraId="3BA663DD" w14:textId="77777777" w:rsidR="000855EE" w:rsidRPr="00A41B49" w:rsidRDefault="000855EE" w:rsidP="005E36C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1</w:t>
            </w:r>
          </w:p>
        </w:tc>
        <w:tc>
          <w:tcPr>
            <w:tcW w:w="475" w:type="pct"/>
            <w:vAlign w:val="center"/>
          </w:tcPr>
          <w:p w14:paraId="7951FC4F" w14:textId="77777777" w:rsidR="000855EE" w:rsidRPr="00A41B49" w:rsidRDefault="000855EE" w:rsidP="005E36C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2</w:t>
            </w:r>
          </w:p>
        </w:tc>
        <w:tc>
          <w:tcPr>
            <w:tcW w:w="476" w:type="pct"/>
            <w:vAlign w:val="center"/>
          </w:tcPr>
          <w:p w14:paraId="59495989" w14:textId="77777777" w:rsidR="000855EE" w:rsidRPr="00A41B49" w:rsidRDefault="000855EE" w:rsidP="005E36C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3</w:t>
            </w:r>
          </w:p>
        </w:tc>
        <w:tc>
          <w:tcPr>
            <w:tcW w:w="474" w:type="pct"/>
            <w:vAlign w:val="center"/>
          </w:tcPr>
          <w:p w14:paraId="6DFCB9E7" w14:textId="77777777" w:rsidR="000855EE" w:rsidRPr="00A41B49" w:rsidRDefault="000855EE" w:rsidP="005E36C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1</w:t>
            </w:r>
          </w:p>
        </w:tc>
        <w:tc>
          <w:tcPr>
            <w:tcW w:w="468" w:type="pct"/>
            <w:vAlign w:val="center"/>
          </w:tcPr>
          <w:p w14:paraId="1374CAA8" w14:textId="77777777" w:rsidR="000855EE" w:rsidRPr="00A41B49" w:rsidRDefault="000855EE" w:rsidP="005E36C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2</w:t>
            </w:r>
          </w:p>
        </w:tc>
        <w:tc>
          <w:tcPr>
            <w:tcW w:w="459" w:type="pct"/>
            <w:vAlign w:val="center"/>
          </w:tcPr>
          <w:p w14:paraId="028F4CB4" w14:textId="77777777" w:rsidR="000855EE" w:rsidRPr="00A41B49" w:rsidRDefault="000855EE" w:rsidP="005E36C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3</w:t>
            </w:r>
          </w:p>
        </w:tc>
      </w:tr>
      <w:tr w:rsidR="00A41B49" w:rsidRPr="00A41B49" w14:paraId="59C25D6D" w14:textId="77777777" w:rsidTr="00CE06C3">
        <w:trPr>
          <w:jc w:val="center"/>
        </w:trPr>
        <w:tc>
          <w:tcPr>
            <w:tcW w:w="1035" w:type="pct"/>
            <w:vAlign w:val="center"/>
          </w:tcPr>
          <w:p w14:paraId="5AD00013" w14:textId="77777777" w:rsidR="005E36C3" w:rsidRPr="00A41B49" w:rsidRDefault="005E36C3" w:rsidP="005E36C3">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1</w:t>
            </w:r>
          </w:p>
        </w:tc>
        <w:tc>
          <w:tcPr>
            <w:tcW w:w="379" w:type="pct"/>
            <w:vAlign w:val="center"/>
          </w:tcPr>
          <w:p w14:paraId="789FCAB7" w14:textId="77777777" w:rsidR="005E36C3" w:rsidRPr="00A41B49" w:rsidRDefault="005E36C3" w:rsidP="005E36C3">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2</w:t>
            </w:r>
          </w:p>
        </w:tc>
        <w:tc>
          <w:tcPr>
            <w:tcW w:w="379" w:type="pct"/>
            <w:vAlign w:val="center"/>
          </w:tcPr>
          <w:p w14:paraId="2530CB50" w14:textId="77777777" w:rsidR="005E36C3" w:rsidRPr="00A41B49" w:rsidRDefault="005E36C3" w:rsidP="005E36C3">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3</w:t>
            </w:r>
          </w:p>
        </w:tc>
        <w:tc>
          <w:tcPr>
            <w:tcW w:w="380" w:type="pct"/>
            <w:vAlign w:val="center"/>
          </w:tcPr>
          <w:p w14:paraId="5BF48737" w14:textId="77777777" w:rsidR="005E36C3" w:rsidRPr="00A41B49" w:rsidRDefault="005E36C3" w:rsidP="005E36C3">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4</w:t>
            </w:r>
          </w:p>
        </w:tc>
        <w:tc>
          <w:tcPr>
            <w:tcW w:w="475" w:type="pct"/>
            <w:vAlign w:val="center"/>
          </w:tcPr>
          <w:p w14:paraId="4EF429F0" w14:textId="77777777" w:rsidR="005E36C3" w:rsidRPr="00A41B49" w:rsidRDefault="005E36C3" w:rsidP="005E36C3">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5</w:t>
            </w:r>
          </w:p>
        </w:tc>
        <w:tc>
          <w:tcPr>
            <w:tcW w:w="475" w:type="pct"/>
            <w:vAlign w:val="center"/>
          </w:tcPr>
          <w:p w14:paraId="07F9B7AE" w14:textId="77777777" w:rsidR="005E36C3" w:rsidRPr="00A41B49" w:rsidRDefault="005E36C3" w:rsidP="005E36C3">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6</w:t>
            </w:r>
          </w:p>
        </w:tc>
        <w:tc>
          <w:tcPr>
            <w:tcW w:w="476" w:type="pct"/>
            <w:vAlign w:val="center"/>
          </w:tcPr>
          <w:p w14:paraId="1208395F" w14:textId="77777777" w:rsidR="005E36C3" w:rsidRPr="00A41B49" w:rsidRDefault="005E36C3" w:rsidP="005E36C3">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7</w:t>
            </w:r>
          </w:p>
        </w:tc>
        <w:tc>
          <w:tcPr>
            <w:tcW w:w="474" w:type="pct"/>
            <w:vAlign w:val="center"/>
          </w:tcPr>
          <w:p w14:paraId="608DBCF6" w14:textId="77777777" w:rsidR="005E36C3" w:rsidRPr="00A41B49" w:rsidRDefault="005E36C3" w:rsidP="005E36C3">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8</w:t>
            </w:r>
          </w:p>
        </w:tc>
        <w:tc>
          <w:tcPr>
            <w:tcW w:w="468" w:type="pct"/>
            <w:vAlign w:val="center"/>
          </w:tcPr>
          <w:p w14:paraId="38972633" w14:textId="77777777" w:rsidR="005E36C3" w:rsidRPr="00A41B49" w:rsidRDefault="005E36C3" w:rsidP="005E36C3">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9</w:t>
            </w:r>
          </w:p>
        </w:tc>
        <w:tc>
          <w:tcPr>
            <w:tcW w:w="459" w:type="pct"/>
            <w:vAlign w:val="center"/>
          </w:tcPr>
          <w:p w14:paraId="19A13D89" w14:textId="77777777" w:rsidR="005E36C3" w:rsidRPr="00A41B49" w:rsidRDefault="005E36C3" w:rsidP="005E36C3">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10</w:t>
            </w:r>
          </w:p>
        </w:tc>
      </w:tr>
      <w:tr w:rsidR="00A41B49" w:rsidRPr="00A41B49" w14:paraId="0ACB6597" w14:textId="77777777" w:rsidTr="00CE06C3">
        <w:trPr>
          <w:jc w:val="center"/>
        </w:trPr>
        <w:tc>
          <w:tcPr>
            <w:tcW w:w="1035" w:type="pct"/>
          </w:tcPr>
          <w:p w14:paraId="10870255" w14:textId="77777777" w:rsidR="000855EE" w:rsidRPr="00A41B49" w:rsidRDefault="000855EE" w:rsidP="00086503">
            <w:pP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Усього країна</w:t>
            </w:r>
          </w:p>
        </w:tc>
        <w:tc>
          <w:tcPr>
            <w:tcW w:w="379" w:type="pct"/>
            <w:vAlign w:val="center"/>
          </w:tcPr>
          <w:p w14:paraId="2671214A" w14:textId="77777777" w:rsidR="000855EE" w:rsidRPr="00A41B49" w:rsidRDefault="000855EE" w:rsidP="00086503">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100,0</w:t>
            </w:r>
          </w:p>
        </w:tc>
        <w:tc>
          <w:tcPr>
            <w:tcW w:w="379" w:type="pct"/>
            <w:vAlign w:val="center"/>
          </w:tcPr>
          <w:p w14:paraId="5D16E661" w14:textId="77777777" w:rsidR="000855EE" w:rsidRPr="00A41B49" w:rsidRDefault="000855EE" w:rsidP="00086503">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100,0</w:t>
            </w:r>
          </w:p>
        </w:tc>
        <w:tc>
          <w:tcPr>
            <w:tcW w:w="380" w:type="pct"/>
            <w:vAlign w:val="center"/>
          </w:tcPr>
          <w:p w14:paraId="5290F08D" w14:textId="77777777" w:rsidR="000855EE" w:rsidRPr="00A41B49" w:rsidRDefault="000855EE" w:rsidP="00086503">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100,0</w:t>
            </w:r>
          </w:p>
        </w:tc>
        <w:tc>
          <w:tcPr>
            <w:tcW w:w="475" w:type="pct"/>
            <w:vAlign w:val="center"/>
          </w:tcPr>
          <w:p w14:paraId="1D693ED8" w14:textId="77777777" w:rsidR="000855EE" w:rsidRPr="00A41B49" w:rsidRDefault="000855EE" w:rsidP="00086503">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100,0</w:t>
            </w:r>
          </w:p>
        </w:tc>
        <w:tc>
          <w:tcPr>
            <w:tcW w:w="475" w:type="pct"/>
            <w:vAlign w:val="center"/>
          </w:tcPr>
          <w:p w14:paraId="699CB457" w14:textId="77777777" w:rsidR="000855EE" w:rsidRPr="00A41B49" w:rsidRDefault="000855EE" w:rsidP="00086503">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100,0</w:t>
            </w:r>
          </w:p>
        </w:tc>
        <w:tc>
          <w:tcPr>
            <w:tcW w:w="476" w:type="pct"/>
            <w:vAlign w:val="center"/>
          </w:tcPr>
          <w:p w14:paraId="3BBF5F92" w14:textId="77777777" w:rsidR="000855EE" w:rsidRPr="00A41B49" w:rsidRDefault="000855EE" w:rsidP="00086503">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100,0</w:t>
            </w:r>
          </w:p>
        </w:tc>
        <w:tc>
          <w:tcPr>
            <w:tcW w:w="474" w:type="pct"/>
            <w:vAlign w:val="center"/>
          </w:tcPr>
          <w:p w14:paraId="37C24872" w14:textId="77777777" w:rsidR="000855EE" w:rsidRPr="00A41B49" w:rsidRDefault="000855EE" w:rsidP="0008650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0,0</w:t>
            </w:r>
          </w:p>
        </w:tc>
        <w:tc>
          <w:tcPr>
            <w:tcW w:w="468" w:type="pct"/>
            <w:vAlign w:val="center"/>
          </w:tcPr>
          <w:p w14:paraId="3362002D" w14:textId="77777777" w:rsidR="000855EE" w:rsidRPr="00A41B49" w:rsidRDefault="000855EE" w:rsidP="0008650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0,0</w:t>
            </w:r>
          </w:p>
        </w:tc>
        <w:tc>
          <w:tcPr>
            <w:tcW w:w="459" w:type="pct"/>
            <w:vAlign w:val="center"/>
          </w:tcPr>
          <w:p w14:paraId="51AD921E" w14:textId="77777777" w:rsidR="000855EE" w:rsidRPr="00A41B49" w:rsidRDefault="000855EE" w:rsidP="0008650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0,0</w:t>
            </w:r>
          </w:p>
        </w:tc>
      </w:tr>
      <w:tr w:rsidR="00A41B49" w:rsidRPr="00A41B49" w14:paraId="2F55E1BA" w14:textId="77777777" w:rsidTr="00CE06C3">
        <w:trPr>
          <w:jc w:val="center"/>
        </w:trPr>
        <w:tc>
          <w:tcPr>
            <w:tcW w:w="1035" w:type="pct"/>
            <w:vAlign w:val="center"/>
          </w:tcPr>
          <w:p w14:paraId="3804F96B" w14:textId="77777777" w:rsidR="000855EE" w:rsidRPr="00A41B49" w:rsidRDefault="000855EE"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Вінницька</w:t>
            </w:r>
          </w:p>
        </w:tc>
        <w:tc>
          <w:tcPr>
            <w:tcW w:w="379" w:type="pct"/>
            <w:vAlign w:val="center"/>
          </w:tcPr>
          <w:p w14:paraId="31E1541D" w14:textId="77777777" w:rsidR="000855EE" w:rsidRPr="00A41B49" w:rsidRDefault="000855EE" w:rsidP="00086503">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1,4</w:t>
            </w:r>
          </w:p>
        </w:tc>
        <w:tc>
          <w:tcPr>
            <w:tcW w:w="379" w:type="pct"/>
            <w:vAlign w:val="center"/>
          </w:tcPr>
          <w:p w14:paraId="2C64B900" w14:textId="77777777" w:rsidR="000855EE" w:rsidRPr="00A41B49" w:rsidRDefault="000855EE" w:rsidP="00086503">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1,0</w:t>
            </w:r>
          </w:p>
        </w:tc>
        <w:tc>
          <w:tcPr>
            <w:tcW w:w="380" w:type="pct"/>
            <w:vAlign w:val="center"/>
          </w:tcPr>
          <w:p w14:paraId="2F19EE06" w14:textId="77777777" w:rsidR="000855EE" w:rsidRPr="00A41B49" w:rsidRDefault="000855EE" w:rsidP="00086503">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2,4</w:t>
            </w:r>
          </w:p>
        </w:tc>
        <w:tc>
          <w:tcPr>
            <w:tcW w:w="475" w:type="pct"/>
            <w:vAlign w:val="center"/>
          </w:tcPr>
          <w:p w14:paraId="10CD186D" w14:textId="77777777" w:rsidR="000855EE" w:rsidRPr="00A41B49" w:rsidRDefault="000855EE" w:rsidP="00086503">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1,8</w:t>
            </w:r>
          </w:p>
        </w:tc>
        <w:tc>
          <w:tcPr>
            <w:tcW w:w="475" w:type="pct"/>
            <w:vAlign w:val="center"/>
          </w:tcPr>
          <w:p w14:paraId="272EC293" w14:textId="77777777" w:rsidR="000855EE" w:rsidRPr="00A41B49" w:rsidRDefault="000855EE" w:rsidP="00086503">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1,5</w:t>
            </w:r>
          </w:p>
        </w:tc>
        <w:tc>
          <w:tcPr>
            <w:tcW w:w="476" w:type="pct"/>
            <w:vAlign w:val="center"/>
          </w:tcPr>
          <w:p w14:paraId="47EB44FD" w14:textId="77777777" w:rsidR="000855EE" w:rsidRPr="00A41B49" w:rsidRDefault="000855EE" w:rsidP="00086503">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2,5</w:t>
            </w:r>
          </w:p>
        </w:tc>
        <w:tc>
          <w:tcPr>
            <w:tcW w:w="474" w:type="pct"/>
            <w:vAlign w:val="center"/>
          </w:tcPr>
          <w:p w14:paraId="27C2719B" w14:textId="77777777" w:rsidR="000855EE" w:rsidRPr="00A41B49" w:rsidRDefault="000855EE" w:rsidP="0008650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0,4</w:t>
            </w:r>
          </w:p>
        </w:tc>
        <w:tc>
          <w:tcPr>
            <w:tcW w:w="468" w:type="pct"/>
            <w:vAlign w:val="center"/>
          </w:tcPr>
          <w:p w14:paraId="698D1D06" w14:textId="77777777" w:rsidR="000855EE" w:rsidRPr="00A41B49" w:rsidRDefault="000855EE" w:rsidP="0008650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0,5</w:t>
            </w:r>
          </w:p>
        </w:tc>
        <w:tc>
          <w:tcPr>
            <w:tcW w:w="459" w:type="pct"/>
            <w:vAlign w:val="center"/>
          </w:tcPr>
          <w:p w14:paraId="659F6796" w14:textId="77777777" w:rsidR="000855EE" w:rsidRPr="00A41B49" w:rsidRDefault="000855EE" w:rsidP="00086503">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0,1</w:t>
            </w:r>
          </w:p>
        </w:tc>
      </w:tr>
      <w:tr w:rsidR="00A41B49" w:rsidRPr="00A41B49" w14:paraId="0B8AB343" w14:textId="77777777" w:rsidTr="00CE06C3">
        <w:trPr>
          <w:jc w:val="center"/>
        </w:trPr>
        <w:tc>
          <w:tcPr>
            <w:tcW w:w="1035" w:type="pct"/>
            <w:vAlign w:val="center"/>
          </w:tcPr>
          <w:p w14:paraId="0CC15632"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Волинська</w:t>
            </w:r>
          </w:p>
        </w:tc>
        <w:tc>
          <w:tcPr>
            <w:tcW w:w="379" w:type="pct"/>
            <w:vAlign w:val="center"/>
          </w:tcPr>
          <w:p w14:paraId="7014636D"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0,6</w:t>
            </w:r>
          </w:p>
        </w:tc>
        <w:tc>
          <w:tcPr>
            <w:tcW w:w="379" w:type="pct"/>
            <w:vAlign w:val="center"/>
          </w:tcPr>
          <w:p w14:paraId="59372D54"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0,7</w:t>
            </w:r>
          </w:p>
        </w:tc>
        <w:tc>
          <w:tcPr>
            <w:tcW w:w="380" w:type="pct"/>
            <w:vAlign w:val="center"/>
          </w:tcPr>
          <w:p w14:paraId="34D2DC8A"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0,6</w:t>
            </w:r>
          </w:p>
        </w:tc>
        <w:tc>
          <w:tcPr>
            <w:tcW w:w="475" w:type="pct"/>
            <w:vAlign w:val="center"/>
          </w:tcPr>
          <w:p w14:paraId="186358A0"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0,7</w:t>
            </w:r>
          </w:p>
        </w:tc>
        <w:tc>
          <w:tcPr>
            <w:tcW w:w="475" w:type="pct"/>
            <w:vAlign w:val="center"/>
          </w:tcPr>
          <w:p w14:paraId="364BB855"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0,8</w:t>
            </w:r>
          </w:p>
        </w:tc>
        <w:tc>
          <w:tcPr>
            <w:tcW w:w="476" w:type="pct"/>
            <w:vAlign w:val="center"/>
          </w:tcPr>
          <w:p w14:paraId="11EB764A"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0,6</w:t>
            </w:r>
          </w:p>
        </w:tc>
        <w:tc>
          <w:tcPr>
            <w:tcW w:w="474" w:type="pct"/>
            <w:vAlign w:val="center"/>
          </w:tcPr>
          <w:p w14:paraId="1125AD75"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0,1</w:t>
            </w:r>
          </w:p>
        </w:tc>
        <w:tc>
          <w:tcPr>
            <w:tcW w:w="468" w:type="pct"/>
            <w:vAlign w:val="center"/>
          </w:tcPr>
          <w:p w14:paraId="6D7C1A4C"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0,1</w:t>
            </w:r>
          </w:p>
        </w:tc>
        <w:tc>
          <w:tcPr>
            <w:tcW w:w="459" w:type="pct"/>
            <w:vAlign w:val="center"/>
          </w:tcPr>
          <w:p w14:paraId="4D09C9AC"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0,1</w:t>
            </w:r>
          </w:p>
        </w:tc>
      </w:tr>
      <w:tr w:rsidR="00A41B49" w:rsidRPr="00A41B49" w14:paraId="45F2D2BA" w14:textId="77777777" w:rsidTr="00CE06C3">
        <w:trPr>
          <w:jc w:val="center"/>
        </w:trPr>
        <w:tc>
          <w:tcPr>
            <w:tcW w:w="1035" w:type="pct"/>
            <w:vAlign w:val="center"/>
          </w:tcPr>
          <w:p w14:paraId="630BDAC5"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Дніпропетровська</w:t>
            </w:r>
          </w:p>
        </w:tc>
        <w:tc>
          <w:tcPr>
            <w:tcW w:w="379" w:type="pct"/>
            <w:vAlign w:val="center"/>
          </w:tcPr>
          <w:p w14:paraId="58D491B4"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11,1</w:t>
            </w:r>
          </w:p>
        </w:tc>
        <w:tc>
          <w:tcPr>
            <w:tcW w:w="379" w:type="pct"/>
            <w:vAlign w:val="center"/>
          </w:tcPr>
          <w:p w14:paraId="6DE693EF"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12,4</w:t>
            </w:r>
          </w:p>
        </w:tc>
        <w:tc>
          <w:tcPr>
            <w:tcW w:w="380" w:type="pct"/>
            <w:vAlign w:val="center"/>
          </w:tcPr>
          <w:p w14:paraId="41C62718"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7,7</w:t>
            </w:r>
          </w:p>
        </w:tc>
        <w:tc>
          <w:tcPr>
            <w:tcW w:w="475" w:type="pct"/>
            <w:vAlign w:val="center"/>
          </w:tcPr>
          <w:p w14:paraId="69D69384"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15,0</w:t>
            </w:r>
          </w:p>
        </w:tc>
        <w:tc>
          <w:tcPr>
            <w:tcW w:w="475" w:type="pct"/>
            <w:vAlign w:val="center"/>
          </w:tcPr>
          <w:p w14:paraId="67E619F3"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18,2</w:t>
            </w:r>
          </w:p>
        </w:tc>
        <w:tc>
          <w:tcPr>
            <w:tcW w:w="476" w:type="pct"/>
            <w:vAlign w:val="center"/>
          </w:tcPr>
          <w:p w14:paraId="017E67CE"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8,6</w:t>
            </w:r>
          </w:p>
        </w:tc>
        <w:tc>
          <w:tcPr>
            <w:tcW w:w="474" w:type="pct"/>
            <w:vAlign w:val="center"/>
          </w:tcPr>
          <w:p w14:paraId="69610C38"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3,9</w:t>
            </w:r>
          </w:p>
        </w:tc>
        <w:tc>
          <w:tcPr>
            <w:tcW w:w="468" w:type="pct"/>
            <w:vAlign w:val="center"/>
          </w:tcPr>
          <w:p w14:paraId="4B1EBE00"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5,8</w:t>
            </w:r>
          </w:p>
        </w:tc>
        <w:tc>
          <w:tcPr>
            <w:tcW w:w="459" w:type="pct"/>
            <w:vAlign w:val="center"/>
          </w:tcPr>
          <w:p w14:paraId="756BDC64"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0,9</w:t>
            </w:r>
          </w:p>
        </w:tc>
      </w:tr>
      <w:tr w:rsidR="00A41B49" w:rsidRPr="00A41B49" w14:paraId="4306B7A1" w14:textId="77777777" w:rsidTr="00CE06C3">
        <w:trPr>
          <w:jc w:val="center"/>
        </w:trPr>
        <w:tc>
          <w:tcPr>
            <w:tcW w:w="1035" w:type="pct"/>
            <w:vAlign w:val="center"/>
          </w:tcPr>
          <w:p w14:paraId="0F8B00B7"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Донецька</w:t>
            </w:r>
          </w:p>
        </w:tc>
        <w:tc>
          <w:tcPr>
            <w:tcW w:w="379" w:type="pct"/>
            <w:vAlign w:val="center"/>
          </w:tcPr>
          <w:p w14:paraId="62A72978"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4,7</w:t>
            </w:r>
          </w:p>
        </w:tc>
        <w:tc>
          <w:tcPr>
            <w:tcW w:w="379" w:type="pct"/>
            <w:vAlign w:val="center"/>
          </w:tcPr>
          <w:p w14:paraId="41EEDB40"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4,6</w:t>
            </w:r>
          </w:p>
        </w:tc>
        <w:tc>
          <w:tcPr>
            <w:tcW w:w="380" w:type="pct"/>
            <w:vAlign w:val="center"/>
          </w:tcPr>
          <w:p w14:paraId="035E0D5B"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4,8</w:t>
            </w:r>
          </w:p>
        </w:tc>
        <w:tc>
          <w:tcPr>
            <w:tcW w:w="475" w:type="pct"/>
            <w:vAlign w:val="center"/>
          </w:tcPr>
          <w:p w14:paraId="4A330D23"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75" w:type="pct"/>
            <w:vAlign w:val="center"/>
          </w:tcPr>
          <w:p w14:paraId="238BD095"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76" w:type="pct"/>
            <w:vAlign w:val="center"/>
          </w:tcPr>
          <w:p w14:paraId="45CDA7F0"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74" w:type="pct"/>
            <w:vAlign w:val="center"/>
          </w:tcPr>
          <w:p w14:paraId="7DB08AC9"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68" w:type="pct"/>
            <w:vAlign w:val="center"/>
          </w:tcPr>
          <w:p w14:paraId="78C930BC"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59" w:type="pct"/>
            <w:vAlign w:val="center"/>
          </w:tcPr>
          <w:p w14:paraId="595F95E7"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r>
      <w:tr w:rsidR="00A41B49" w:rsidRPr="00A41B49" w14:paraId="530FF1E7" w14:textId="77777777" w:rsidTr="00CE06C3">
        <w:trPr>
          <w:jc w:val="center"/>
        </w:trPr>
        <w:tc>
          <w:tcPr>
            <w:tcW w:w="1035" w:type="pct"/>
            <w:vAlign w:val="center"/>
          </w:tcPr>
          <w:p w14:paraId="73BF66DD"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Житомирська</w:t>
            </w:r>
          </w:p>
        </w:tc>
        <w:tc>
          <w:tcPr>
            <w:tcW w:w="379" w:type="pct"/>
            <w:vAlign w:val="center"/>
          </w:tcPr>
          <w:p w14:paraId="10DA2227"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1,3</w:t>
            </w:r>
          </w:p>
        </w:tc>
        <w:tc>
          <w:tcPr>
            <w:tcW w:w="379" w:type="pct"/>
            <w:vAlign w:val="center"/>
          </w:tcPr>
          <w:p w14:paraId="1B5CDB02"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0,9</w:t>
            </w:r>
          </w:p>
        </w:tc>
        <w:tc>
          <w:tcPr>
            <w:tcW w:w="380" w:type="pct"/>
            <w:vAlign w:val="center"/>
          </w:tcPr>
          <w:p w14:paraId="544A8EFA"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2,6</w:t>
            </w:r>
          </w:p>
        </w:tc>
        <w:tc>
          <w:tcPr>
            <w:tcW w:w="475" w:type="pct"/>
            <w:vAlign w:val="center"/>
          </w:tcPr>
          <w:p w14:paraId="4B5BEFF3"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1,3</w:t>
            </w:r>
          </w:p>
        </w:tc>
        <w:tc>
          <w:tcPr>
            <w:tcW w:w="475" w:type="pct"/>
            <w:vAlign w:val="center"/>
          </w:tcPr>
          <w:p w14:paraId="21112308"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0,8</w:t>
            </w:r>
          </w:p>
        </w:tc>
        <w:tc>
          <w:tcPr>
            <w:tcW w:w="476" w:type="pct"/>
            <w:vAlign w:val="center"/>
          </w:tcPr>
          <w:p w14:paraId="2979B702"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2,4</w:t>
            </w:r>
          </w:p>
        </w:tc>
        <w:tc>
          <w:tcPr>
            <w:tcW w:w="474" w:type="pct"/>
            <w:vAlign w:val="center"/>
          </w:tcPr>
          <w:p w14:paraId="3D6E9E0B"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0,0</w:t>
            </w:r>
          </w:p>
        </w:tc>
        <w:tc>
          <w:tcPr>
            <w:tcW w:w="468" w:type="pct"/>
            <w:vAlign w:val="center"/>
          </w:tcPr>
          <w:p w14:paraId="57B1EF6D"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0,0</w:t>
            </w:r>
          </w:p>
        </w:tc>
        <w:tc>
          <w:tcPr>
            <w:tcW w:w="459" w:type="pct"/>
            <w:vAlign w:val="center"/>
          </w:tcPr>
          <w:p w14:paraId="603B03DC"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-0,2</w:t>
            </w:r>
          </w:p>
        </w:tc>
      </w:tr>
      <w:tr w:rsidR="00A41B49" w:rsidRPr="00A41B49" w14:paraId="76C3C164" w14:textId="77777777" w:rsidTr="00CE06C3">
        <w:trPr>
          <w:jc w:val="center"/>
        </w:trPr>
        <w:tc>
          <w:tcPr>
            <w:tcW w:w="1035" w:type="pct"/>
            <w:vAlign w:val="center"/>
          </w:tcPr>
          <w:p w14:paraId="25C002BC"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Закарпатська</w:t>
            </w:r>
          </w:p>
        </w:tc>
        <w:tc>
          <w:tcPr>
            <w:tcW w:w="379" w:type="pct"/>
            <w:vAlign w:val="center"/>
          </w:tcPr>
          <w:p w14:paraId="5235BBA4"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0,8</w:t>
            </w:r>
          </w:p>
        </w:tc>
        <w:tc>
          <w:tcPr>
            <w:tcW w:w="379" w:type="pct"/>
            <w:vAlign w:val="center"/>
          </w:tcPr>
          <w:p w14:paraId="726C5825"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0,6</w:t>
            </w:r>
          </w:p>
        </w:tc>
        <w:tc>
          <w:tcPr>
            <w:tcW w:w="380" w:type="pct"/>
            <w:vAlign w:val="center"/>
          </w:tcPr>
          <w:p w14:paraId="417E6DEA"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1,1</w:t>
            </w:r>
          </w:p>
        </w:tc>
        <w:tc>
          <w:tcPr>
            <w:tcW w:w="475" w:type="pct"/>
            <w:vAlign w:val="center"/>
          </w:tcPr>
          <w:p w14:paraId="2A4B8832"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1,2</w:t>
            </w:r>
          </w:p>
        </w:tc>
        <w:tc>
          <w:tcPr>
            <w:tcW w:w="475" w:type="pct"/>
            <w:vAlign w:val="center"/>
          </w:tcPr>
          <w:p w14:paraId="2EB4A601"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1,2</w:t>
            </w:r>
          </w:p>
        </w:tc>
        <w:tc>
          <w:tcPr>
            <w:tcW w:w="476" w:type="pct"/>
            <w:vAlign w:val="center"/>
          </w:tcPr>
          <w:p w14:paraId="635144E9"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1,1</w:t>
            </w:r>
          </w:p>
        </w:tc>
        <w:tc>
          <w:tcPr>
            <w:tcW w:w="474" w:type="pct"/>
            <w:vAlign w:val="center"/>
          </w:tcPr>
          <w:p w14:paraId="3FCD8299"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0,4</w:t>
            </w:r>
          </w:p>
        </w:tc>
        <w:tc>
          <w:tcPr>
            <w:tcW w:w="468" w:type="pct"/>
            <w:vAlign w:val="center"/>
          </w:tcPr>
          <w:p w14:paraId="4A180D42"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0,5</w:t>
            </w:r>
          </w:p>
        </w:tc>
        <w:tc>
          <w:tcPr>
            <w:tcW w:w="459" w:type="pct"/>
            <w:vAlign w:val="center"/>
          </w:tcPr>
          <w:p w14:paraId="17C1897A"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-0,1</w:t>
            </w:r>
          </w:p>
        </w:tc>
      </w:tr>
    </w:tbl>
    <w:p w14:paraId="4EDF22BF" w14:textId="77777777" w:rsidR="00CE06C3" w:rsidRPr="00A41B49" w:rsidRDefault="00CE06C3" w:rsidP="00CE06C3">
      <w:pPr>
        <w:spacing w:after="0" w:line="240" w:lineRule="auto"/>
        <w:rPr>
          <w:rFonts w:ascii="Times New Roman" w:hAnsi="Times New Roman" w:cs="Times New Roman"/>
          <w:sz w:val="28"/>
          <w:szCs w:val="28"/>
          <w:lang w:val="uk-UA"/>
        </w:rPr>
      </w:pPr>
      <w:r w:rsidRPr="00A41B49">
        <w:rPr>
          <w:rFonts w:ascii="Times New Roman" w:hAnsi="Times New Roman" w:cs="Times New Roman"/>
          <w:sz w:val="28"/>
          <w:szCs w:val="28"/>
          <w:lang w:val="uk-UA"/>
        </w:rPr>
        <w:lastRenderedPageBreak/>
        <w:t>Продовження таблиці 3.3</w:t>
      </w:r>
    </w:p>
    <w:tbl>
      <w:tblPr>
        <w:tblStyle w:val="a3"/>
        <w:tblW w:w="0" w:type="auto"/>
        <w:jc w:val="center"/>
        <w:tblLook w:val="04A0" w:firstRow="1" w:lastRow="0" w:firstColumn="1" w:lastColumn="0" w:noHBand="0" w:noVBand="1"/>
      </w:tblPr>
      <w:tblGrid>
        <w:gridCol w:w="1981"/>
        <w:gridCol w:w="726"/>
        <w:gridCol w:w="726"/>
        <w:gridCol w:w="727"/>
        <w:gridCol w:w="910"/>
        <w:gridCol w:w="910"/>
        <w:gridCol w:w="911"/>
        <w:gridCol w:w="907"/>
        <w:gridCol w:w="895"/>
        <w:gridCol w:w="878"/>
      </w:tblGrid>
      <w:tr w:rsidR="00A41B49" w:rsidRPr="00A41B49" w14:paraId="70FF9F0E" w14:textId="77777777" w:rsidTr="00CE06C3">
        <w:trPr>
          <w:jc w:val="center"/>
        </w:trPr>
        <w:tc>
          <w:tcPr>
            <w:tcW w:w="1981" w:type="dxa"/>
            <w:vAlign w:val="center"/>
          </w:tcPr>
          <w:p w14:paraId="6144D852" w14:textId="77777777" w:rsidR="00CE06C3" w:rsidRPr="00A41B49" w:rsidRDefault="00CE06C3" w:rsidP="003E0B06">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1</w:t>
            </w:r>
          </w:p>
        </w:tc>
        <w:tc>
          <w:tcPr>
            <w:tcW w:w="726" w:type="dxa"/>
            <w:vAlign w:val="center"/>
          </w:tcPr>
          <w:p w14:paraId="292BA0F3" w14:textId="77777777" w:rsidR="00CE06C3" w:rsidRPr="00A41B49" w:rsidRDefault="00CE06C3" w:rsidP="003E0B06">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2</w:t>
            </w:r>
          </w:p>
        </w:tc>
        <w:tc>
          <w:tcPr>
            <w:tcW w:w="726" w:type="dxa"/>
            <w:vAlign w:val="center"/>
          </w:tcPr>
          <w:p w14:paraId="09CA57FB" w14:textId="77777777" w:rsidR="00CE06C3" w:rsidRPr="00A41B49" w:rsidRDefault="00CE06C3" w:rsidP="003E0B06">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3</w:t>
            </w:r>
          </w:p>
        </w:tc>
        <w:tc>
          <w:tcPr>
            <w:tcW w:w="726" w:type="dxa"/>
            <w:vAlign w:val="center"/>
          </w:tcPr>
          <w:p w14:paraId="329DF986" w14:textId="77777777" w:rsidR="00CE06C3" w:rsidRPr="00A41B49" w:rsidRDefault="00CE06C3" w:rsidP="003E0B06">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4</w:t>
            </w:r>
          </w:p>
        </w:tc>
        <w:tc>
          <w:tcPr>
            <w:tcW w:w="910" w:type="dxa"/>
            <w:vAlign w:val="center"/>
          </w:tcPr>
          <w:p w14:paraId="717A4C23" w14:textId="77777777" w:rsidR="00CE06C3" w:rsidRPr="00A41B49" w:rsidRDefault="00CE06C3" w:rsidP="003E0B06">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5</w:t>
            </w:r>
          </w:p>
        </w:tc>
        <w:tc>
          <w:tcPr>
            <w:tcW w:w="910" w:type="dxa"/>
            <w:vAlign w:val="center"/>
          </w:tcPr>
          <w:p w14:paraId="7BC7DF56" w14:textId="77777777" w:rsidR="00CE06C3" w:rsidRPr="00A41B49" w:rsidRDefault="00CE06C3" w:rsidP="003E0B06">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6</w:t>
            </w:r>
          </w:p>
        </w:tc>
        <w:tc>
          <w:tcPr>
            <w:tcW w:w="910" w:type="dxa"/>
            <w:vAlign w:val="center"/>
          </w:tcPr>
          <w:p w14:paraId="3DCFD390" w14:textId="77777777" w:rsidR="00CE06C3" w:rsidRPr="00A41B49" w:rsidRDefault="00CE06C3" w:rsidP="003E0B06">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7</w:t>
            </w:r>
          </w:p>
        </w:tc>
        <w:tc>
          <w:tcPr>
            <w:tcW w:w="908" w:type="dxa"/>
            <w:vAlign w:val="center"/>
          </w:tcPr>
          <w:p w14:paraId="68F415C0" w14:textId="77777777" w:rsidR="00CE06C3" w:rsidRPr="00A41B49" w:rsidRDefault="00CE06C3" w:rsidP="003E0B06">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8</w:t>
            </w:r>
          </w:p>
        </w:tc>
        <w:tc>
          <w:tcPr>
            <w:tcW w:w="896" w:type="dxa"/>
            <w:vAlign w:val="center"/>
          </w:tcPr>
          <w:p w14:paraId="76F349CD" w14:textId="77777777" w:rsidR="00CE06C3" w:rsidRPr="00A41B49" w:rsidRDefault="00CE06C3" w:rsidP="003E0B06">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9</w:t>
            </w:r>
          </w:p>
        </w:tc>
        <w:tc>
          <w:tcPr>
            <w:tcW w:w="878" w:type="dxa"/>
            <w:vAlign w:val="center"/>
          </w:tcPr>
          <w:p w14:paraId="6E63429E" w14:textId="77777777" w:rsidR="00CE06C3" w:rsidRPr="00A41B49" w:rsidRDefault="00CE06C3" w:rsidP="003E0B06">
            <w:pPr>
              <w:jc w:val="center"/>
              <w:rPr>
                <w:rFonts w:ascii="Times New Roman" w:hAnsi="Times New Roman" w:cs="Times New Roman"/>
                <w:i/>
                <w:spacing w:val="-6"/>
                <w:sz w:val="24"/>
                <w:szCs w:val="24"/>
                <w:lang w:val="uk-UA"/>
              </w:rPr>
            </w:pPr>
            <w:r w:rsidRPr="00A41B49">
              <w:rPr>
                <w:rFonts w:ascii="Times New Roman" w:hAnsi="Times New Roman" w:cs="Times New Roman"/>
                <w:i/>
                <w:spacing w:val="-6"/>
                <w:sz w:val="24"/>
                <w:szCs w:val="24"/>
                <w:lang w:val="uk-UA"/>
              </w:rPr>
              <w:t>10</w:t>
            </w:r>
          </w:p>
        </w:tc>
      </w:tr>
      <w:tr w:rsidR="00A41B49" w:rsidRPr="00A41B49" w14:paraId="39A9CFBC" w14:textId="77777777" w:rsidTr="00CE06C3">
        <w:trPr>
          <w:jc w:val="center"/>
        </w:trPr>
        <w:tc>
          <w:tcPr>
            <w:tcW w:w="1982" w:type="dxa"/>
            <w:vAlign w:val="center"/>
          </w:tcPr>
          <w:p w14:paraId="1985DF70"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Запорізька</w:t>
            </w:r>
          </w:p>
        </w:tc>
        <w:tc>
          <w:tcPr>
            <w:tcW w:w="726" w:type="dxa"/>
            <w:vAlign w:val="center"/>
          </w:tcPr>
          <w:p w14:paraId="3FD98F33"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3,0</w:t>
            </w:r>
          </w:p>
        </w:tc>
        <w:tc>
          <w:tcPr>
            <w:tcW w:w="725" w:type="dxa"/>
            <w:vAlign w:val="center"/>
          </w:tcPr>
          <w:p w14:paraId="18576442"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3,8</w:t>
            </w:r>
          </w:p>
        </w:tc>
        <w:tc>
          <w:tcPr>
            <w:tcW w:w="727" w:type="dxa"/>
            <w:vAlign w:val="center"/>
          </w:tcPr>
          <w:p w14:paraId="6BADEB73"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0,9</w:t>
            </w:r>
          </w:p>
        </w:tc>
        <w:tc>
          <w:tcPr>
            <w:tcW w:w="909" w:type="dxa"/>
            <w:vAlign w:val="center"/>
          </w:tcPr>
          <w:p w14:paraId="0A2E92D1"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3,3</w:t>
            </w:r>
          </w:p>
        </w:tc>
        <w:tc>
          <w:tcPr>
            <w:tcW w:w="909" w:type="dxa"/>
            <w:vAlign w:val="center"/>
          </w:tcPr>
          <w:p w14:paraId="37C30F1A"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4,0</w:t>
            </w:r>
          </w:p>
        </w:tc>
        <w:tc>
          <w:tcPr>
            <w:tcW w:w="911" w:type="dxa"/>
            <w:vAlign w:val="center"/>
          </w:tcPr>
          <w:p w14:paraId="5127349B"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2,0</w:t>
            </w:r>
          </w:p>
        </w:tc>
        <w:tc>
          <w:tcPr>
            <w:tcW w:w="907" w:type="dxa"/>
            <w:vAlign w:val="center"/>
          </w:tcPr>
          <w:p w14:paraId="681A082E"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0,3</w:t>
            </w:r>
          </w:p>
        </w:tc>
        <w:tc>
          <w:tcPr>
            <w:tcW w:w="896" w:type="dxa"/>
            <w:vAlign w:val="center"/>
          </w:tcPr>
          <w:p w14:paraId="49B8BFCD"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0,2</w:t>
            </w:r>
          </w:p>
        </w:tc>
        <w:tc>
          <w:tcPr>
            <w:tcW w:w="879" w:type="dxa"/>
            <w:vAlign w:val="center"/>
          </w:tcPr>
          <w:p w14:paraId="4FA2F550"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1,1</w:t>
            </w:r>
          </w:p>
        </w:tc>
      </w:tr>
      <w:tr w:rsidR="00A41B49" w:rsidRPr="00A41B49" w14:paraId="4D62B0F0" w14:textId="77777777" w:rsidTr="00CE06C3">
        <w:trPr>
          <w:jc w:val="center"/>
        </w:trPr>
        <w:tc>
          <w:tcPr>
            <w:tcW w:w="1982" w:type="dxa"/>
            <w:vAlign w:val="center"/>
          </w:tcPr>
          <w:p w14:paraId="429338B0"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Івано-Франківська</w:t>
            </w:r>
          </w:p>
        </w:tc>
        <w:tc>
          <w:tcPr>
            <w:tcW w:w="726" w:type="dxa"/>
            <w:vAlign w:val="center"/>
          </w:tcPr>
          <w:p w14:paraId="24F2862A"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1,3</w:t>
            </w:r>
          </w:p>
        </w:tc>
        <w:tc>
          <w:tcPr>
            <w:tcW w:w="725" w:type="dxa"/>
            <w:vAlign w:val="center"/>
          </w:tcPr>
          <w:p w14:paraId="0711C504"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1,5</w:t>
            </w:r>
          </w:p>
        </w:tc>
        <w:tc>
          <w:tcPr>
            <w:tcW w:w="727" w:type="dxa"/>
            <w:vAlign w:val="center"/>
          </w:tcPr>
          <w:p w14:paraId="4FBFD011"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0,9</w:t>
            </w:r>
          </w:p>
        </w:tc>
        <w:tc>
          <w:tcPr>
            <w:tcW w:w="909" w:type="dxa"/>
            <w:vAlign w:val="center"/>
          </w:tcPr>
          <w:p w14:paraId="0C9DFD10"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2,6</w:t>
            </w:r>
          </w:p>
        </w:tc>
        <w:tc>
          <w:tcPr>
            <w:tcW w:w="909" w:type="dxa"/>
            <w:vAlign w:val="center"/>
          </w:tcPr>
          <w:p w14:paraId="2401FCF8"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1,2</w:t>
            </w:r>
          </w:p>
        </w:tc>
        <w:tc>
          <w:tcPr>
            <w:tcW w:w="911" w:type="dxa"/>
            <w:vAlign w:val="center"/>
          </w:tcPr>
          <w:p w14:paraId="7B528BBC"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5,3</w:t>
            </w:r>
          </w:p>
        </w:tc>
        <w:tc>
          <w:tcPr>
            <w:tcW w:w="907" w:type="dxa"/>
            <w:vAlign w:val="center"/>
          </w:tcPr>
          <w:p w14:paraId="28C79CBD"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1,3</w:t>
            </w:r>
          </w:p>
        </w:tc>
        <w:tc>
          <w:tcPr>
            <w:tcW w:w="896" w:type="dxa"/>
            <w:vAlign w:val="center"/>
          </w:tcPr>
          <w:p w14:paraId="0CD4D8CD"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-0,2</w:t>
            </w:r>
          </w:p>
        </w:tc>
        <w:tc>
          <w:tcPr>
            <w:tcW w:w="879" w:type="dxa"/>
            <w:vAlign w:val="center"/>
          </w:tcPr>
          <w:p w14:paraId="5C8DF7A7"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4,4</w:t>
            </w:r>
          </w:p>
        </w:tc>
      </w:tr>
      <w:tr w:rsidR="00A41B49" w:rsidRPr="00A41B49" w14:paraId="76FE5A20" w14:textId="77777777" w:rsidTr="00CE06C3">
        <w:trPr>
          <w:jc w:val="center"/>
        </w:trPr>
        <w:tc>
          <w:tcPr>
            <w:tcW w:w="1982" w:type="dxa"/>
            <w:vAlign w:val="center"/>
          </w:tcPr>
          <w:p w14:paraId="5E2AB6E9"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Київська</w:t>
            </w:r>
          </w:p>
        </w:tc>
        <w:tc>
          <w:tcPr>
            <w:tcW w:w="726" w:type="dxa"/>
            <w:vAlign w:val="center"/>
          </w:tcPr>
          <w:p w14:paraId="27B7ECAD"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4,2</w:t>
            </w:r>
          </w:p>
        </w:tc>
        <w:tc>
          <w:tcPr>
            <w:tcW w:w="725" w:type="dxa"/>
            <w:vAlign w:val="center"/>
          </w:tcPr>
          <w:p w14:paraId="55FF6F21"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3,5</w:t>
            </w:r>
          </w:p>
        </w:tc>
        <w:tc>
          <w:tcPr>
            <w:tcW w:w="727" w:type="dxa"/>
            <w:vAlign w:val="center"/>
          </w:tcPr>
          <w:p w14:paraId="43572D5D"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6,0</w:t>
            </w:r>
          </w:p>
        </w:tc>
        <w:tc>
          <w:tcPr>
            <w:tcW w:w="909" w:type="dxa"/>
            <w:vAlign w:val="center"/>
          </w:tcPr>
          <w:p w14:paraId="0274239A"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4,5</w:t>
            </w:r>
          </w:p>
        </w:tc>
        <w:tc>
          <w:tcPr>
            <w:tcW w:w="909" w:type="dxa"/>
            <w:vAlign w:val="center"/>
          </w:tcPr>
          <w:p w14:paraId="3C86841E"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4,3</w:t>
            </w:r>
          </w:p>
        </w:tc>
        <w:tc>
          <w:tcPr>
            <w:tcW w:w="911" w:type="dxa"/>
            <w:vAlign w:val="center"/>
          </w:tcPr>
          <w:p w14:paraId="0F873D15"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4,9</w:t>
            </w:r>
          </w:p>
        </w:tc>
        <w:tc>
          <w:tcPr>
            <w:tcW w:w="907" w:type="dxa"/>
            <w:vAlign w:val="center"/>
          </w:tcPr>
          <w:p w14:paraId="523F125D"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0,3</w:t>
            </w:r>
          </w:p>
        </w:tc>
        <w:tc>
          <w:tcPr>
            <w:tcW w:w="896" w:type="dxa"/>
            <w:vAlign w:val="center"/>
          </w:tcPr>
          <w:p w14:paraId="58B05B6A"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0,8</w:t>
            </w:r>
          </w:p>
        </w:tc>
        <w:tc>
          <w:tcPr>
            <w:tcW w:w="879" w:type="dxa"/>
            <w:vAlign w:val="center"/>
          </w:tcPr>
          <w:p w14:paraId="00AFE55A"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-1,2</w:t>
            </w:r>
          </w:p>
        </w:tc>
      </w:tr>
      <w:tr w:rsidR="00A41B49" w:rsidRPr="00A41B49" w14:paraId="4578DF78" w14:textId="77777777" w:rsidTr="00CE06C3">
        <w:trPr>
          <w:jc w:val="center"/>
        </w:trPr>
        <w:tc>
          <w:tcPr>
            <w:tcW w:w="1982" w:type="dxa"/>
            <w:vAlign w:val="center"/>
          </w:tcPr>
          <w:p w14:paraId="16D472D1"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Кіровоградська</w:t>
            </w:r>
          </w:p>
        </w:tc>
        <w:tc>
          <w:tcPr>
            <w:tcW w:w="726" w:type="dxa"/>
            <w:vAlign w:val="center"/>
          </w:tcPr>
          <w:p w14:paraId="6F457E3C"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0,4</w:t>
            </w:r>
          </w:p>
        </w:tc>
        <w:tc>
          <w:tcPr>
            <w:tcW w:w="725" w:type="dxa"/>
            <w:vAlign w:val="center"/>
          </w:tcPr>
          <w:p w14:paraId="5808BA7B"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0,5</w:t>
            </w:r>
          </w:p>
        </w:tc>
        <w:tc>
          <w:tcPr>
            <w:tcW w:w="727" w:type="dxa"/>
            <w:vAlign w:val="center"/>
          </w:tcPr>
          <w:p w14:paraId="61E6F618"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0,1</w:t>
            </w:r>
          </w:p>
        </w:tc>
        <w:tc>
          <w:tcPr>
            <w:tcW w:w="909" w:type="dxa"/>
            <w:vAlign w:val="center"/>
          </w:tcPr>
          <w:p w14:paraId="747BE8C2"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0,4</w:t>
            </w:r>
          </w:p>
        </w:tc>
        <w:tc>
          <w:tcPr>
            <w:tcW w:w="909" w:type="dxa"/>
            <w:vAlign w:val="center"/>
          </w:tcPr>
          <w:p w14:paraId="509D45D9"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0,5</w:t>
            </w:r>
          </w:p>
        </w:tc>
        <w:tc>
          <w:tcPr>
            <w:tcW w:w="911" w:type="dxa"/>
            <w:vAlign w:val="center"/>
          </w:tcPr>
          <w:p w14:paraId="3C8D7AE9"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0,2</w:t>
            </w:r>
          </w:p>
        </w:tc>
        <w:tc>
          <w:tcPr>
            <w:tcW w:w="907" w:type="dxa"/>
            <w:vAlign w:val="center"/>
          </w:tcPr>
          <w:p w14:paraId="1AB117C3"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0,0</w:t>
            </w:r>
          </w:p>
        </w:tc>
        <w:tc>
          <w:tcPr>
            <w:tcW w:w="896" w:type="dxa"/>
            <w:vAlign w:val="center"/>
          </w:tcPr>
          <w:p w14:paraId="16E94286"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0,1</w:t>
            </w:r>
          </w:p>
        </w:tc>
        <w:tc>
          <w:tcPr>
            <w:tcW w:w="879" w:type="dxa"/>
            <w:vAlign w:val="center"/>
          </w:tcPr>
          <w:p w14:paraId="0DA9C861"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0,1</w:t>
            </w:r>
          </w:p>
        </w:tc>
      </w:tr>
      <w:tr w:rsidR="00A41B49" w:rsidRPr="00A41B49" w14:paraId="6F90B47B" w14:textId="77777777" w:rsidTr="00CE06C3">
        <w:trPr>
          <w:jc w:val="center"/>
        </w:trPr>
        <w:tc>
          <w:tcPr>
            <w:tcW w:w="1982" w:type="dxa"/>
            <w:vAlign w:val="center"/>
          </w:tcPr>
          <w:p w14:paraId="4921DB34"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Луганська</w:t>
            </w:r>
          </w:p>
        </w:tc>
        <w:tc>
          <w:tcPr>
            <w:tcW w:w="726" w:type="dxa"/>
            <w:vAlign w:val="center"/>
          </w:tcPr>
          <w:p w14:paraId="32E34736"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0,7</w:t>
            </w:r>
          </w:p>
        </w:tc>
        <w:tc>
          <w:tcPr>
            <w:tcW w:w="725" w:type="dxa"/>
            <w:vAlign w:val="center"/>
          </w:tcPr>
          <w:p w14:paraId="542FBCFB"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0,4</w:t>
            </w:r>
          </w:p>
        </w:tc>
        <w:tc>
          <w:tcPr>
            <w:tcW w:w="727" w:type="dxa"/>
            <w:vAlign w:val="center"/>
          </w:tcPr>
          <w:p w14:paraId="4671C545"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1,6</w:t>
            </w:r>
          </w:p>
        </w:tc>
        <w:tc>
          <w:tcPr>
            <w:tcW w:w="909" w:type="dxa"/>
            <w:vAlign w:val="center"/>
          </w:tcPr>
          <w:p w14:paraId="15A9CAFA"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09" w:type="dxa"/>
            <w:vAlign w:val="center"/>
          </w:tcPr>
          <w:p w14:paraId="2DDC834E"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11" w:type="dxa"/>
            <w:vAlign w:val="center"/>
          </w:tcPr>
          <w:p w14:paraId="7FA620CC"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07" w:type="dxa"/>
            <w:vAlign w:val="center"/>
          </w:tcPr>
          <w:p w14:paraId="23452DAB"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896" w:type="dxa"/>
            <w:vAlign w:val="center"/>
          </w:tcPr>
          <w:p w14:paraId="2FF5C0D4"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879" w:type="dxa"/>
            <w:vAlign w:val="center"/>
          </w:tcPr>
          <w:p w14:paraId="01F35857"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r>
      <w:tr w:rsidR="00A41B49" w:rsidRPr="00A41B49" w14:paraId="55A3CD44" w14:textId="77777777" w:rsidTr="00CE06C3">
        <w:trPr>
          <w:jc w:val="center"/>
        </w:trPr>
        <w:tc>
          <w:tcPr>
            <w:tcW w:w="1982" w:type="dxa"/>
            <w:vAlign w:val="center"/>
          </w:tcPr>
          <w:p w14:paraId="1D68B957"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Львівська</w:t>
            </w:r>
          </w:p>
        </w:tc>
        <w:tc>
          <w:tcPr>
            <w:tcW w:w="726" w:type="dxa"/>
            <w:vAlign w:val="center"/>
          </w:tcPr>
          <w:p w14:paraId="559B0350"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3,9</w:t>
            </w:r>
          </w:p>
        </w:tc>
        <w:tc>
          <w:tcPr>
            <w:tcW w:w="725" w:type="dxa"/>
            <w:vAlign w:val="center"/>
          </w:tcPr>
          <w:p w14:paraId="36DB038F"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4,3</w:t>
            </w:r>
          </w:p>
        </w:tc>
        <w:tc>
          <w:tcPr>
            <w:tcW w:w="727" w:type="dxa"/>
            <w:vAlign w:val="center"/>
          </w:tcPr>
          <w:p w14:paraId="0B244338"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3,1</w:t>
            </w:r>
          </w:p>
        </w:tc>
        <w:tc>
          <w:tcPr>
            <w:tcW w:w="909" w:type="dxa"/>
            <w:vAlign w:val="center"/>
          </w:tcPr>
          <w:p w14:paraId="09336CA6"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4,3</w:t>
            </w:r>
          </w:p>
        </w:tc>
        <w:tc>
          <w:tcPr>
            <w:tcW w:w="909" w:type="dxa"/>
            <w:vAlign w:val="center"/>
          </w:tcPr>
          <w:p w14:paraId="14DBE3B7"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5,0</w:t>
            </w:r>
          </w:p>
        </w:tc>
        <w:tc>
          <w:tcPr>
            <w:tcW w:w="911" w:type="dxa"/>
            <w:vAlign w:val="center"/>
          </w:tcPr>
          <w:p w14:paraId="52BB9AED"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3,0</w:t>
            </w:r>
          </w:p>
        </w:tc>
        <w:tc>
          <w:tcPr>
            <w:tcW w:w="907" w:type="dxa"/>
            <w:vAlign w:val="center"/>
          </w:tcPr>
          <w:p w14:paraId="02335FD3"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0,4</w:t>
            </w:r>
          </w:p>
        </w:tc>
        <w:tc>
          <w:tcPr>
            <w:tcW w:w="896" w:type="dxa"/>
            <w:vAlign w:val="center"/>
          </w:tcPr>
          <w:p w14:paraId="07EFE072"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0,7</w:t>
            </w:r>
          </w:p>
        </w:tc>
        <w:tc>
          <w:tcPr>
            <w:tcW w:w="879" w:type="dxa"/>
            <w:vAlign w:val="center"/>
          </w:tcPr>
          <w:p w14:paraId="18823123"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-0,1</w:t>
            </w:r>
          </w:p>
        </w:tc>
      </w:tr>
      <w:tr w:rsidR="00A41B49" w:rsidRPr="00A41B49" w14:paraId="464E7BB3" w14:textId="77777777" w:rsidTr="00CE06C3">
        <w:trPr>
          <w:jc w:val="center"/>
        </w:trPr>
        <w:tc>
          <w:tcPr>
            <w:tcW w:w="1982" w:type="dxa"/>
            <w:vAlign w:val="center"/>
          </w:tcPr>
          <w:p w14:paraId="08069830"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Миколаївська</w:t>
            </w:r>
          </w:p>
        </w:tc>
        <w:tc>
          <w:tcPr>
            <w:tcW w:w="726" w:type="dxa"/>
            <w:vAlign w:val="center"/>
          </w:tcPr>
          <w:p w14:paraId="00092995"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1,4</w:t>
            </w:r>
          </w:p>
        </w:tc>
        <w:tc>
          <w:tcPr>
            <w:tcW w:w="725" w:type="dxa"/>
            <w:vAlign w:val="center"/>
          </w:tcPr>
          <w:p w14:paraId="7A8CD8D2"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0,9</w:t>
            </w:r>
          </w:p>
        </w:tc>
        <w:tc>
          <w:tcPr>
            <w:tcW w:w="727" w:type="dxa"/>
            <w:vAlign w:val="center"/>
          </w:tcPr>
          <w:p w14:paraId="0866EA21"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2,7</w:t>
            </w:r>
          </w:p>
        </w:tc>
        <w:tc>
          <w:tcPr>
            <w:tcW w:w="909" w:type="dxa"/>
            <w:vAlign w:val="center"/>
          </w:tcPr>
          <w:p w14:paraId="6F309C39"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1,6</w:t>
            </w:r>
          </w:p>
        </w:tc>
        <w:tc>
          <w:tcPr>
            <w:tcW w:w="909" w:type="dxa"/>
            <w:vAlign w:val="center"/>
          </w:tcPr>
          <w:p w14:paraId="36E6254D"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0,7</w:t>
            </w:r>
          </w:p>
        </w:tc>
        <w:tc>
          <w:tcPr>
            <w:tcW w:w="911" w:type="dxa"/>
            <w:vAlign w:val="center"/>
          </w:tcPr>
          <w:p w14:paraId="3631D8B5"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3,5</w:t>
            </w:r>
          </w:p>
        </w:tc>
        <w:tc>
          <w:tcPr>
            <w:tcW w:w="907" w:type="dxa"/>
            <w:vAlign w:val="center"/>
          </w:tcPr>
          <w:p w14:paraId="31537A83"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0,2</w:t>
            </w:r>
          </w:p>
        </w:tc>
        <w:tc>
          <w:tcPr>
            <w:tcW w:w="896" w:type="dxa"/>
            <w:vAlign w:val="center"/>
          </w:tcPr>
          <w:p w14:paraId="6A8FB680"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-0,3</w:t>
            </w:r>
          </w:p>
        </w:tc>
        <w:tc>
          <w:tcPr>
            <w:tcW w:w="879" w:type="dxa"/>
            <w:vAlign w:val="center"/>
          </w:tcPr>
          <w:p w14:paraId="26592E35"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0,8</w:t>
            </w:r>
          </w:p>
        </w:tc>
      </w:tr>
      <w:tr w:rsidR="00A41B49" w:rsidRPr="00A41B49" w14:paraId="48B5E4FA" w14:textId="77777777" w:rsidTr="00CE06C3">
        <w:trPr>
          <w:jc w:val="center"/>
        </w:trPr>
        <w:tc>
          <w:tcPr>
            <w:tcW w:w="1982" w:type="dxa"/>
            <w:vAlign w:val="center"/>
          </w:tcPr>
          <w:p w14:paraId="4BEC50B4"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Одеська</w:t>
            </w:r>
          </w:p>
        </w:tc>
        <w:tc>
          <w:tcPr>
            <w:tcW w:w="726" w:type="dxa"/>
            <w:vAlign w:val="center"/>
          </w:tcPr>
          <w:p w14:paraId="43E0D897"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3,5</w:t>
            </w:r>
          </w:p>
        </w:tc>
        <w:tc>
          <w:tcPr>
            <w:tcW w:w="725" w:type="dxa"/>
            <w:vAlign w:val="center"/>
          </w:tcPr>
          <w:p w14:paraId="23E1F279"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3,0</w:t>
            </w:r>
          </w:p>
        </w:tc>
        <w:tc>
          <w:tcPr>
            <w:tcW w:w="727" w:type="dxa"/>
            <w:vAlign w:val="center"/>
          </w:tcPr>
          <w:p w14:paraId="2E1FC8BA"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4,8</w:t>
            </w:r>
          </w:p>
        </w:tc>
        <w:tc>
          <w:tcPr>
            <w:tcW w:w="909" w:type="dxa"/>
            <w:vAlign w:val="center"/>
          </w:tcPr>
          <w:p w14:paraId="146446F6"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2,5</w:t>
            </w:r>
          </w:p>
        </w:tc>
        <w:tc>
          <w:tcPr>
            <w:tcW w:w="909" w:type="dxa"/>
            <w:vAlign w:val="center"/>
          </w:tcPr>
          <w:p w14:paraId="66031877"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2,5</w:t>
            </w:r>
          </w:p>
        </w:tc>
        <w:tc>
          <w:tcPr>
            <w:tcW w:w="911" w:type="dxa"/>
            <w:vAlign w:val="center"/>
          </w:tcPr>
          <w:p w14:paraId="1FCE89EA"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2,5</w:t>
            </w:r>
          </w:p>
        </w:tc>
        <w:tc>
          <w:tcPr>
            <w:tcW w:w="907" w:type="dxa"/>
            <w:vAlign w:val="center"/>
          </w:tcPr>
          <w:p w14:paraId="518D9313"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-1,0</w:t>
            </w:r>
          </w:p>
        </w:tc>
        <w:tc>
          <w:tcPr>
            <w:tcW w:w="896" w:type="dxa"/>
            <w:vAlign w:val="center"/>
          </w:tcPr>
          <w:p w14:paraId="3F501B2A"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-0,5</w:t>
            </w:r>
          </w:p>
        </w:tc>
        <w:tc>
          <w:tcPr>
            <w:tcW w:w="879" w:type="dxa"/>
            <w:vAlign w:val="center"/>
          </w:tcPr>
          <w:p w14:paraId="7F2EFD3C"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-2,3</w:t>
            </w:r>
          </w:p>
        </w:tc>
      </w:tr>
      <w:tr w:rsidR="00A41B49" w:rsidRPr="00A41B49" w14:paraId="412B8FB5" w14:textId="77777777" w:rsidTr="00CE06C3">
        <w:trPr>
          <w:jc w:val="center"/>
        </w:trPr>
        <w:tc>
          <w:tcPr>
            <w:tcW w:w="1982" w:type="dxa"/>
            <w:vAlign w:val="center"/>
          </w:tcPr>
          <w:p w14:paraId="051E202B"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Полтавська</w:t>
            </w:r>
          </w:p>
        </w:tc>
        <w:tc>
          <w:tcPr>
            <w:tcW w:w="726" w:type="dxa"/>
            <w:vAlign w:val="center"/>
          </w:tcPr>
          <w:p w14:paraId="6FC4C0D3"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3,4</w:t>
            </w:r>
          </w:p>
        </w:tc>
        <w:tc>
          <w:tcPr>
            <w:tcW w:w="725" w:type="dxa"/>
            <w:vAlign w:val="center"/>
          </w:tcPr>
          <w:p w14:paraId="6A264920"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5,2</w:t>
            </w:r>
          </w:p>
        </w:tc>
        <w:tc>
          <w:tcPr>
            <w:tcW w:w="727" w:type="dxa"/>
            <w:vAlign w:val="center"/>
          </w:tcPr>
          <w:p w14:paraId="59D02ECF"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-1,2</w:t>
            </w:r>
          </w:p>
        </w:tc>
        <w:tc>
          <w:tcPr>
            <w:tcW w:w="909" w:type="dxa"/>
            <w:vAlign w:val="center"/>
          </w:tcPr>
          <w:p w14:paraId="22A0A167"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2,9</w:t>
            </w:r>
          </w:p>
        </w:tc>
        <w:tc>
          <w:tcPr>
            <w:tcW w:w="909" w:type="dxa"/>
            <w:vAlign w:val="center"/>
          </w:tcPr>
          <w:p w14:paraId="075CBCF8"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4,9</w:t>
            </w:r>
          </w:p>
        </w:tc>
        <w:tc>
          <w:tcPr>
            <w:tcW w:w="911" w:type="dxa"/>
            <w:vAlign w:val="center"/>
          </w:tcPr>
          <w:p w14:paraId="0BCA33B0"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-1,1</w:t>
            </w:r>
          </w:p>
        </w:tc>
        <w:tc>
          <w:tcPr>
            <w:tcW w:w="907" w:type="dxa"/>
            <w:vAlign w:val="center"/>
          </w:tcPr>
          <w:p w14:paraId="672DA640"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-0,5</w:t>
            </w:r>
          </w:p>
        </w:tc>
        <w:tc>
          <w:tcPr>
            <w:tcW w:w="896" w:type="dxa"/>
            <w:vAlign w:val="center"/>
          </w:tcPr>
          <w:p w14:paraId="5D4FD1BF"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-0,3</w:t>
            </w:r>
          </w:p>
        </w:tc>
        <w:tc>
          <w:tcPr>
            <w:tcW w:w="879" w:type="dxa"/>
            <w:vAlign w:val="center"/>
          </w:tcPr>
          <w:p w14:paraId="5A2E66D3"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0,1</w:t>
            </w:r>
          </w:p>
        </w:tc>
      </w:tr>
      <w:tr w:rsidR="00A41B49" w:rsidRPr="00A41B49" w14:paraId="098DFCAB" w14:textId="77777777" w:rsidTr="00CE06C3">
        <w:trPr>
          <w:jc w:val="center"/>
        </w:trPr>
        <w:tc>
          <w:tcPr>
            <w:tcW w:w="1982" w:type="dxa"/>
            <w:vAlign w:val="center"/>
          </w:tcPr>
          <w:p w14:paraId="3F34F18A"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Рівненська</w:t>
            </w:r>
          </w:p>
        </w:tc>
        <w:tc>
          <w:tcPr>
            <w:tcW w:w="726" w:type="dxa"/>
            <w:vAlign w:val="center"/>
          </w:tcPr>
          <w:p w14:paraId="6D230C5A"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0,9</w:t>
            </w:r>
          </w:p>
        </w:tc>
        <w:tc>
          <w:tcPr>
            <w:tcW w:w="725" w:type="dxa"/>
            <w:vAlign w:val="center"/>
          </w:tcPr>
          <w:p w14:paraId="749DD500"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0,7</w:t>
            </w:r>
          </w:p>
        </w:tc>
        <w:tc>
          <w:tcPr>
            <w:tcW w:w="727" w:type="dxa"/>
            <w:vAlign w:val="center"/>
          </w:tcPr>
          <w:p w14:paraId="66014806"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1,2</w:t>
            </w:r>
          </w:p>
        </w:tc>
        <w:tc>
          <w:tcPr>
            <w:tcW w:w="909" w:type="dxa"/>
            <w:vAlign w:val="center"/>
          </w:tcPr>
          <w:p w14:paraId="5A350517"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0,8</w:t>
            </w:r>
          </w:p>
        </w:tc>
        <w:tc>
          <w:tcPr>
            <w:tcW w:w="909" w:type="dxa"/>
            <w:vAlign w:val="center"/>
          </w:tcPr>
          <w:p w14:paraId="3F11274F"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0,7</w:t>
            </w:r>
          </w:p>
        </w:tc>
        <w:tc>
          <w:tcPr>
            <w:tcW w:w="911" w:type="dxa"/>
            <w:vAlign w:val="center"/>
          </w:tcPr>
          <w:p w14:paraId="101DE761"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1,0</w:t>
            </w:r>
          </w:p>
        </w:tc>
        <w:tc>
          <w:tcPr>
            <w:tcW w:w="907" w:type="dxa"/>
            <w:vAlign w:val="center"/>
          </w:tcPr>
          <w:p w14:paraId="66423A5F"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0,0</w:t>
            </w:r>
          </w:p>
        </w:tc>
        <w:tc>
          <w:tcPr>
            <w:tcW w:w="896" w:type="dxa"/>
            <w:vAlign w:val="center"/>
          </w:tcPr>
          <w:p w14:paraId="15C628F4"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0,0</w:t>
            </w:r>
          </w:p>
        </w:tc>
        <w:tc>
          <w:tcPr>
            <w:tcW w:w="879" w:type="dxa"/>
            <w:vAlign w:val="center"/>
          </w:tcPr>
          <w:p w14:paraId="6E1DD554"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-0,2</w:t>
            </w:r>
          </w:p>
        </w:tc>
      </w:tr>
      <w:tr w:rsidR="00A41B49" w:rsidRPr="00A41B49" w14:paraId="7C3945CF" w14:textId="77777777" w:rsidTr="00CE06C3">
        <w:trPr>
          <w:jc w:val="center"/>
        </w:trPr>
        <w:tc>
          <w:tcPr>
            <w:tcW w:w="1982" w:type="dxa"/>
            <w:vAlign w:val="center"/>
          </w:tcPr>
          <w:p w14:paraId="2722D70F"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Сумська</w:t>
            </w:r>
          </w:p>
        </w:tc>
        <w:tc>
          <w:tcPr>
            <w:tcW w:w="726" w:type="dxa"/>
            <w:vAlign w:val="center"/>
          </w:tcPr>
          <w:p w14:paraId="7EA110FE"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1,1</w:t>
            </w:r>
          </w:p>
        </w:tc>
        <w:tc>
          <w:tcPr>
            <w:tcW w:w="725" w:type="dxa"/>
            <w:vAlign w:val="center"/>
          </w:tcPr>
          <w:p w14:paraId="0415E979"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0,9</w:t>
            </w:r>
          </w:p>
        </w:tc>
        <w:tc>
          <w:tcPr>
            <w:tcW w:w="727" w:type="dxa"/>
            <w:vAlign w:val="center"/>
          </w:tcPr>
          <w:p w14:paraId="57AA6A8C"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1,6</w:t>
            </w:r>
          </w:p>
        </w:tc>
        <w:tc>
          <w:tcPr>
            <w:tcW w:w="909" w:type="dxa"/>
            <w:vAlign w:val="center"/>
          </w:tcPr>
          <w:p w14:paraId="3FC6616A"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1,0</w:t>
            </w:r>
          </w:p>
        </w:tc>
        <w:tc>
          <w:tcPr>
            <w:tcW w:w="909" w:type="dxa"/>
            <w:vAlign w:val="center"/>
          </w:tcPr>
          <w:p w14:paraId="3893F035"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0,9</w:t>
            </w:r>
          </w:p>
        </w:tc>
        <w:tc>
          <w:tcPr>
            <w:tcW w:w="911" w:type="dxa"/>
            <w:vAlign w:val="center"/>
          </w:tcPr>
          <w:p w14:paraId="1E72ECC9"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1,2</w:t>
            </w:r>
          </w:p>
        </w:tc>
        <w:tc>
          <w:tcPr>
            <w:tcW w:w="907" w:type="dxa"/>
            <w:vAlign w:val="center"/>
          </w:tcPr>
          <w:p w14:paraId="39F29218"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-0,1</w:t>
            </w:r>
          </w:p>
        </w:tc>
        <w:tc>
          <w:tcPr>
            <w:tcW w:w="896" w:type="dxa"/>
            <w:vAlign w:val="center"/>
          </w:tcPr>
          <w:p w14:paraId="29DB699A"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0,0</w:t>
            </w:r>
          </w:p>
        </w:tc>
        <w:tc>
          <w:tcPr>
            <w:tcW w:w="879" w:type="dxa"/>
            <w:vAlign w:val="center"/>
          </w:tcPr>
          <w:p w14:paraId="616F0C57"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-0,4</w:t>
            </w:r>
          </w:p>
        </w:tc>
      </w:tr>
      <w:tr w:rsidR="00A41B49" w:rsidRPr="00A41B49" w14:paraId="22306146" w14:textId="77777777" w:rsidTr="00CE06C3">
        <w:trPr>
          <w:jc w:val="center"/>
        </w:trPr>
        <w:tc>
          <w:tcPr>
            <w:tcW w:w="1982" w:type="dxa"/>
            <w:vAlign w:val="center"/>
          </w:tcPr>
          <w:p w14:paraId="3C381F18"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Тернопільська</w:t>
            </w:r>
          </w:p>
        </w:tc>
        <w:tc>
          <w:tcPr>
            <w:tcW w:w="726" w:type="dxa"/>
            <w:vAlign w:val="center"/>
          </w:tcPr>
          <w:p w14:paraId="500DB02A"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0,5</w:t>
            </w:r>
          </w:p>
        </w:tc>
        <w:tc>
          <w:tcPr>
            <w:tcW w:w="725" w:type="dxa"/>
            <w:vAlign w:val="center"/>
          </w:tcPr>
          <w:p w14:paraId="382C09EF"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0,1</w:t>
            </w:r>
          </w:p>
        </w:tc>
        <w:tc>
          <w:tcPr>
            <w:tcW w:w="727" w:type="dxa"/>
            <w:vAlign w:val="center"/>
          </w:tcPr>
          <w:p w14:paraId="0C85E507"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1,5</w:t>
            </w:r>
          </w:p>
        </w:tc>
        <w:tc>
          <w:tcPr>
            <w:tcW w:w="909" w:type="dxa"/>
            <w:vAlign w:val="center"/>
          </w:tcPr>
          <w:p w14:paraId="07AFF0CC"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0,8</w:t>
            </w:r>
          </w:p>
        </w:tc>
        <w:tc>
          <w:tcPr>
            <w:tcW w:w="909" w:type="dxa"/>
            <w:vAlign w:val="center"/>
          </w:tcPr>
          <w:p w14:paraId="03B57EE1"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0,2</w:t>
            </w:r>
          </w:p>
        </w:tc>
        <w:tc>
          <w:tcPr>
            <w:tcW w:w="911" w:type="dxa"/>
            <w:vAlign w:val="center"/>
          </w:tcPr>
          <w:p w14:paraId="64D13D20"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2,0</w:t>
            </w:r>
          </w:p>
        </w:tc>
        <w:tc>
          <w:tcPr>
            <w:tcW w:w="907" w:type="dxa"/>
            <w:vAlign w:val="center"/>
          </w:tcPr>
          <w:p w14:paraId="4A22E817"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0,3</w:t>
            </w:r>
          </w:p>
        </w:tc>
        <w:tc>
          <w:tcPr>
            <w:tcW w:w="896" w:type="dxa"/>
            <w:vAlign w:val="center"/>
          </w:tcPr>
          <w:p w14:paraId="382E90AC"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0,1</w:t>
            </w:r>
          </w:p>
        </w:tc>
        <w:tc>
          <w:tcPr>
            <w:tcW w:w="879" w:type="dxa"/>
            <w:vAlign w:val="center"/>
          </w:tcPr>
          <w:p w14:paraId="6D70F9E9"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0,5</w:t>
            </w:r>
          </w:p>
        </w:tc>
      </w:tr>
      <w:tr w:rsidR="00A41B49" w:rsidRPr="00A41B49" w14:paraId="4F52B3C1" w14:textId="77777777" w:rsidTr="00CE06C3">
        <w:trPr>
          <w:jc w:val="center"/>
        </w:trPr>
        <w:tc>
          <w:tcPr>
            <w:tcW w:w="1982" w:type="dxa"/>
            <w:vAlign w:val="center"/>
          </w:tcPr>
          <w:p w14:paraId="35107733"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Харківська</w:t>
            </w:r>
          </w:p>
        </w:tc>
        <w:tc>
          <w:tcPr>
            <w:tcW w:w="726" w:type="dxa"/>
            <w:vAlign w:val="center"/>
          </w:tcPr>
          <w:p w14:paraId="53B99EEA"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2,1</w:t>
            </w:r>
          </w:p>
        </w:tc>
        <w:tc>
          <w:tcPr>
            <w:tcW w:w="725" w:type="dxa"/>
            <w:vAlign w:val="center"/>
          </w:tcPr>
          <w:p w14:paraId="13126A7A"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2,4</w:t>
            </w:r>
          </w:p>
        </w:tc>
        <w:tc>
          <w:tcPr>
            <w:tcW w:w="727" w:type="dxa"/>
            <w:vAlign w:val="center"/>
          </w:tcPr>
          <w:p w14:paraId="448B7A46"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1,3</w:t>
            </w:r>
          </w:p>
        </w:tc>
        <w:tc>
          <w:tcPr>
            <w:tcW w:w="909" w:type="dxa"/>
            <w:vAlign w:val="center"/>
          </w:tcPr>
          <w:p w14:paraId="35DEB2DC"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1,9</w:t>
            </w:r>
          </w:p>
        </w:tc>
        <w:tc>
          <w:tcPr>
            <w:tcW w:w="909" w:type="dxa"/>
            <w:vAlign w:val="center"/>
          </w:tcPr>
          <w:p w14:paraId="3B807D2F"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1,9</w:t>
            </w:r>
          </w:p>
        </w:tc>
        <w:tc>
          <w:tcPr>
            <w:tcW w:w="911" w:type="dxa"/>
            <w:vAlign w:val="center"/>
          </w:tcPr>
          <w:p w14:paraId="4B4F570E"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1,9</w:t>
            </w:r>
          </w:p>
        </w:tc>
        <w:tc>
          <w:tcPr>
            <w:tcW w:w="907" w:type="dxa"/>
            <w:vAlign w:val="center"/>
          </w:tcPr>
          <w:p w14:paraId="3DCB8BE7"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-0,2</w:t>
            </w:r>
          </w:p>
        </w:tc>
        <w:tc>
          <w:tcPr>
            <w:tcW w:w="896" w:type="dxa"/>
            <w:vAlign w:val="center"/>
          </w:tcPr>
          <w:p w14:paraId="44C2F243"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-0,6</w:t>
            </w:r>
          </w:p>
        </w:tc>
        <w:tc>
          <w:tcPr>
            <w:tcW w:w="879" w:type="dxa"/>
            <w:vAlign w:val="center"/>
          </w:tcPr>
          <w:p w14:paraId="05D4C9E9"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0,6</w:t>
            </w:r>
          </w:p>
        </w:tc>
      </w:tr>
      <w:tr w:rsidR="00A41B49" w:rsidRPr="00A41B49" w14:paraId="2A4E3228" w14:textId="77777777" w:rsidTr="00CE06C3">
        <w:trPr>
          <w:jc w:val="center"/>
        </w:trPr>
        <w:tc>
          <w:tcPr>
            <w:tcW w:w="1982" w:type="dxa"/>
            <w:vAlign w:val="center"/>
          </w:tcPr>
          <w:p w14:paraId="32C6D139"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Херсонська</w:t>
            </w:r>
          </w:p>
        </w:tc>
        <w:tc>
          <w:tcPr>
            <w:tcW w:w="726" w:type="dxa"/>
            <w:vAlign w:val="center"/>
          </w:tcPr>
          <w:p w14:paraId="105556F2"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0,8</w:t>
            </w:r>
          </w:p>
        </w:tc>
        <w:tc>
          <w:tcPr>
            <w:tcW w:w="725" w:type="dxa"/>
            <w:vAlign w:val="center"/>
          </w:tcPr>
          <w:p w14:paraId="34F53039"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0,4</w:t>
            </w:r>
          </w:p>
        </w:tc>
        <w:tc>
          <w:tcPr>
            <w:tcW w:w="727" w:type="dxa"/>
            <w:vAlign w:val="center"/>
          </w:tcPr>
          <w:p w14:paraId="3D47B7ED"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1,9</w:t>
            </w:r>
          </w:p>
        </w:tc>
        <w:tc>
          <w:tcPr>
            <w:tcW w:w="909" w:type="dxa"/>
            <w:vAlign w:val="center"/>
          </w:tcPr>
          <w:p w14:paraId="0367C1F0"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09" w:type="dxa"/>
            <w:vAlign w:val="center"/>
          </w:tcPr>
          <w:p w14:paraId="3E87C890"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11" w:type="dxa"/>
            <w:vAlign w:val="center"/>
          </w:tcPr>
          <w:p w14:paraId="7A2614E0"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07" w:type="dxa"/>
            <w:vAlign w:val="center"/>
          </w:tcPr>
          <w:p w14:paraId="21FBCA0A"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896" w:type="dxa"/>
            <w:vAlign w:val="center"/>
          </w:tcPr>
          <w:p w14:paraId="5382B46D"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879" w:type="dxa"/>
            <w:vAlign w:val="center"/>
          </w:tcPr>
          <w:p w14:paraId="5850AEC9"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r>
      <w:tr w:rsidR="00A41B49" w:rsidRPr="00A41B49" w14:paraId="3A61271C" w14:textId="77777777" w:rsidTr="00CE06C3">
        <w:trPr>
          <w:jc w:val="center"/>
        </w:trPr>
        <w:tc>
          <w:tcPr>
            <w:tcW w:w="1982" w:type="dxa"/>
            <w:vAlign w:val="center"/>
          </w:tcPr>
          <w:p w14:paraId="14E6F9E8"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Хмельницька</w:t>
            </w:r>
          </w:p>
        </w:tc>
        <w:tc>
          <w:tcPr>
            <w:tcW w:w="726" w:type="dxa"/>
            <w:vAlign w:val="center"/>
          </w:tcPr>
          <w:p w14:paraId="7C0DF6CB"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1,7</w:t>
            </w:r>
          </w:p>
        </w:tc>
        <w:tc>
          <w:tcPr>
            <w:tcW w:w="725" w:type="dxa"/>
            <w:vAlign w:val="center"/>
          </w:tcPr>
          <w:p w14:paraId="3EC1CED2"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0,3</w:t>
            </w:r>
          </w:p>
        </w:tc>
        <w:tc>
          <w:tcPr>
            <w:tcW w:w="727" w:type="dxa"/>
            <w:vAlign w:val="center"/>
          </w:tcPr>
          <w:p w14:paraId="2C28188B"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5,3</w:t>
            </w:r>
          </w:p>
        </w:tc>
        <w:tc>
          <w:tcPr>
            <w:tcW w:w="909" w:type="dxa"/>
            <w:vAlign w:val="center"/>
          </w:tcPr>
          <w:p w14:paraId="19426690"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2,0</w:t>
            </w:r>
          </w:p>
        </w:tc>
        <w:tc>
          <w:tcPr>
            <w:tcW w:w="909" w:type="dxa"/>
            <w:vAlign w:val="center"/>
          </w:tcPr>
          <w:p w14:paraId="23656287"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0,8</w:t>
            </w:r>
          </w:p>
        </w:tc>
        <w:tc>
          <w:tcPr>
            <w:tcW w:w="911" w:type="dxa"/>
            <w:vAlign w:val="center"/>
          </w:tcPr>
          <w:p w14:paraId="0381A213"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4,4</w:t>
            </w:r>
          </w:p>
        </w:tc>
        <w:tc>
          <w:tcPr>
            <w:tcW w:w="907" w:type="dxa"/>
            <w:vAlign w:val="center"/>
          </w:tcPr>
          <w:p w14:paraId="1F335BE4"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0,3</w:t>
            </w:r>
          </w:p>
        </w:tc>
        <w:tc>
          <w:tcPr>
            <w:tcW w:w="896" w:type="dxa"/>
            <w:vAlign w:val="center"/>
          </w:tcPr>
          <w:p w14:paraId="1058FB05"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0,4</w:t>
            </w:r>
          </w:p>
        </w:tc>
        <w:tc>
          <w:tcPr>
            <w:tcW w:w="879" w:type="dxa"/>
            <w:vAlign w:val="center"/>
          </w:tcPr>
          <w:p w14:paraId="40A2A357"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-0,9</w:t>
            </w:r>
          </w:p>
        </w:tc>
      </w:tr>
      <w:tr w:rsidR="00A41B49" w:rsidRPr="00A41B49" w14:paraId="7F6304B8" w14:textId="77777777" w:rsidTr="00CE06C3">
        <w:trPr>
          <w:jc w:val="center"/>
        </w:trPr>
        <w:tc>
          <w:tcPr>
            <w:tcW w:w="1982" w:type="dxa"/>
            <w:vAlign w:val="center"/>
          </w:tcPr>
          <w:p w14:paraId="3C26233B"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Черкаська</w:t>
            </w:r>
          </w:p>
        </w:tc>
        <w:tc>
          <w:tcPr>
            <w:tcW w:w="726" w:type="dxa"/>
            <w:vAlign w:val="center"/>
          </w:tcPr>
          <w:p w14:paraId="1E2261E8"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0,6</w:t>
            </w:r>
          </w:p>
        </w:tc>
        <w:tc>
          <w:tcPr>
            <w:tcW w:w="725" w:type="dxa"/>
            <w:vAlign w:val="center"/>
          </w:tcPr>
          <w:p w14:paraId="2812C219"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0,6</w:t>
            </w:r>
          </w:p>
        </w:tc>
        <w:tc>
          <w:tcPr>
            <w:tcW w:w="727" w:type="dxa"/>
            <w:vAlign w:val="center"/>
          </w:tcPr>
          <w:p w14:paraId="72ACF120"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0,6</w:t>
            </w:r>
          </w:p>
        </w:tc>
        <w:tc>
          <w:tcPr>
            <w:tcW w:w="909" w:type="dxa"/>
            <w:vAlign w:val="center"/>
          </w:tcPr>
          <w:p w14:paraId="6FAB53BB"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0,9</w:t>
            </w:r>
          </w:p>
        </w:tc>
        <w:tc>
          <w:tcPr>
            <w:tcW w:w="909" w:type="dxa"/>
            <w:vAlign w:val="center"/>
          </w:tcPr>
          <w:p w14:paraId="1AB8178F"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0,9</w:t>
            </w:r>
          </w:p>
        </w:tc>
        <w:tc>
          <w:tcPr>
            <w:tcW w:w="911" w:type="dxa"/>
            <w:vAlign w:val="center"/>
          </w:tcPr>
          <w:p w14:paraId="236C8EB6"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0,9</w:t>
            </w:r>
          </w:p>
        </w:tc>
        <w:tc>
          <w:tcPr>
            <w:tcW w:w="907" w:type="dxa"/>
            <w:vAlign w:val="center"/>
          </w:tcPr>
          <w:p w14:paraId="16AB93B8"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0,3</w:t>
            </w:r>
          </w:p>
        </w:tc>
        <w:tc>
          <w:tcPr>
            <w:tcW w:w="896" w:type="dxa"/>
            <w:vAlign w:val="center"/>
          </w:tcPr>
          <w:p w14:paraId="4F4EA4C7"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0,3</w:t>
            </w:r>
          </w:p>
        </w:tc>
        <w:tc>
          <w:tcPr>
            <w:tcW w:w="879" w:type="dxa"/>
            <w:vAlign w:val="center"/>
          </w:tcPr>
          <w:p w14:paraId="17144335"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0,3</w:t>
            </w:r>
          </w:p>
        </w:tc>
      </w:tr>
      <w:tr w:rsidR="00A41B49" w:rsidRPr="00A41B49" w14:paraId="666ADD8E" w14:textId="77777777" w:rsidTr="00CE06C3">
        <w:trPr>
          <w:jc w:val="center"/>
        </w:trPr>
        <w:tc>
          <w:tcPr>
            <w:tcW w:w="1982" w:type="dxa"/>
            <w:vAlign w:val="center"/>
          </w:tcPr>
          <w:p w14:paraId="14B8F717"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Чернівецька</w:t>
            </w:r>
          </w:p>
        </w:tc>
        <w:tc>
          <w:tcPr>
            <w:tcW w:w="726" w:type="dxa"/>
            <w:vAlign w:val="center"/>
          </w:tcPr>
          <w:p w14:paraId="16EBE4BB"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0,1</w:t>
            </w:r>
          </w:p>
        </w:tc>
        <w:tc>
          <w:tcPr>
            <w:tcW w:w="725" w:type="dxa"/>
            <w:vAlign w:val="center"/>
          </w:tcPr>
          <w:p w14:paraId="72B29653"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0,1</w:t>
            </w:r>
          </w:p>
        </w:tc>
        <w:tc>
          <w:tcPr>
            <w:tcW w:w="727" w:type="dxa"/>
            <w:vAlign w:val="center"/>
          </w:tcPr>
          <w:p w14:paraId="483DD76D"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0,1</w:t>
            </w:r>
          </w:p>
        </w:tc>
        <w:tc>
          <w:tcPr>
            <w:tcW w:w="909" w:type="dxa"/>
            <w:vAlign w:val="center"/>
          </w:tcPr>
          <w:p w14:paraId="077E5262"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0,1</w:t>
            </w:r>
          </w:p>
        </w:tc>
        <w:tc>
          <w:tcPr>
            <w:tcW w:w="909" w:type="dxa"/>
            <w:vAlign w:val="center"/>
          </w:tcPr>
          <w:p w14:paraId="142B2EA7"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0,2</w:t>
            </w:r>
          </w:p>
        </w:tc>
        <w:tc>
          <w:tcPr>
            <w:tcW w:w="911" w:type="dxa"/>
            <w:vAlign w:val="center"/>
          </w:tcPr>
          <w:p w14:paraId="57A98738"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0,1</w:t>
            </w:r>
          </w:p>
        </w:tc>
        <w:tc>
          <w:tcPr>
            <w:tcW w:w="907" w:type="dxa"/>
            <w:vAlign w:val="center"/>
          </w:tcPr>
          <w:p w14:paraId="1DB56549"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0,0</w:t>
            </w:r>
          </w:p>
        </w:tc>
        <w:tc>
          <w:tcPr>
            <w:tcW w:w="896" w:type="dxa"/>
            <w:vAlign w:val="center"/>
          </w:tcPr>
          <w:p w14:paraId="52FB513F"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0,0</w:t>
            </w:r>
          </w:p>
        </w:tc>
        <w:tc>
          <w:tcPr>
            <w:tcW w:w="879" w:type="dxa"/>
            <w:vAlign w:val="center"/>
          </w:tcPr>
          <w:p w14:paraId="0E68D2C7"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0,0</w:t>
            </w:r>
          </w:p>
        </w:tc>
      </w:tr>
      <w:tr w:rsidR="00A41B49" w:rsidRPr="00A41B49" w14:paraId="41949C47" w14:textId="77777777" w:rsidTr="00CE06C3">
        <w:trPr>
          <w:jc w:val="center"/>
        </w:trPr>
        <w:tc>
          <w:tcPr>
            <w:tcW w:w="1982" w:type="dxa"/>
            <w:vAlign w:val="center"/>
          </w:tcPr>
          <w:p w14:paraId="2CC27272"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Чернігівська</w:t>
            </w:r>
          </w:p>
        </w:tc>
        <w:tc>
          <w:tcPr>
            <w:tcW w:w="726" w:type="dxa"/>
            <w:vAlign w:val="center"/>
          </w:tcPr>
          <w:p w14:paraId="3AAD3B6F"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1,0</w:t>
            </w:r>
          </w:p>
        </w:tc>
        <w:tc>
          <w:tcPr>
            <w:tcW w:w="725" w:type="dxa"/>
            <w:vAlign w:val="center"/>
          </w:tcPr>
          <w:p w14:paraId="22CDD7C2"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1,2</w:t>
            </w:r>
          </w:p>
        </w:tc>
        <w:tc>
          <w:tcPr>
            <w:tcW w:w="727" w:type="dxa"/>
            <w:vAlign w:val="center"/>
          </w:tcPr>
          <w:p w14:paraId="4DDAFD6D"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0,6</w:t>
            </w:r>
          </w:p>
        </w:tc>
        <w:tc>
          <w:tcPr>
            <w:tcW w:w="909" w:type="dxa"/>
            <w:vAlign w:val="center"/>
          </w:tcPr>
          <w:p w14:paraId="6539112B"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1,3</w:t>
            </w:r>
          </w:p>
        </w:tc>
        <w:tc>
          <w:tcPr>
            <w:tcW w:w="909" w:type="dxa"/>
            <w:vAlign w:val="center"/>
          </w:tcPr>
          <w:p w14:paraId="59547EE7"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1,7</w:t>
            </w:r>
          </w:p>
        </w:tc>
        <w:tc>
          <w:tcPr>
            <w:tcW w:w="911" w:type="dxa"/>
            <w:vAlign w:val="center"/>
          </w:tcPr>
          <w:p w14:paraId="19954D6B"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0,5</w:t>
            </w:r>
          </w:p>
        </w:tc>
        <w:tc>
          <w:tcPr>
            <w:tcW w:w="907" w:type="dxa"/>
            <w:vAlign w:val="center"/>
          </w:tcPr>
          <w:p w14:paraId="0FC7D21F"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0,2</w:t>
            </w:r>
          </w:p>
        </w:tc>
        <w:tc>
          <w:tcPr>
            <w:tcW w:w="896" w:type="dxa"/>
            <w:vAlign w:val="center"/>
          </w:tcPr>
          <w:p w14:paraId="7FD4B757"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0,5</w:t>
            </w:r>
          </w:p>
        </w:tc>
        <w:tc>
          <w:tcPr>
            <w:tcW w:w="879" w:type="dxa"/>
            <w:vAlign w:val="center"/>
          </w:tcPr>
          <w:p w14:paraId="1E8A7AC5"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-0,2</w:t>
            </w:r>
          </w:p>
        </w:tc>
      </w:tr>
      <w:tr w:rsidR="00A41B49" w:rsidRPr="00A41B49" w14:paraId="4EA781B6" w14:textId="77777777" w:rsidTr="00CE06C3">
        <w:trPr>
          <w:jc w:val="center"/>
        </w:trPr>
        <w:tc>
          <w:tcPr>
            <w:tcW w:w="1982" w:type="dxa"/>
            <w:vAlign w:val="center"/>
          </w:tcPr>
          <w:p w14:paraId="7D3C18EB"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м. Київ</w:t>
            </w:r>
          </w:p>
        </w:tc>
        <w:tc>
          <w:tcPr>
            <w:tcW w:w="726" w:type="dxa"/>
            <w:vAlign w:val="center"/>
          </w:tcPr>
          <w:p w14:paraId="0594FA5E"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43,8</w:t>
            </w:r>
          </w:p>
        </w:tc>
        <w:tc>
          <w:tcPr>
            <w:tcW w:w="725" w:type="dxa"/>
            <w:vAlign w:val="center"/>
          </w:tcPr>
          <w:p w14:paraId="3F559987"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42,3</w:t>
            </w:r>
          </w:p>
        </w:tc>
        <w:tc>
          <w:tcPr>
            <w:tcW w:w="727" w:type="dxa"/>
            <w:vAlign w:val="center"/>
          </w:tcPr>
          <w:p w14:paraId="51EF9E6B"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47,6</w:t>
            </w:r>
          </w:p>
        </w:tc>
        <w:tc>
          <w:tcPr>
            <w:tcW w:w="909" w:type="dxa"/>
            <w:vAlign w:val="center"/>
          </w:tcPr>
          <w:p w14:paraId="709D488F"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37,9</w:t>
            </w:r>
          </w:p>
        </w:tc>
        <w:tc>
          <w:tcPr>
            <w:tcW w:w="909" w:type="dxa"/>
            <w:vAlign w:val="center"/>
          </w:tcPr>
          <w:p w14:paraId="5CF5800C"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36,1</w:t>
            </w:r>
          </w:p>
        </w:tc>
        <w:tc>
          <w:tcPr>
            <w:tcW w:w="911" w:type="dxa"/>
            <w:vAlign w:val="center"/>
          </w:tcPr>
          <w:p w14:paraId="513E2DFD"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41,6</w:t>
            </w:r>
          </w:p>
        </w:tc>
        <w:tc>
          <w:tcPr>
            <w:tcW w:w="907" w:type="dxa"/>
            <w:vAlign w:val="center"/>
          </w:tcPr>
          <w:p w14:paraId="597736C0"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-5,9</w:t>
            </w:r>
          </w:p>
        </w:tc>
        <w:tc>
          <w:tcPr>
            <w:tcW w:w="896" w:type="dxa"/>
            <w:vAlign w:val="center"/>
          </w:tcPr>
          <w:p w14:paraId="4D7C368C"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-6,3</w:t>
            </w:r>
          </w:p>
        </w:tc>
        <w:tc>
          <w:tcPr>
            <w:tcW w:w="879" w:type="dxa"/>
            <w:vAlign w:val="center"/>
          </w:tcPr>
          <w:p w14:paraId="314567AF"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-6,0</w:t>
            </w:r>
          </w:p>
        </w:tc>
      </w:tr>
      <w:tr w:rsidR="00A41B49" w:rsidRPr="00A41B49" w14:paraId="7603FBB5" w14:textId="77777777" w:rsidTr="00CE06C3">
        <w:trPr>
          <w:jc w:val="center"/>
        </w:trPr>
        <w:tc>
          <w:tcPr>
            <w:tcW w:w="1982" w:type="dxa"/>
            <w:vAlign w:val="center"/>
          </w:tcPr>
          <w:p w14:paraId="0B27F47E" w14:textId="77777777" w:rsidR="005E36C3" w:rsidRPr="00A41B49" w:rsidRDefault="005E36C3" w:rsidP="00086503">
            <w:pPr>
              <w:rPr>
                <w:rFonts w:ascii="Times New Roman" w:hAnsi="Times New Roman" w:cs="Times New Roman"/>
                <w:iCs/>
                <w:spacing w:val="-6"/>
                <w:sz w:val="24"/>
                <w:szCs w:val="24"/>
                <w:lang w:val="uk-UA"/>
              </w:rPr>
            </w:pPr>
            <w:r w:rsidRPr="00A41B49">
              <w:rPr>
                <w:rFonts w:ascii="Times New Roman" w:hAnsi="Times New Roman" w:cs="Times New Roman"/>
                <w:iCs/>
                <w:spacing w:val="-6"/>
                <w:sz w:val="24"/>
                <w:szCs w:val="24"/>
                <w:lang w:val="uk-UA"/>
              </w:rPr>
              <w:t>Нерозподілено за регіонами</w:t>
            </w:r>
          </w:p>
        </w:tc>
        <w:tc>
          <w:tcPr>
            <w:tcW w:w="726" w:type="dxa"/>
            <w:vAlign w:val="center"/>
          </w:tcPr>
          <w:p w14:paraId="16DB434B"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5,5</w:t>
            </w:r>
          </w:p>
        </w:tc>
        <w:tc>
          <w:tcPr>
            <w:tcW w:w="725" w:type="dxa"/>
            <w:vAlign w:val="center"/>
          </w:tcPr>
          <w:p w14:paraId="74B14C97"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7,7</w:t>
            </w:r>
          </w:p>
        </w:tc>
        <w:tc>
          <w:tcPr>
            <w:tcW w:w="727" w:type="dxa"/>
            <w:vAlign w:val="center"/>
          </w:tcPr>
          <w:p w14:paraId="50D42D79"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0,0</w:t>
            </w:r>
          </w:p>
        </w:tc>
        <w:tc>
          <w:tcPr>
            <w:tcW w:w="909" w:type="dxa"/>
            <w:vAlign w:val="center"/>
          </w:tcPr>
          <w:p w14:paraId="76E15518"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6,0</w:t>
            </w:r>
          </w:p>
        </w:tc>
        <w:tc>
          <w:tcPr>
            <w:tcW w:w="909" w:type="dxa"/>
            <w:vAlign w:val="center"/>
          </w:tcPr>
          <w:p w14:paraId="3D8A6744"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8,9</w:t>
            </w:r>
          </w:p>
        </w:tc>
        <w:tc>
          <w:tcPr>
            <w:tcW w:w="911" w:type="dxa"/>
            <w:vAlign w:val="center"/>
          </w:tcPr>
          <w:p w14:paraId="01A864C3" w14:textId="77777777" w:rsidR="005E36C3" w:rsidRPr="00A41B49" w:rsidRDefault="005E36C3" w:rsidP="00D75056">
            <w:pPr>
              <w:jc w:val="center"/>
              <w:rPr>
                <w:rFonts w:ascii="Times New Roman" w:hAnsi="Times New Roman" w:cs="Times New Roman"/>
                <w:bCs/>
                <w:spacing w:val="-6"/>
                <w:sz w:val="24"/>
                <w:szCs w:val="24"/>
                <w:lang w:val="uk-UA"/>
              </w:rPr>
            </w:pPr>
            <w:r w:rsidRPr="00A41B49">
              <w:rPr>
                <w:rFonts w:ascii="Times New Roman" w:hAnsi="Times New Roman" w:cs="Times New Roman"/>
                <w:bCs/>
                <w:spacing w:val="-6"/>
                <w:sz w:val="24"/>
                <w:szCs w:val="24"/>
                <w:lang w:val="uk-UA"/>
              </w:rPr>
              <w:t>0,1</w:t>
            </w:r>
          </w:p>
        </w:tc>
        <w:tc>
          <w:tcPr>
            <w:tcW w:w="907" w:type="dxa"/>
            <w:vAlign w:val="center"/>
          </w:tcPr>
          <w:p w14:paraId="342E4423"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0,4</w:t>
            </w:r>
          </w:p>
        </w:tc>
        <w:tc>
          <w:tcPr>
            <w:tcW w:w="896" w:type="dxa"/>
            <w:vAlign w:val="center"/>
          </w:tcPr>
          <w:p w14:paraId="6DF8CE80"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1,2</w:t>
            </w:r>
          </w:p>
        </w:tc>
        <w:tc>
          <w:tcPr>
            <w:tcW w:w="879" w:type="dxa"/>
            <w:vAlign w:val="center"/>
          </w:tcPr>
          <w:p w14:paraId="7D16FD65" w14:textId="77777777" w:rsidR="005E36C3" w:rsidRPr="00A41B49" w:rsidRDefault="005E36C3" w:rsidP="00D75056">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0,1</w:t>
            </w:r>
          </w:p>
        </w:tc>
      </w:tr>
    </w:tbl>
    <w:p w14:paraId="11DC3DE0" w14:textId="77777777" w:rsidR="000855EE" w:rsidRPr="00A41B49" w:rsidRDefault="000855EE" w:rsidP="000855EE">
      <w:pPr>
        <w:spacing w:after="0" w:line="240" w:lineRule="auto"/>
        <w:rPr>
          <w:rFonts w:ascii="Times New Roman" w:hAnsi="Times New Roman" w:cs="Times New Roman"/>
          <w:i/>
          <w:sz w:val="24"/>
          <w:szCs w:val="24"/>
          <w:lang w:val="uk-UA"/>
        </w:rPr>
      </w:pPr>
      <w:r w:rsidRPr="00A41B49">
        <w:rPr>
          <w:rFonts w:ascii="Times New Roman" w:hAnsi="Times New Roman" w:cs="Times New Roman"/>
          <w:i/>
          <w:sz w:val="24"/>
          <w:szCs w:val="24"/>
          <w:lang w:val="uk-UA"/>
        </w:rPr>
        <w:t>Джерело: складено та розраховано автором на основі даних джерела [18]</w:t>
      </w:r>
    </w:p>
    <w:p w14:paraId="493E7C3D" w14:textId="77777777" w:rsidR="000855EE" w:rsidRPr="00A41B49" w:rsidRDefault="000855EE" w:rsidP="000855EE">
      <w:pPr>
        <w:spacing w:after="0" w:line="240" w:lineRule="auto"/>
        <w:rPr>
          <w:rFonts w:ascii="Times New Roman" w:hAnsi="Times New Roman" w:cs="Times New Roman"/>
          <w:i/>
          <w:sz w:val="24"/>
          <w:szCs w:val="24"/>
          <w:lang w:val="uk-UA"/>
        </w:rPr>
      </w:pPr>
      <w:r w:rsidRPr="00A41B49">
        <w:rPr>
          <w:rFonts w:ascii="Times New Roman" w:hAnsi="Times New Roman" w:cs="Times New Roman"/>
          <w:i/>
          <w:sz w:val="24"/>
          <w:szCs w:val="24"/>
          <w:lang w:val="uk-UA"/>
        </w:rPr>
        <w:t>1 - Прямі інвестиції (</w:t>
      </w:r>
      <w:r w:rsidR="00CC43A3" w:rsidRPr="00A41B49">
        <w:rPr>
          <w:rFonts w:ascii="Times New Roman" w:hAnsi="Times New Roman" w:cs="Times New Roman"/>
          <w:i/>
          <w:sz w:val="24"/>
          <w:szCs w:val="24"/>
          <w:lang w:val="uk-UA"/>
        </w:rPr>
        <w:t xml:space="preserve">усього), </w:t>
      </w:r>
      <w:r w:rsidRPr="00A41B49">
        <w:rPr>
          <w:rFonts w:ascii="Times New Roman" w:hAnsi="Times New Roman" w:cs="Times New Roman"/>
          <w:i/>
          <w:sz w:val="24"/>
          <w:szCs w:val="24"/>
          <w:lang w:val="uk-UA"/>
        </w:rPr>
        <w:t xml:space="preserve">2 </w:t>
      </w:r>
      <w:r w:rsidR="00CC43A3" w:rsidRPr="00A41B49">
        <w:rPr>
          <w:rFonts w:ascii="Times New Roman" w:hAnsi="Times New Roman" w:cs="Times New Roman"/>
          <w:i/>
          <w:sz w:val="24"/>
          <w:szCs w:val="24"/>
          <w:lang w:val="uk-UA"/>
        </w:rPr>
        <w:t xml:space="preserve">- Інструменти участі в капіталі, </w:t>
      </w:r>
      <w:r w:rsidRPr="00A41B49">
        <w:rPr>
          <w:rFonts w:ascii="Times New Roman" w:hAnsi="Times New Roman" w:cs="Times New Roman"/>
          <w:i/>
          <w:sz w:val="24"/>
          <w:szCs w:val="24"/>
          <w:lang w:val="uk-UA"/>
        </w:rPr>
        <w:t>3 - Боргові інструменти</w:t>
      </w:r>
    </w:p>
    <w:p w14:paraId="7D30FD08" w14:textId="77777777" w:rsidR="000855EE" w:rsidRPr="00A41B49" w:rsidRDefault="000855EE" w:rsidP="000855EE">
      <w:pPr>
        <w:spacing w:after="0" w:line="240" w:lineRule="auto"/>
        <w:rPr>
          <w:rFonts w:ascii="Times New Roman" w:hAnsi="Times New Roman" w:cs="Times New Roman"/>
          <w:sz w:val="28"/>
          <w:szCs w:val="28"/>
          <w:lang w:val="uk-UA"/>
        </w:rPr>
      </w:pPr>
    </w:p>
    <w:p w14:paraId="5B682A0B" w14:textId="77777777" w:rsidR="00086503" w:rsidRPr="00A41B49" w:rsidRDefault="00526351" w:rsidP="00B0336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Проведений аналіз даних Національного банку України дозволяє стверджувати, що </w:t>
      </w:r>
      <w:r w:rsidR="00086503" w:rsidRPr="00A41B49">
        <w:rPr>
          <w:rFonts w:ascii="Times New Roman" w:hAnsi="Times New Roman" w:cs="Times New Roman"/>
          <w:sz w:val="28"/>
          <w:szCs w:val="28"/>
          <w:lang w:val="uk-UA"/>
        </w:rPr>
        <w:t xml:space="preserve">регіони України суттєво різняться структурою ПІІ. </w:t>
      </w:r>
    </w:p>
    <w:p w14:paraId="4621D7DD" w14:textId="77777777" w:rsidR="00A95126" w:rsidRPr="00A41B49" w:rsidRDefault="00086503" w:rsidP="00A95126">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До регіонів України, у структурі яких протягом 2020-2022 рр. переважали ПІІ у вигляді акц</w:t>
      </w:r>
      <w:r w:rsidR="003C2B5D" w:rsidRPr="00A41B49">
        <w:rPr>
          <w:rFonts w:ascii="Times New Roman" w:hAnsi="Times New Roman" w:cs="Times New Roman"/>
          <w:sz w:val="28"/>
          <w:szCs w:val="28"/>
          <w:lang w:val="uk-UA"/>
        </w:rPr>
        <w:t xml:space="preserve">іонерного капіталу відносяться: </w:t>
      </w:r>
      <w:r w:rsidRPr="00A41B49">
        <w:rPr>
          <w:rFonts w:ascii="Times New Roman" w:hAnsi="Times New Roman" w:cs="Times New Roman"/>
          <w:sz w:val="28"/>
          <w:szCs w:val="28"/>
          <w:lang w:val="uk-UA"/>
        </w:rPr>
        <w:t xml:space="preserve">Вінницька (в середньому </w:t>
      </w:r>
      <w:r w:rsidR="008D47BE" w:rsidRPr="00A41B49">
        <w:rPr>
          <w:rFonts w:ascii="Times New Roman" w:hAnsi="Times New Roman" w:cs="Times New Roman"/>
          <w:sz w:val="28"/>
          <w:szCs w:val="28"/>
          <w:lang w:val="uk-UA"/>
        </w:rPr>
        <w:t xml:space="preserve">53,2% загального обсягу </w:t>
      </w:r>
      <w:r w:rsidRPr="00A41B49">
        <w:rPr>
          <w:rFonts w:ascii="Times New Roman" w:hAnsi="Times New Roman" w:cs="Times New Roman"/>
          <w:sz w:val="28"/>
          <w:szCs w:val="28"/>
          <w:lang w:val="uk-UA"/>
        </w:rPr>
        <w:t>ПІІ регіону)</w:t>
      </w:r>
      <w:r w:rsidR="003C2B5D"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Волинська (в середньому</w:t>
      </w:r>
      <w:r w:rsidR="008D47BE" w:rsidRPr="00A41B49">
        <w:rPr>
          <w:rFonts w:ascii="Times New Roman" w:hAnsi="Times New Roman" w:cs="Times New Roman"/>
          <w:sz w:val="28"/>
          <w:szCs w:val="28"/>
          <w:lang w:val="uk-UA"/>
        </w:rPr>
        <w:t xml:space="preserve"> 72,8%</w:t>
      </w:r>
      <w:r w:rsidRPr="00A41B49">
        <w:rPr>
          <w:rFonts w:ascii="Times New Roman" w:hAnsi="Times New Roman" w:cs="Times New Roman"/>
          <w:sz w:val="28"/>
          <w:szCs w:val="28"/>
          <w:lang w:val="uk-UA"/>
        </w:rPr>
        <w:t xml:space="preserve"> ПІІ регіону)</w:t>
      </w:r>
      <w:r w:rsidR="003C2B5D"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Дніпропетровська (в середньому</w:t>
      </w:r>
      <w:r w:rsidR="008D47BE" w:rsidRPr="00A41B49">
        <w:rPr>
          <w:rFonts w:ascii="Times New Roman" w:hAnsi="Times New Roman" w:cs="Times New Roman"/>
          <w:sz w:val="28"/>
          <w:szCs w:val="28"/>
          <w:lang w:val="uk-UA"/>
        </w:rPr>
        <w:t xml:space="preserve"> 80,9%</w:t>
      </w:r>
      <w:r w:rsidRPr="00A41B49">
        <w:rPr>
          <w:rFonts w:ascii="Times New Roman" w:hAnsi="Times New Roman" w:cs="Times New Roman"/>
          <w:sz w:val="28"/>
          <w:szCs w:val="28"/>
          <w:lang w:val="uk-UA"/>
        </w:rPr>
        <w:t xml:space="preserve"> ПІІ регіону)</w:t>
      </w:r>
      <w:r w:rsidR="003C2B5D" w:rsidRPr="00A41B49">
        <w:rPr>
          <w:rFonts w:ascii="Times New Roman" w:hAnsi="Times New Roman" w:cs="Times New Roman"/>
          <w:sz w:val="28"/>
          <w:szCs w:val="28"/>
          <w:lang w:val="uk-UA"/>
        </w:rPr>
        <w:t xml:space="preserve">; </w:t>
      </w:r>
      <w:r w:rsidR="008D47BE" w:rsidRPr="00A41B49">
        <w:rPr>
          <w:rFonts w:ascii="Times New Roman" w:hAnsi="Times New Roman" w:cs="Times New Roman"/>
          <w:sz w:val="28"/>
          <w:szCs w:val="28"/>
          <w:lang w:val="uk-UA"/>
        </w:rPr>
        <w:t>Закарпатська (в середньому 64% ПІІ регіону)</w:t>
      </w:r>
      <w:r w:rsidR="003C2B5D" w:rsidRPr="00A41B49">
        <w:rPr>
          <w:rFonts w:ascii="Times New Roman" w:hAnsi="Times New Roman" w:cs="Times New Roman"/>
          <w:sz w:val="28"/>
          <w:szCs w:val="28"/>
          <w:lang w:val="uk-UA"/>
        </w:rPr>
        <w:t xml:space="preserve">; </w:t>
      </w:r>
      <w:r w:rsidR="008D47BE" w:rsidRPr="00A41B49">
        <w:rPr>
          <w:rFonts w:ascii="Times New Roman" w:hAnsi="Times New Roman" w:cs="Times New Roman"/>
          <w:sz w:val="28"/>
          <w:szCs w:val="28"/>
          <w:lang w:val="uk-UA"/>
        </w:rPr>
        <w:t xml:space="preserve">Запорізька (в середньому </w:t>
      </w:r>
      <w:r w:rsidR="003D4019" w:rsidRPr="00A41B49">
        <w:rPr>
          <w:rFonts w:ascii="Times New Roman" w:hAnsi="Times New Roman" w:cs="Times New Roman"/>
          <w:sz w:val="28"/>
          <w:szCs w:val="28"/>
          <w:lang w:val="uk-UA"/>
        </w:rPr>
        <w:t xml:space="preserve">85,9% </w:t>
      </w:r>
      <w:r w:rsidR="008D47BE" w:rsidRPr="00A41B49">
        <w:rPr>
          <w:rFonts w:ascii="Times New Roman" w:hAnsi="Times New Roman" w:cs="Times New Roman"/>
          <w:sz w:val="28"/>
          <w:szCs w:val="28"/>
          <w:lang w:val="uk-UA"/>
        </w:rPr>
        <w:t>ПІІ регіону)</w:t>
      </w:r>
      <w:r w:rsidR="003C2B5D" w:rsidRPr="00A41B49">
        <w:rPr>
          <w:rFonts w:ascii="Times New Roman" w:hAnsi="Times New Roman" w:cs="Times New Roman"/>
          <w:sz w:val="28"/>
          <w:szCs w:val="28"/>
          <w:lang w:val="uk-UA"/>
        </w:rPr>
        <w:t xml:space="preserve">; </w:t>
      </w:r>
      <w:r w:rsidR="008D47BE" w:rsidRPr="00A41B49">
        <w:rPr>
          <w:rFonts w:ascii="Times New Roman" w:hAnsi="Times New Roman" w:cs="Times New Roman"/>
          <w:sz w:val="28"/>
          <w:szCs w:val="28"/>
          <w:lang w:val="uk-UA"/>
        </w:rPr>
        <w:t xml:space="preserve">Івано-Франківська (в середньому </w:t>
      </w:r>
      <w:r w:rsidR="003D4019" w:rsidRPr="00A41B49">
        <w:rPr>
          <w:rFonts w:ascii="Times New Roman" w:hAnsi="Times New Roman" w:cs="Times New Roman"/>
          <w:sz w:val="28"/>
          <w:szCs w:val="28"/>
          <w:lang w:val="uk-UA"/>
        </w:rPr>
        <w:t>56,3%</w:t>
      </w:r>
      <w:r w:rsidR="008D47BE" w:rsidRPr="00A41B49">
        <w:rPr>
          <w:rFonts w:ascii="Times New Roman" w:hAnsi="Times New Roman" w:cs="Times New Roman"/>
          <w:sz w:val="28"/>
          <w:szCs w:val="28"/>
          <w:lang w:val="uk-UA"/>
        </w:rPr>
        <w:t>ПІІ регіону)</w:t>
      </w:r>
      <w:r w:rsidR="003C2B5D" w:rsidRPr="00A41B49">
        <w:rPr>
          <w:rFonts w:ascii="Times New Roman" w:hAnsi="Times New Roman" w:cs="Times New Roman"/>
          <w:sz w:val="28"/>
          <w:szCs w:val="28"/>
          <w:lang w:val="uk-UA"/>
        </w:rPr>
        <w:t xml:space="preserve">; </w:t>
      </w:r>
      <w:r w:rsidR="008D47BE" w:rsidRPr="00A41B49">
        <w:rPr>
          <w:rFonts w:ascii="Times New Roman" w:hAnsi="Times New Roman" w:cs="Times New Roman"/>
          <w:sz w:val="28"/>
          <w:szCs w:val="28"/>
          <w:lang w:val="uk-UA"/>
        </w:rPr>
        <w:t xml:space="preserve">Київська (в середньому </w:t>
      </w:r>
      <w:r w:rsidR="003D4019" w:rsidRPr="00A41B49">
        <w:rPr>
          <w:rFonts w:ascii="Times New Roman" w:hAnsi="Times New Roman" w:cs="Times New Roman"/>
          <w:sz w:val="28"/>
          <w:szCs w:val="28"/>
          <w:lang w:val="uk-UA"/>
        </w:rPr>
        <w:t xml:space="preserve">61,9% </w:t>
      </w:r>
      <w:r w:rsidR="008D47BE" w:rsidRPr="00A41B49">
        <w:rPr>
          <w:rFonts w:ascii="Times New Roman" w:hAnsi="Times New Roman" w:cs="Times New Roman"/>
          <w:sz w:val="28"/>
          <w:szCs w:val="28"/>
          <w:lang w:val="uk-UA"/>
        </w:rPr>
        <w:t>ПІІ регіону)</w:t>
      </w:r>
      <w:r w:rsidR="003C2B5D" w:rsidRPr="00A41B49">
        <w:rPr>
          <w:rFonts w:ascii="Times New Roman" w:hAnsi="Times New Roman" w:cs="Times New Roman"/>
          <w:sz w:val="28"/>
          <w:szCs w:val="28"/>
          <w:lang w:val="uk-UA"/>
        </w:rPr>
        <w:t xml:space="preserve">; </w:t>
      </w:r>
      <w:r w:rsidR="008D47BE" w:rsidRPr="00A41B49">
        <w:rPr>
          <w:rFonts w:ascii="Times New Roman" w:hAnsi="Times New Roman" w:cs="Times New Roman"/>
          <w:sz w:val="28"/>
          <w:szCs w:val="28"/>
          <w:lang w:val="uk-UA"/>
        </w:rPr>
        <w:t xml:space="preserve">Кіровоградська (в середньому </w:t>
      </w:r>
      <w:r w:rsidR="003D4019" w:rsidRPr="00A41B49">
        <w:rPr>
          <w:rFonts w:ascii="Times New Roman" w:hAnsi="Times New Roman" w:cs="Times New Roman"/>
          <w:sz w:val="28"/>
          <w:szCs w:val="28"/>
          <w:lang w:val="uk-UA"/>
        </w:rPr>
        <w:t xml:space="preserve">87,5% </w:t>
      </w:r>
      <w:r w:rsidR="008D47BE" w:rsidRPr="00A41B49">
        <w:rPr>
          <w:rFonts w:ascii="Times New Roman" w:hAnsi="Times New Roman" w:cs="Times New Roman"/>
          <w:sz w:val="28"/>
          <w:szCs w:val="28"/>
          <w:lang w:val="uk-UA"/>
        </w:rPr>
        <w:t>ПІІ регіону)</w:t>
      </w:r>
      <w:r w:rsidR="003C2B5D" w:rsidRPr="00A41B49">
        <w:rPr>
          <w:rFonts w:ascii="Times New Roman" w:hAnsi="Times New Roman" w:cs="Times New Roman"/>
          <w:sz w:val="28"/>
          <w:szCs w:val="28"/>
          <w:lang w:val="uk-UA"/>
        </w:rPr>
        <w:t xml:space="preserve">; </w:t>
      </w:r>
      <w:r w:rsidR="003D4019" w:rsidRPr="00A41B49">
        <w:rPr>
          <w:rFonts w:ascii="Times New Roman" w:eastAsia="Times New Roman" w:hAnsi="Times New Roman" w:cs="Times New Roman"/>
          <w:sz w:val="24"/>
          <w:szCs w:val="24"/>
          <w:lang w:val="uk-UA" w:eastAsia="ru-RU"/>
        </w:rPr>
        <w:t xml:space="preserve">Львівська </w:t>
      </w:r>
      <w:r w:rsidRPr="00A41B49">
        <w:rPr>
          <w:rFonts w:ascii="Times New Roman" w:hAnsi="Times New Roman" w:cs="Times New Roman"/>
          <w:sz w:val="28"/>
          <w:szCs w:val="28"/>
          <w:lang w:val="uk-UA"/>
        </w:rPr>
        <w:t xml:space="preserve">(в середньому </w:t>
      </w:r>
      <w:r w:rsidR="003D4019" w:rsidRPr="00A41B49">
        <w:rPr>
          <w:rFonts w:ascii="Times New Roman" w:hAnsi="Times New Roman" w:cs="Times New Roman"/>
          <w:sz w:val="28"/>
          <w:szCs w:val="28"/>
          <w:lang w:val="uk-UA"/>
        </w:rPr>
        <w:t>77,8%</w:t>
      </w:r>
      <w:r w:rsidRPr="00A41B49">
        <w:rPr>
          <w:rFonts w:ascii="Times New Roman" w:hAnsi="Times New Roman" w:cs="Times New Roman"/>
          <w:sz w:val="28"/>
          <w:szCs w:val="28"/>
          <w:lang w:val="uk-UA"/>
        </w:rPr>
        <w:t>ПІІ регіону)</w:t>
      </w:r>
      <w:r w:rsidR="003C2B5D" w:rsidRPr="00A41B49">
        <w:rPr>
          <w:rFonts w:ascii="Times New Roman" w:hAnsi="Times New Roman" w:cs="Times New Roman"/>
          <w:sz w:val="28"/>
          <w:szCs w:val="28"/>
          <w:lang w:val="uk-UA"/>
        </w:rPr>
        <w:t xml:space="preserve">; </w:t>
      </w:r>
      <w:r w:rsidR="00D80C34" w:rsidRPr="00A41B49">
        <w:rPr>
          <w:rFonts w:ascii="Times New Roman" w:hAnsi="Times New Roman" w:cs="Times New Roman"/>
          <w:sz w:val="28"/>
          <w:szCs w:val="28"/>
          <w:lang w:val="uk-UA"/>
        </w:rPr>
        <w:t>Полтавська (в середньому 110,8% ПІІ регіону, для Полтавської області характерне відзив ПІІ в борговий капітал, як наслідок, обсяг ПІІ по регіону в цілому є меншим, ніж о</w:t>
      </w:r>
      <w:r w:rsidR="003C2B5D" w:rsidRPr="00A41B49">
        <w:rPr>
          <w:rFonts w:ascii="Times New Roman" w:hAnsi="Times New Roman" w:cs="Times New Roman"/>
          <w:sz w:val="28"/>
          <w:szCs w:val="28"/>
          <w:lang w:val="uk-UA"/>
        </w:rPr>
        <w:t xml:space="preserve">бсяг ПІІ в акціонерний капітал); </w:t>
      </w:r>
      <w:r w:rsidR="00D80C34" w:rsidRPr="00A41B49">
        <w:rPr>
          <w:rFonts w:ascii="Times New Roman" w:hAnsi="Times New Roman" w:cs="Times New Roman"/>
          <w:sz w:val="28"/>
          <w:szCs w:val="28"/>
          <w:lang w:val="uk-UA"/>
        </w:rPr>
        <w:t xml:space="preserve">Рівненська (в середньому </w:t>
      </w:r>
      <w:r w:rsidR="00A95126" w:rsidRPr="00A41B49">
        <w:rPr>
          <w:rFonts w:ascii="Times New Roman" w:hAnsi="Times New Roman" w:cs="Times New Roman"/>
          <w:sz w:val="28"/>
          <w:szCs w:val="28"/>
          <w:lang w:val="uk-UA"/>
        </w:rPr>
        <w:t>58,9</w:t>
      </w:r>
      <w:r w:rsidR="00D80C34" w:rsidRPr="00A41B49">
        <w:rPr>
          <w:rFonts w:ascii="Times New Roman" w:hAnsi="Times New Roman" w:cs="Times New Roman"/>
          <w:sz w:val="28"/>
          <w:szCs w:val="28"/>
          <w:lang w:val="uk-UA"/>
        </w:rPr>
        <w:t>%ПІІ регіону)</w:t>
      </w:r>
      <w:r w:rsidR="003C2B5D" w:rsidRPr="00A41B49">
        <w:rPr>
          <w:rFonts w:ascii="Times New Roman" w:hAnsi="Times New Roman" w:cs="Times New Roman"/>
          <w:sz w:val="28"/>
          <w:szCs w:val="28"/>
          <w:lang w:val="uk-UA"/>
        </w:rPr>
        <w:t xml:space="preserve">; </w:t>
      </w:r>
      <w:r w:rsidR="00D80C34" w:rsidRPr="00A41B49">
        <w:rPr>
          <w:rFonts w:ascii="Times New Roman" w:hAnsi="Times New Roman" w:cs="Times New Roman"/>
          <w:sz w:val="28"/>
          <w:szCs w:val="28"/>
          <w:lang w:val="uk-UA"/>
        </w:rPr>
        <w:t xml:space="preserve">Сумська (в середньому </w:t>
      </w:r>
      <w:r w:rsidR="00A95126" w:rsidRPr="00A41B49">
        <w:rPr>
          <w:rFonts w:ascii="Times New Roman" w:hAnsi="Times New Roman" w:cs="Times New Roman"/>
          <w:sz w:val="28"/>
          <w:szCs w:val="28"/>
          <w:lang w:val="uk-UA"/>
        </w:rPr>
        <w:t>59,8</w:t>
      </w:r>
      <w:r w:rsidR="00D80C34" w:rsidRPr="00A41B49">
        <w:rPr>
          <w:rFonts w:ascii="Times New Roman" w:hAnsi="Times New Roman" w:cs="Times New Roman"/>
          <w:sz w:val="28"/>
          <w:szCs w:val="28"/>
          <w:lang w:val="uk-UA"/>
        </w:rPr>
        <w:t>%ПІІ регіону)</w:t>
      </w:r>
      <w:r w:rsidR="003C2B5D" w:rsidRPr="00A41B49">
        <w:rPr>
          <w:rFonts w:ascii="Times New Roman" w:hAnsi="Times New Roman" w:cs="Times New Roman"/>
          <w:sz w:val="28"/>
          <w:szCs w:val="28"/>
          <w:lang w:val="uk-UA"/>
        </w:rPr>
        <w:t xml:space="preserve">; </w:t>
      </w:r>
      <w:r w:rsidR="00A95126" w:rsidRPr="00A41B49">
        <w:rPr>
          <w:rFonts w:ascii="Times New Roman" w:hAnsi="Times New Roman" w:cs="Times New Roman"/>
          <w:sz w:val="28"/>
          <w:szCs w:val="28"/>
          <w:lang w:val="uk-UA"/>
        </w:rPr>
        <w:t>Харківська (в середньому 74,6%ПІІ регіону)</w:t>
      </w:r>
      <w:r w:rsidR="003C2B5D" w:rsidRPr="00A41B49">
        <w:rPr>
          <w:rFonts w:ascii="Times New Roman" w:hAnsi="Times New Roman" w:cs="Times New Roman"/>
          <w:sz w:val="28"/>
          <w:szCs w:val="28"/>
          <w:lang w:val="uk-UA"/>
        </w:rPr>
        <w:t xml:space="preserve">; </w:t>
      </w:r>
      <w:r w:rsidR="00A95126" w:rsidRPr="00A41B49">
        <w:rPr>
          <w:rFonts w:ascii="Times New Roman" w:hAnsi="Times New Roman" w:cs="Times New Roman"/>
          <w:sz w:val="28"/>
          <w:szCs w:val="28"/>
          <w:lang w:val="uk-UA"/>
        </w:rPr>
        <w:t>Черкаська (середньому 67,3% ПІІ регіону)</w:t>
      </w:r>
      <w:r w:rsidR="003C2B5D" w:rsidRPr="00A41B49">
        <w:rPr>
          <w:rFonts w:ascii="Times New Roman" w:hAnsi="Times New Roman" w:cs="Times New Roman"/>
          <w:sz w:val="28"/>
          <w:szCs w:val="28"/>
          <w:lang w:val="uk-UA"/>
        </w:rPr>
        <w:t xml:space="preserve">; </w:t>
      </w:r>
      <w:r w:rsidR="00A95126" w:rsidRPr="00A41B49">
        <w:rPr>
          <w:rFonts w:ascii="Times New Roman" w:hAnsi="Times New Roman" w:cs="Times New Roman"/>
          <w:sz w:val="28"/>
          <w:szCs w:val="28"/>
          <w:lang w:val="uk-UA"/>
        </w:rPr>
        <w:t>Чернівецька (середньому 84,6% ПІІ регіону)</w:t>
      </w:r>
      <w:r w:rsidR="003C2B5D" w:rsidRPr="00A41B49">
        <w:rPr>
          <w:rFonts w:ascii="Times New Roman" w:hAnsi="Times New Roman" w:cs="Times New Roman"/>
          <w:sz w:val="28"/>
          <w:szCs w:val="28"/>
          <w:lang w:val="uk-UA"/>
        </w:rPr>
        <w:t xml:space="preserve">; </w:t>
      </w:r>
      <w:r w:rsidR="00A95126" w:rsidRPr="00A41B49">
        <w:rPr>
          <w:rFonts w:ascii="Times New Roman" w:hAnsi="Times New Roman" w:cs="Times New Roman"/>
          <w:sz w:val="28"/>
          <w:szCs w:val="28"/>
          <w:lang w:val="uk-UA"/>
        </w:rPr>
        <w:t>Чернігівська (середньому 85,6% ПІІ регіону)</w:t>
      </w:r>
      <w:r w:rsidR="003C2B5D" w:rsidRPr="00A41B49">
        <w:rPr>
          <w:rFonts w:ascii="Times New Roman" w:hAnsi="Times New Roman" w:cs="Times New Roman"/>
          <w:sz w:val="28"/>
          <w:szCs w:val="28"/>
          <w:lang w:val="uk-UA"/>
        </w:rPr>
        <w:t xml:space="preserve">; </w:t>
      </w:r>
      <w:r w:rsidR="00A95126" w:rsidRPr="00A41B49">
        <w:rPr>
          <w:rFonts w:ascii="Times New Roman" w:hAnsi="Times New Roman" w:cs="Times New Roman"/>
          <w:sz w:val="28"/>
          <w:szCs w:val="28"/>
          <w:lang w:val="uk-UA"/>
        </w:rPr>
        <w:t>м. Київ(середньому 66,7% ПІІ регіону)</w:t>
      </w:r>
      <w:r w:rsidR="003C2B5D" w:rsidRPr="00A41B49">
        <w:rPr>
          <w:rFonts w:ascii="Times New Roman" w:hAnsi="Times New Roman" w:cs="Times New Roman"/>
          <w:sz w:val="28"/>
          <w:szCs w:val="28"/>
          <w:lang w:val="uk-UA"/>
        </w:rPr>
        <w:t xml:space="preserve"> області.</w:t>
      </w:r>
    </w:p>
    <w:p w14:paraId="1B631A65" w14:textId="77777777" w:rsidR="009E4104" w:rsidRPr="00A41B49" w:rsidRDefault="009E4104" w:rsidP="00A95126">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До регіонів, у структурі яких протягом 2020-2022 рр. ПІІ в акціонерний капітал становили меншу частку, порівняно із інвестиціями в борговий капітал, відносять: Житомирська </w:t>
      </w:r>
      <w:r w:rsidR="00E62DCA" w:rsidRPr="00A41B49">
        <w:rPr>
          <w:rFonts w:ascii="Times New Roman" w:hAnsi="Times New Roman" w:cs="Times New Roman"/>
          <w:sz w:val="28"/>
          <w:szCs w:val="28"/>
          <w:lang w:val="uk-UA"/>
        </w:rPr>
        <w:t>(в середньому 43,9</w:t>
      </w:r>
      <w:r w:rsidRPr="00A41B49">
        <w:rPr>
          <w:rFonts w:ascii="Times New Roman" w:hAnsi="Times New Roman" w:cs="Times New Roman"/>
          <w:sz w:val="28"/>
          <w:szCs w:val="28"/>
          <w:lang w:val="uk-UA"/>
        </w:rPr>
        <w:t>% загального обсягу ПІІ регіону);</w:t>
      </w:r>
      <w:r w:rsidR="00E62DCA" w:rsidRPr="00A41B49">
        <w:rPr>
          <w:rFonts w:ascii="Times New Roman" w:hAnsi="Times New Roman" w:cs="Times New Roman"/>
          <w:sz w:val="28"/>
          <w:szCs w:val="28"/>
          <w:lang w:val="uk-UA"/>
        </w:rPr>
        <w:t xml:space="preserve"> Миколаївська (в середньому 37,9% загального обсягу ПІІ регіону); </w:t>
      </w:r>
      <w:r w:rsidR="00E62DCA" w:rsidRPr="00A41B49">
        <w:rPr>
          <w:rFonts w:ascii="Times New Roman" w:hAnsi="Times New Roman" w:cs="Times New Roman"/>
          <w:sz w:val="28"/>
          <w:szCs w:val="28"/>
          <w:lang w:val="uk-UA"/>
        </w:rPr>
        <w:lastRenderedPageBreak/>
        <w:t>Тернопільська (в середньому 17,7% загального обсягу ПІІ регіону);</w:t>
      </w:r>
      <w:r w:rsidR="00E62DCA" w:rsidRPr="00A41B49">
        <w:rPr>
          <w:lang w:val="uk-UA"/>
        </w:rPr>
        <w:t xml:space="preserve"> </w:t>
      </w:r>
      <w:r w:rsidR="00E62DCA" w:rsidRPr="00A41B49">
        <w:rPr>
          <w:rFonts w:ascii="Times New Roman" w:hAnsi="Times New Roman" w:cs="Times New Roman"/>
          <w:sz w:val="28"/>
          <w:szCs w:val="28"/>
          <w:lang w:val="uk-UA"/>
        </w:rPr>
        <w:t>Хмельницька (в середньому 19,7% загального обсягу ПІІ регіону) (табл.</w:t>
      </w:r>
      <w:r w:rsidR="00CE06C3" w:rsidRPr="00A41B49">
        <w:rPr>
          <w:rFonts w:ascii="Times New Roman" w:hAnsi="Times New Roman" w:cs="Times New Roman"/>
          <w:sz w:val="28"/>
          <w:szCs w:val="28"/>
          <w:lang w:val="uk-UA"/>
        </w:rPr>
        <w:t>3.</w:t>
      </w:r>
      <w:r w:rsidR="009F20D7" w:rsidRPr="00A41B49">
        <w:rPr>
          <w:rFonts w:ascii="Times New Roman" w:hAnsi="Times New Roman" w:cs="Times New Roman"/>
          <w:sz w:val="28"/>
          <w:szCs w:val="28"/>
          <w:lang w:val="uk-UA"/>
        </w:rPr>
        <w:t>4</w:t>
      </w:r>
      <w:r w:rsidR="00E62DCA" w:rsidRPr="00A41B49">
        <w:rPr>
          <w:rFonts w:ascii="Times New Roman" w:hAnsi="Times New Roman" w:cs="Times New Roman"/>
          <w:sz w:val="28"/>
          <w:szCs w:val="28"/>
          <w:lang w:val="uk-UA"/>
        </w:rPr>
        <w:t>)</w:t>
      </w:r>
    </w:p>
    <w:p w14:paraId="43F857C1" w14:textId="77777777" w:rsidR="00D80C34" w:rsidRPr="00A41B49" w:rsidRDefault="00D80C34" w:rsidP="00232951">
      <w:pPr>
        <w:spacing w:after="0" w:line="240" w:lineRule="auto"/>
        <w:ind w:firstLine="709"/>
        <w:jc w:val="both"/>
        <w:rPr>
          <w:rFonts w:ascii="Times New Roman" w:hAnsi="Times New Roman" w:cs="Times New Roman"/>
          <w:sz w:val="28"/>
          <w:szCs w:val="28"/>
          <w:lang w:val="uk-UA"/>
        </w:rPr>
      </w:pPr>
    </w:p>
    <w:p w14:paraId="294B5065" w14:textId="77777777" w:rsidR="006A6E83" w:rsidRPr="00A41B49" w:rsidRDefault="006A6E83" w:rsidP="005E36C3">
      <w:pPr>
        <w:spacing w:after="0" w:line="240" w:lineRule="auto"/>
        <w:rPr>
          <w:rFonts w:ascii="Times New Roman" w:hAnsi="Times New Roman" w:cs="Times New Roman"/>
          <w:sz w:val="28"/>
          <w:szCs w:val="28"/>
          <w:lang w:val="uk-UA"/>
        </w:rPr>
      </w:pPr>
      <w:r w:rsidRPr="00A41B49">
        <w:rPr>
          <w:rFonts w:ascii="Times New Roman" w:hAnsi="Times New Roman" w:cs="Times New Roman"/>
          <w:sz w:val="28"/>
          <w:szCs w:val="28"/>
          <w:lang w:val="uk-UA"/>
        </w:rPr>
        <w:t>Таблиця</w:t>
      </w:r>
      <w:r w:rsidR="009F20D7" w:rsidRPr="00A41B49">
        <w:rPr>
          <w:rFonts w:ascii="Times New Roman" w:hAnsi="Times New Roman" w:cs="Times New Roman"/>
          <w:sz w:val="28"/>
          <w:szCs w:val="28"/>
          <w:lang w:val="uk-UA"/>
        </w:rPr>
        <w:t xml:space="preserve"> </w:t>
      </w:r>
      <w:r w:rsidR="00CE06C3" w:rsidRPr="00A41B49">
        <w:rPr>
          <w:rFonts w:ascii="Times New Roman" w:hAnsi="Times New Roman" w:cs="Times New Roman"/>
          <w:sz w:val="28"/>
          <w:szCs w:val="28"/>
          <w:lang w:val="uk-UA"/>
        </w:rPr>
        <w:t>3.</w:t>
      </w:r>
      <w:r w:rsidR="009F20D7" w:rsidRPr="00A41B49">
        <w:rPr>
          <w:rFonts w:ascii="Times New Roman" w:hAnsi="Times New Roman" w:cs="Times New Roman"/>
          <w:sz w:val="28"/>
          <w:szCs w:val="28"/>
          <w:lang w:val="uk-UA"/>
        </w:rPr>
        <w:t>4</w:t>
      </w:r>
      <w:r w:rsidRPr="00A41B49">
        <w:rPr>
          <w:rFonts w:ascii="Times New Roman" w:hAnsi="Times New Roman" w:cs="Times New Roman"/>
          <w:sz w:val="28"/>
          <w:szCs w:val="28"/>
          <w:lang w:val="uk-UA"/>
        </w:rPr>
        <w:t xml:space="preserve"> – ПІІ в економіку України (</w:t>
      </w:r>
      <w:r w:rsidR="005E36C3" w:rsidRPr="00A41B49">
        <w:rPr>
          <w:rFonts w:ascii="Times New Roman" w:eastAsia="Times New Roman" w:hAnsi="Times New Roman" w:cs="Times New Roman"/>
          <w:bCs/>
          <w:sz w:val="28"/>
          <w:szCs w:val="28"/>
          <w:lang w:val="uk-UA" w:eastAsia="ru-RU"/>
        </w:rPr>
        <w:t>і</w:t>
      </w:r>
      <w:r w:rsidRPr="00A41B49">
        <w:rPr>
          <w:rFonts w:ascii="Times New Roman" w:eastAsia="Times New Roman" w:hAnsi="Times New Roman" w:cs="Times New Roman"/>
          <w:bCs/>
          <w:sz w:val="28"/>
          <w:szCs w:val="28"/>
          <w:lang w:val="uk-UA" w:eastAsia="ru-RU"/>
        </w:rPr>
        <w:t>нструменти участі в капіталі</w:t>
      </w:r>
      <w:r w:rsidRPr="00A41B49">
        <w:rPr>
          <w:rFonts w:ascii="Times New Roman" w:hAnsi="Times New Roman" w:cs="Times New Roman"/>
          <w:sz w:val="28"/>
          <w:szCs w:val="28"/>
          <w:lang w:val="uk-UA"/>
        </w:rPr>
        <w:t>)</w:t>
      </w:r>
    </w:p>
    <w:tbl>
      <w:tblPr>
        <w:tblW w:w="5000" w:type="pct"/>
        <w:tblLook w:val="04A0" w:firstRow="1" w:lastRow="0" w:firstColumn="1" w:lastColumn="0" w:noHBand="0" w:noVBand="1"/>
      </w:tblPr>
      <w:tblGrid>
        <w:gridCol w:w="2076"/>
        <w:gridCol w:w="8"/>
        <w:gridCol w:w="989"/>
        <w:gridCol w:w="8"/>
        <w:gridCol w:w="748"/>
        <w:gridCol w:w="10"/>
        <w:gridCol w:w="990"/>
        <w:gridCol w:w="6"/>
        <w:gridCol w:w="936"/>
        <w:gridCol w:w="996"/>
        <w:gridCol w:w="938"/>
        <w:gridCol w:w="936"/>
        <w:gridCol w:w="930"/>
      </w:tblGrid>
      <w:tr w:rsidR="00A41B49" w:rsidRPr="00A41B49" w14:paraId="00CFDDF1" w14:textId="77777777" w:rsidTr="004F75D0">
        <w:trPr>
          <w:trHeight w:val="324"/>
        </w:trPr>
        <w:tc>
          <w:tcPr>
            <w:tcW w:w="1085" w:type="pct"/>
            <w:vMerge w:val="restart"/>
            <w:tcBorders>
              <w:top w:val="single" w:sz="8" w:space="0" w:color="auto"/>
              <w:left w:val="single" w:sz="8" w:space="0" w:color="auto"/>
              <w:right w:val="single" w:sz="8" w:space="0" w:color="auto"/>
            </w:tcBorders>
            <w:shd w:val="clear" w:color="auto" w:fill="auto"/>
            <w:vAlign w:val="center"/>
            <w:hideMark/>
          </w:tcPr>
          <w:p w14:paraId="4957FEE5" w14:textId="77777777" w:rsidR="009A36AB" w:rsidRPr="00A41B49" w:rsidRDefault="00D75056"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Регіони</w:t>
            </w:r>
          </w:p>
        </w:tc>
        <w:tc>
          <w:tcPr>
            <w:tcW w:w="916" w:type="pct"/>
            <w:gridSpan w:val="4"/>
            <w:tcBorders>
              <w:top w:val="single" w:sz="8" w:space="0" w:color="auto"/>
              <w:left w:val="nil"/>
              <w:bottom w:val="single" w:sz="8" w:space="0" w:color="auto"/>
              <w:right w:val="single" w:sz="8" w:space="0" w:color="000000"/>
            </w:tcBorders>
            <w:shd w:val="clear" w:color="auto" w:fill="auto"/>
            <w:vAlign w:val="center"/>
            <w:hideMark/>
          </w:tcPr>
          <w:p w14:paraId="4FDA669D" w14:textId="77777777" w:rsidR="009A36AB" w:rsidRPr="00A41B49" w:rsidRDefault="009A36AB" w:rsidP="008D47BE">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2020 р.</w:t>
            </w:r>
          </w:p>
        </w:tc>
        <w:tc>
          <w:tcPr>
            <w:tcW w:w="1014" w:type="pct"/>
            <w:gridSpan w:val="4"/>
            <w:tcBorders>
              <w:top w:val="single" w:sz="8" w:space="0" w:color="auto"/>
              <w:left w:val="nil"/>
              <w:bottom w:val="single" w:sz="8" w:space="0" w:color="auto"/>
              <w:right w:val="single" w:sz="8" w:space="0" w:color="000000"/>
            </w:tcBorders>
            <w:shd w:val="clear" w:color="auto" w:fill="auto"/>
            <w:vAlign w:val="center"/>
            <w:hideMark/>
          </w:tcPr>
          <w:p w14:paraId="089F838F" w14:textId="77777777" w:rsidR="009A36AB" w:rsidRPr="00A41B49" w:rsidRDefault="009A36AB" w:rsidP="008D47BE">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2022 р.</w:t>
            </w:r>
          </w:p>
        </w:tc>
        <w:tc>
          <w:tcPr>
            <w:tcW w:w="1010" w:type="pct"/>
            <w:gridSpan w:val="2"/>
            <w:tcBorders>
              <w:top w:val="single" w:sz="8" w:space="0" w:color="auto"/>
              <w:left w:val="nil"/>
              <w:bottom w:val="single" w:sz="8" w:space="0" w:color="auto"/>
              <w:right w:val="single" w:sz="8" w:space="0" w:color="000000"/>
            </w:tcBorders>
            <w:shd w:val="clear" w:color="auto" w:fill="auto"/>
            <w:vAlign w:val="center"/>
            <w:hideMark/>
          </w:tcPr>
          <w:p w14:paraId="6A86B55A" w14:textId="77777777" w:rsidR="009A36AB" w:rsidRPr="00A41B49" w:rsidRDefault="009A36AB" w:rsidP="00813ADB">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Середнє</w:t>
            </w:r>
          </w:p>
        </w:tc>
        <w:tc>
          <w:tcPr>
            <w:tcW w:w="976" w:type="pct"/>
            <w:gridSpan w:val="2"/>
            <w:tcBorders>
              <w:top w:val="single" w:sz="8" w:space="0" w:color="auto"/>
              <w:left w:val="nil"/>
              <w:bottom w:val="single" w:sz="8" w:space="0" w:color="auto"/>
              <w:right w:val="single" w:sz="8" w:space="0" w:color="000000"/>
            </w:tcBorders>
            <w:shd w:val="clear" w:color="auto" w:fill="auto"/>
            <w:vAlign w:val="center"/>
            <w:hideMark/>
          </w:tcPr>
          <w:p w14:paraId="4CE82492" w14:textId="77777777" w:rsidR="009A36AB" w:rsidRPr="00A41B49" w:rsidRDefault="009A36AB" w:rsidP="00813ADB">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Відхилення</w:t>
            </w:r>
          </w:p>
        </w:tc>
      </w:tr>
      <w:tr w:rsidR="00A41B49" w:rsidRPr="00A41B49" w14:paraId="2A684C82" w14:textId="77777777" w:rsidTr="004F75D0">
        <w:trPr>
          <w:trHeight w:val="324"/>
        </w:trPr>
        <w:tc>
          <w:tcPr>
            <w:tcW w:w="1085" w:type="pct"/>
            <w:vMerge/>
            <w:tcBorders>
              <w:left w:val="single" w:sz="8" w:space="0" w:color="auto"/>
              <w:bottom w:val="single" w:sz="8" w:space="0" w:color="auto"/>
              <w:right w:val="single" w:sz="8" w:space="0" w:color="auto"/>
            </w:tcBorders>
            <w:shd w:val="clear" w:color="auto" w:fill="auto"/>
            <w:vAlign w:val="center"/>
            <w:hideMark/>
          </w:tcPr>
          <w:p w14:paraId="4182256A" w14:textId="77777777" w:rsidR="009A36AB" w:rsidRPr="00A41B49" w:rsidRDefault="009A36AB" w:rsidP="00813ADB">
            <w:pPr>
              <w:spacing w:after="0" w:line="240" w:lineRule="auto"/>
              <w:rPr>
                <w:rFonts w:ascii="Times New Roman" w:eastAsia="Times New Roman" w:hAnsi="Times New Roman" w:cs="Times New Roman"/>
                <w:sz w:val="24"/>
                <w:szCs w:val="24"/>
                <w:lang w:val="uk-UA" w:eastAsia="ru-RU"/>
              </w:rPr>
            </w:pPr>
          </w:p>
        </w:tc>
        <w:tc>
          <w:tcPr>
            <w:tcW w:w="521" w:type="pct"/>
            <w:gridSpan w:val="2"/>
            <w:tcBorders>
              <w:top w:val="nil"/>
              <w:left w:val="nil"/>
              <w:bottom w:val="single" w:sz="8" w:space="0" w:color="auto"/>
              <w:right w:val="single" w:sz="8" w:space="0" w:color="auto"/>
            </w:tcBorders>
            <w:shd w:val="clear" w:color="auto" w:fill="auto"/>
            <w:vAlign w:val="center"/>
            <w:hideMark/>
          </w:tcPr>
          <w:p w14:paraId="38E23C8F" w14:textId="77777777" w:rsidR="009A36AB" w:rsidRPr="00A41B49" w:rsidRDefault="009A36AB" w:rsidP="00813ADB">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млн дол</w:t>
            </w:r>
          </w:p>
        </w:tc>
        <w:tc>
          <w:tcPr>
            <w:tcW w:w="395" w:type="pct"/>
            <w:gridSpan w:val="2"/>
            <w:tcBorders>
              <w:top w:val="nil"/>
              <w:left w:val="nil"/>
              <w:bottom w:val="single" w:sz="8" w:space="0" w:color="auto"/>
              <w:right w:val="single" w:sz="8" w:space="0" w:color="auto"/>
            </w:tcBorders>
            <w:shd w:val="clear" w:color="auto" w:fill="auto"/>
            <w:vAlign w:val="center"/>
            <w:hideMark/>
          </w:tcPr>
          <w:p w14:paraId="5A3A1237" w14:textId="77777777" w:rsidR="009A36AB" w:rsidRPr="00A41B49" w:rsidRDefault="009A36AB" w:rsidP="00813ADB">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w:t>
            </w:r>
          </w:p>
        </w:tc>
        <w:tc>
          <w:tcPr>
            <w:tcW w:w="522" w:type="pct"/>
            <w:gridSpan w:val="2"/>
            <w:tcBorders>
              <w:top w:val="nil"/>
              <w:left w:val="nil"/>
              <w:bottom w:val="single" w:sz="8" w:space="0" w:color="auto"/>
              <w:right w:val="single" w:sz="8" w:space="0" w:color="auto"/>
            </w:tcBorders>
            <w:shd w:val="clear" w:color="auto" w:fill="auto"/>
            <w:vAlign w:val="center"/>
            <w:hideMark/>
          </w:tcPr>
          <w:p w14:paraId="00D9A0C6" w14:textId="77777777" w:rsidR="009A36AB" w:rsidRPr="00A41B49" w:rsidRDefault="009A36AB" w:rsidP="00813ADB">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млн дол</w:t>
            </w:r>
          </w:p>
        </w:tc>
        <w:tc>
          <w:tcPr>
            <w:tcW w:w="492" w:type="pct"/>
            <w:gridSpan w:val="2"/>
            <w:tcBorders>
              <w:top w:val="nil"/>
              <w:left w:val="nil"/>
              <w:bottom w:val="single" w:sz="8" w:space="0" w:color="auto"/>
              <w:right w:val="single" w:sz="8" w:space="0" w:color="auto"/>
            </w:tcBorders>
            <w:shd w:val="clear" w:color="auto" w:fill="auto"/>
            <w:vAlign w:val="center"/>
            <w:hideMark/>
          </w:tcPr>
          <w:p w14:paraId="37F988C6" w14:textId="77777777" w:rsidR="009A36AB" w:rsidRPr="00A41B49" w:rsidRDefault="009A36AB" w:rsidP="00813ADB">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w:t>
            </w:r>
          </w:p>
        </w:tc>
        <w:tc>
          <w:tcPr>
            <w:tcW w:w="520" w:type="pct"/>
            <w:tcBorders>
              <w:top w:val="nil"/>
              <w:left w:val="nil"/>
              <w:bottom w:val="single" w:sz="8" w:space="0" w:color="auto"/>
              <w:right w:val="single" w:sz="8" w:space="0" w:color="auto"/>
            </w:tcBorders>
            <w:shd w:val="clear" w:color="auto" w:fill="auto"/>
            <w:vAlign w:val="center"/>
            <w:hideMark/>
          </w:tcPr>
          <w:p w14:paraId="7B00DA49" w14:textId="77777777" w:rsidR="009A36AB" w:rsidRPr="00A41B49" w:rsidRDefault="009A36AB" w:rsidP="00813ADB">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млн дол</w:t>
            </w:r>
          </w:p>
        </w:tc>
        <w:tc>
          <w:tcPr>
            <w:tcW w:w="489" w:type="pct"/>
            <w:tcBorders>
              <w:top w:val="nil"/>
              <w:left w:val="nil"/>
              <w:bottom w:val="single" w:sz="8" w:space="0" w:color="auto"/>
              <w:right w:val="single" w:sz="8" w:space="0" w:color="auto"/>
            </w:tcBorders>
            <w:shd w:val="clear" w:color="auto" w:fill="auto"/>
            <w:vAlign w:val="center"/>
            <w:hideMark/>
          </w:tcPr>
          <w:p w14:paraId="6AC31D53" w14:textId="77777777" w:rsidR="009A36AB" w:rsidRPr="00A41B49" w:rsidRDefault="009A36AB" w:rsidP="00813ADB">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w:t>
            </w:r>
          </w:p>
        </w:tc>
        <w:tc>
          <w:tcPr>
            <w:tcW w:w="489" w:type="pct"/>
            <w:tcBorders>
              <w:top w:val="nil"/>
              <w:left w:val="nil"/>
              <w:bottom w:val="single" w:sz="8" w:space="0" w:color="auto"/>
              <w:right w:val="single" w:sz="8" w:space="0" w:color="auto"/>
            </w:tcBorders>
            <w:shd w:val="clear" w:color="auto" w:fill="auto"/>
            <w:vAlign w:val="center"/>
            <w:hideMark/>
          </w:tcPr>
          <w:p w14:paraId="5A48EE44" w14:textId="77777777" w:rsidR="009A36AB" w:rsidRPr="00A41B49" w:rsidRDefault="009A36AB" w:rsidP="00813ADB">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млн дол</w:t>
            </w:r>
          </w:p>
        </w:tc>
        <w:tc>
          <w:tcPr>
            <w:tcW w:w="486" w:type="pct"/>
            <w:tcBorders>
              <w:top w:val="nil"/>
              <w:left w:val="nil"/>
              <w:bottom w:val="single" w:sz="8" w:space="0" w:color="auto"/>
              <w:right w:val="single" w:sz="8" w:space="0" w:color="auto"/>
            </w:tcBorders>
            <w:shd w:val="clear" w:color="auto" w:fill="auto"/>
            <w:vAlign w:val="center"/>
            <w:hideMark/>
          </w:tcPr>
          <w:p w14:paraId="3AE97CDF" w14:textId="77777777" w:rsidR="009A36AB" w:rsidRPr="00A41B49" w:rsidRDefault="009A36AB" w:rsidP="00813ADB">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w:t>
            </w:r>
          </w:p>
        </w:tc>
      </w:tr>
      <w:tr w:rsidR="00A41B49" w:rsidRPr="00A41B49" w14:paraId="754F4EB5" w14:textId="77777777" w:rsidTr="004F75D0">
        <w:trPr>
          <w:trHeight w:val="324"/>
        </w:trPr>
        <w:tc>
          <w:tcPr>
            <w:tcW w:w="1085" w:type="pct"/>
            <w:tcBorders>
              <w:left w:val="single" w:sz="8" w:space="0" w:color="auto"/>
              <w:bottom w:val="single" w:sz="8" w:space="0" w:color="auto"/>
              <w:right w:val="single" w:sz="8" w:space="0" w:color="auto"/>
            </w:tcBorders>
            <w:shd w:val="clear" w:color="auto" w:fill="auto"/>
            <w:vAlign w:val="center"/>
          </w:tcPr>
          <w:p w14:paraId="7E4BD45D" w14:textId="77777777" w:rsidR="005E36C3" w:rsidRPr="00A41B49" w:rsidRDefault="005E36C3" w:rsidP="005E36C3">
            <w:pPr>
              <w:spacing w:after="0" w:line="240" w:lineRule="auto"/>
              <w:jc w:val="center"/>
              <w:rPr>
                <w:rFonts w:ascii="Times New Roman" w:eastAsia="Times New Roman" w:hAnsi="Times New Roman" w:cs="Times New Roman"/>
                <w:i/>
                <w:sz w:val="24"/>
                <w:szCs w:val="24"/>
                <w:lang w:val="uk-UA" w:eastAsia="ru-RU"/>
              </w:rPr>
            </w:pPr>
            <w:r w:rsidRPr="00A41B49">
              <w:rPr>
                <w:rFonts w:ascii="Times New Roman" w:eastAsia="Times New Roman" w:hAnsi="Times New Roman" w:cs="Times New Roman"/>
                <w:i/>
                <w:sz w:val="24"/>
                <w:szCs w:val="24"/>
                <w:lang w:val="uk-UA" w:eastAsia="ru-RU"/>
              </w:rPr>
              <w:t>1</w:t>
            </w:r>
          </w:p>
        </w:tc>
        <w:tc>
          <w:tcPr>
            <w:tcW w:w="521" w:type="pct"/>
            <w:gridSpan w:val="2"/>
            <w:tcBorders>
              <w:top w:val="nil"/>
              <w:left w:val="nil"/>
              <w:bottom w:val="single" w:sz="8" w:space="0" w:color="auto"/>
              <w:right w:val="single" w:sz="8" w:space="0" w:color="auto"/>
            </w:tcBorders>
            <w:shd w:val="clear" w:color="auto" w:fill="auto"/>
            <w:vAlign w:val="center"/>
          </w:tcPr>
          <w:p w14:paraId="3E1EFC61" w14:textId="77777777" w:rsidR="005E36C3" w:rsidRPr="00A41B49" w:rsidRDefault="005E36C3" w:rsidP="005E36C3">
            <w:pPr>
              <w:spacing w:after="0" w:line="240" w:lineRule="auto"/>
              <w:jc w:val="center"/>
              <w:rPr>
                <w:rFonts w:ascii="Times New Roman" w:eastAsia="Times New Roman" w:hAnsi="Times New Roman" w:cs="Times New Roman"/>
                <w:i/>
                <w:sz w:val="24"/>
                <w:szCs w:val="24"/>
                <w:lang w:val="uk-UA" w:eastAsia="ru-RU"/>
              </w:rPr>
            </w:pPr>
            <w:r w:rsidRPr="00A41B49">
              <w:rPr>
                <w:rFonts w:ascii="Times New Roman" w:eastAsia="Times New Roman" w:hAnsi="Times New Roman" w:cs="Times New Roman"/>
                <w:i/>
                <w:sz w:val="24"/>
                <w:szCs w:val="24"/>
                <w:lang w:val="uk-UA" w:eastAsia="ru-RU"/>
              </w:rPr>
              <w:t>2</w:t>
            </w:r>
          </w:p>
        </w:tc>
        <w:tc>
          <w:tcPr>
            <w:tcW w:w="395" w:type="pct"/>
            <w:gridSpan w:val="2"/>
            <w:tcBorders>
              <w:top w:val="nil"/>
              <w:left w:val="nil"/>
              <w:bottom w:val="single" w:sz="8" w:space="0" w:color="auto"/>
              <w:right w:val="single" w:sz="8" w:space="0" w:color="auto"/>
            </w:tcBorders>
            <w:shd w:val="clear" w:color="auto" w:fill="auto"/>
            <w:vAlign w:val="center"/>
          </w:tcPr>
          <w:p w14:paraId="45C4F42C" w14:textId="77777777" w:rsidR="005E36C3" w:rsidRPr="00A41B49" w:rsidRDefault="005E36C3" w:rsidP="005E36C3">
            <w:pPr>
              <w:spacing w:after="0" w:line="240" w:lineRule="auto"/>
              <w:jc w:val="center"/>
              <w:rPr>
                <w:rFonts w:ascii="Times New Roman" w:eastAsia="Times New Roman" w:hAnsi="Times New Roman" w:cs="Times New Roman"/>
                <w:i/>
                <w:sz w:val="24"/>
                <w:szCs w:val="24"/>
                <w:lang w:val="uk-UA" w:eastAsia="ru-RU"/>
              </w:rPr>
            </w:pPr>
            <w:r w:rsidRPr="00A41B49">
              <w:rPr>
                <w:rFonts w:ascii="Times New Roman" w:eastAsia="Times New Roman" w:hAnsi="Times New Roman" w:cs="Times New Roman"/>
                <w:i/>
                <w:sz w:val="24"/>
                <w:szCs w:val="24"/>
                <w:lang w:val="uk-UA" w:eastAsia="ru-RU"/>
              </w:rPr>
              <w:t>3</w:t>
            </w:r>
          </w:p>
        </w:tc>
        <w:tc>
          <w:tcPr>
            <w:tcW w:w="522" w:type="pct"/>
            <w:gridSpan w:val="2"/>
            <w:tcBorders>
              <w:top w:val="nil"/>
              <w:left w:val="nil"/>
              <w:bottom w:val="single" w:sz="8" w:space="0" w:color="auto"/>
              <w:right w:val="single" w:sz="8" w:space="0" w:color="auto"/>
            </w:tcBorders>
            <w:shd w:val="clear" w:color="auto" w:fill="auto"/>
            <w:vAlign w:val="center"/>
          </w:tcPr>
          <w:p w14:paraId="2FD81B25" w14:textId="77777777" w:rsidR="005E36C3" w:rsidRPr="00A41B49" w:rsidRDefault="005E36C3" w:rsidP="005E36C3">
            <w:pPr>
              <w:spacing w:after="0" w:line="240" w:lineRule="auto"/>
              <w:jc w:val="center"/>
              <w:rPr>
                <w:rFonts w:ascii="Times New Roman" w:eastAsia="Times New Roman" w:hAnsi="Times New Roman" w:cs="Times New Roman"/>
                <w:i/>
                <w:sz w:val="24"/>
                <w:szCs w:val="24"/>
                <w:lang w:val="uk-UA" w:eastAsia="ru-RU"/>
              </w:rPr>
            </w:pPr>
            <w:r w:rsidRPr="00A41B49">
              <w:rPr>
                <w:rFonts w:ascii="Times New Roman" w:eastAsia="Times New Roman" w:hAnsi="Times New Roman" w:cs="Times New Roman"/>
                <w:i/>
                <w:sz w:val="24"/>
                <w:szCs w:val="24"/>
                <w:lang w:val="uk-UA" w:eastAsia="ru-RU"/>
              </w:rPr>
              <w:t>4</w:t>
            </w:r>
          </w:p>
        </w:tc>
        <w:tc>
          <w:tcPr>
            <w:tcW w:w="492" w:type="pct"/>
            <w:gridSpan w:val="2"/>
            <w:tcBorders>
              <w:top w:val="nil"/>
              <w:left w:val="nil"/>
              <w:bottom w:val="single" w:sz="8" w:space="0" w:color="auto"/>
              <w:right w:val="single" w:sz="8" w:space="0" w:color="auto"/>
            </w:tcBorders>
            <w:shd w:val="clear" w:color="auto" w:fill="auto"/>
            <w:vAlign w:val="center"/>
          </w:tcPr>
          <w:p w14:paraId="10962825" w14:textId="77777777" w:rsidR="005E36C3" w:rsidRPr="00A41B49" w:rsidRDefault="005E36C3" w:rsidP="005E36C3">
            <w:pPr>
              <w:spacing w:after="0" w:line="240" w:lineRule="auto"/>
              <w:jc w:val="center"/>
              <w:rPr>
                <w:rFonts w:ascii="Times New Roman" w:eastAsia="Times New Roman" w:hAnsi="Times New Roman" w:cs="Times New Roman"/>
                <w:i/>
                <w:sz w:val="24"/>
                <w:szCs w:val="24"/>
                <w:lang w:val="uk-UA" w:eastAsia="ru-RU"/>
              </w:rPr>
            </w:pPr>
            <w:r w:rsidRPr="00A41B49">
              <w:rPr>
                <w:rFonts w:ascii="Times New Roman" w:eastAsia="Times New Roman" w:hAnsi="Times New Roman" w:cs="Times New Roman"/>
                <w:i/>
                <w:sz w:val="24"/>
                <w:szCs w:val="24"/>
                <w:lang w:val="uk-UA" w:eastAsia="ru-RU"/>
              </w:rPr>
              <w:t>5</w:t>
            </w:r>
          </w:p>
        </w:tc>
        <w:tc>
          <w:tcPr>
            <w:tcW w:w="520" w:type="pct"/>
            <w:tcBorders>
              <w:top w:val="nil"/>
              <w:left w:val="nil"/>
              <w:bottom w:val="single" w:sz="8" w:space="0" w:color="auto"/>
              <w:right w:val="single" w:sz="8" w:space="0" w:color="auto"/>
            </w:tcBorders>
            <w:shd w:val="clear" w:color="auto" w:fill="auto"/>
            <w:vAlign w:val="center"/>
          </w:tcPr>
          <w:p w14:paraId="6B8ED4C7" w14:textId="77777777" w:rsidR="005E36C3" w:rsidRPr="00A41B49" w:rsidRDefault="005E36C3" w:rsidP="005E36C3">
            <w:pPr>
              <w:spacing w:after="0" w:line="240" w:lineRule="auto"/>
              <w:jc w:val="center"/>
              <w:rPr>
                <w:rFonts w:ascii="Times New Roman" w:eastAsia="Times New Roman" w:hAnsi="Times New Roman" w:cs="Times New Roman"/>
                <w:i/>
                <w:sz w:val="24"/>
                <w:szCs w:val="24"/>
                <w:lang w:val="uk-UA" w:eastAsia="ru-RU"/>
              </w:rPr>
            </w:pPr>
            <w:r w:rsidRPr="00A41B49">
              <w:rPr>
                <w:rFonts w:ascii="Times New Roman" w:eastAsia="Times New Roman" w:hAnsi="Times New Roman" w:cs="Times New Roman"/>
                <w:i/>
                <w:sz w:val="24"/>
                <w:szCs w:val="24"/>
                <w:lang w:val="uk-UA" w:eastAsia="ru-RU"/>
              </w:rPr>
              <w:t>6</w:t>
            </w:r>
          </w:p>
        </w:tc>
        <w:tc>
          <w:tcPr>
            <w:tcW w:w="489" w:type="pct"/>
            <w:tcBorders>
              <w:top w:val="nil"/>
              <w:left w:val="nil"/>
              <w:bottom w:val="single" w:sz="8" w:space="0" w:color="auto"/>
              <w:right w:val="single" w:sz="8" w:space="0" w:color="auto"/>
            </w:tcBorders>
            <w:shd w:val="clear" w:color="auto" w:fill="auto"/>
            <w:vAlign w:val="center"/>
          </w:tcPr>
          <w:p w14:paraId="6185BF1E" w14:textId="77777777" w:rsidR="005E36C3" w:rsidRPr="00A41B49" w:rsidRDefault="005E36C3" w:rsidP="005E36C3">
            <w:pPr>
              <w:spacing w:after="0" w:line="240" w:lineRule="auto"/>
              <w:jc w:val="center"/>
              <w:rPr>
                <w:rFonts w:ascii="Times New Roman" w:eastAsia="Times New Roman" w:hAnsi="Times New Roman" w:cs="Times New Roman"/>
                <w:i/>
                <w:sz w:val="24"/>
                <w:szCs w:val="24"/>
                <w:lang w:val="uk-UA" w:eastAsia="ru-RU"/>
              </w:rPr>
            </w:pPr>
            <w:r w:rsidRPr="00A41B49">
              <w:rPr>
                <w:rFonts w:ascii="Times New Roman" w:eastAsia="Times New Roman" w:hAnsi="Times New Roman" w:cs="Times New Roman"/>
                <w:i/>
                <w:sz w:val="24"/>
                <w:szCs w:val="24"/>
                <w:lang w:val="uk-UA" w:eastAsia="ru-RU"/>
              </w:rPr>
              <w:t>7</w:t>
            </w:r>
          </w:p>
        </w:tc>
        <w:tc>
          <w:tcPr>
            <w:tcW w:w="489" w:type="pct"/>
            <w:tcBorders>
              <w:top w:val="nil"/>
              <w:left w:val="nil"/>
              <w:bottom w:val="single" w:sz="8" w:space="0" w:color="auto"/>
              <w:right w:val="single" w:sz="8" w:space="0" w:color="auto"/>
            </w:tcBorders>
            <w:shd w:val="clear" w:color="auto" w:fill="auto"/>
            <w:vAlign w:val="center"/>
          </w:tcPr>
          <w:p w14:paraId="6301C03B" w14:textId="77777777" w:rsidR="005E36C3" w:rsidRPr="00A41B49" w:rsidRDefault="005E36C3" w:rsidP="005E36C3">
            <w:pPr>
              <w:spacing w:after="0" w:line="240" w:lineRule="auto"/>
              <w:jc w:val="center"/>
              <w:rPr>
                <w:rFonts w:ascii="Times New Roman" w:eastAsia="Times New Roman" w:hAnsi="Times New Roman" w:cs="Times New Roman"/>
                <w:i/>
                <w:sz w:val="24"/>
                <w:szCs w:val="24"/>
                <w:lang w:val="uk-UA" w:eastAsia="ru-RU"/>
              </w:rPr>
            </w:pPr>
            <w:r w:rsidRPr="00A41B49">
              <w:rPr>
                <w:rFonts w:ascii="Times New Roman" w:eastAsia="Times New Roman" w:hAnsi="Times New Roman" w:cs="Times New Roman"/>
                <w:i/>
                <w:sz w:val="24"/>
                <w:szCs w:val="24"/>
                <w:lang w:val="uk-UA" w:eastAsia="ru-RU"/>
              </w:rPr>
              <w:t>8</w:t>
            </w:r>
          </w:p>
        </w:tc>
        <w:tc>
          <w:tcPr>
            <w:tcW w:w="486" w:type="pct"/>
            <w:tcBorders>
              <w:top w:val="nil"/>
              <w:left w:val="nil"/>
              <w:bottom w:val="single" w:sz="8" w:space="0" w:color="auto"/>
              <w:right w:val="single" w:sz="8" w:space="0" w:color="auto"/>
            </w:tcBorders>
            <w:shd w:val="clear" w:color="auto" w:fill="auto"/>
            <w:vAlign w:val="center"/>
          </w:tcPr>
          <w:p w14:paraId="55388B92" w14:textId="77777777" w:rsidR="005E36C3" w:rsidRPr="00A41B49" w:rsidRDefault="005E36C3" w:rsidP="005E36C3">
            <w:pPr>
              <w:spacing w:after="0" w:line="240" w:lineRule="auto"/>
              <w:jc w:val="center"/>
              <w:rPr>
                <w:rFonts w:ascii="Times New Roman" w:eastAsia="Times New Roman" w:hAnsi="Times New Roman" w:cs="Times New Roman"/>
                <w:i/>
                <w:sz w:val="24"/>
                <w:szCs w:val="24"/>
                <w:lang w:val="uk-UA" w:eastAsia="ru-RU"/>
              </w:rPr>
            </w:pPr>
            <w:r w:rsidRPr="00A41B49">
              <w:rPr>
                <w:rFonts w:ascii="Times New Roman" w:eastAsia="Times New Roman" w:hAnsi="Times New Roman" w:cs="Times New Roman"/>
                <w:i/>
                <w:sz w:val="24"/>
                <w:szCs w:val="24"/>
                <w:lang w:val="uk-UA" w:eastAsia="ru-RU"/>
              </w:rPr>
              <w:t>9</w:t>
            </w:r>
          </w:p>
        </w:tc>
      </w:tr>
      <w:tr w:rsidR="00A41B49" w:rsidRPr="00A41B49" w14:paraId="3F82AF7E"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7E8B5A74"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Усього країна</w:t>
            </w:r>
          </w:p>
        </w:tc>
        <w:tc>
          <w:tcPr>
            <w:tcW w:w="521" w:type="pct"/>
            <w:gridSpan w:val="2"/>
            <w:tcBorders>
              <w:top w:val="nil"/>
              <w:left w:val="nil"/>
              <w:bottom w:val="single" w:sz="8" w:space="0" w:color="auto"/>
              <w:right w:val="single" w:sz="8" w:space="0" w:color="auto"/>
            </w:tcBorders>
            <w:shd w:val="clear" w:color="auto" w:fill="auto"/>
            <w:vAlign w:val="center"/>
            <w:hideMark/>
          </w:tcPr>
          <w:p w14:paraId="431A192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37600,4</w:t>
            </w:r>
          </w:p>
        </w:tc>
        <w:tc>
          <w:tcPr>
            <w:tcW w:w="395" w:type="pct"/>
            <w:gridSpan w:val="2"/>
            <w:tcBorders>
              <w:top w:val="nil"/>
              <w:left w:val="nil"/>
              <w:bottom w:val="single" w:sz="8" w:space="0" w:color="auto"/>
              <w:right w:val="single" w:sz="8" w:space="0" w:color="auto"/>
            </w:tcBorders>
            <w:shd w:val="clear" w:color="auto" w:fill="auto"/>
            <w:vAlign w:val="center"/>
            <w:hideMark/>
          </w:tcPr>
          <w:p w14:paraId="5B433D7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72,2</w:t>
            </w:r>
          </w:p>
        </w:tc>
        <w:tc>
          <w:tcPr>
            <w:tcW w:w="522" w:type="pct"/>
            <w:gridSpan w:val="2"/>
            <w:tcBorders>
              <w:top w:val="nil"/>
              <w:left w:val="nil"/>
              <w:bottom w:val="single" w:sz="8" w:space="0" w:color="auto"/>
              <w:right w:val="single" w:sz="8" w:space="0" w:color="auto"/>
            </w:tcBorders>
            <w:shd w:val="clear" w:color="auto" w:fill="auto"/>
            <w:vAlign w:val="center"/>
            <w:hideMark/>
          </w:tcPr>
          <w:p w14:paraId="3D98D6D7"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34112</w:t>
            </w:r>
          </w:p>
        </w:tc>
        <w:tc>
          <w:tcPr>
            <w:tcW w:w="492" w:type="pct"/>
            <w:gridSpan w:val="2"/>
            <w:tcBorders>
              <w:top w:val="nil"/>
              <w:left w:val="nil"/>
              <w:bottom w:val="single" w:sz="8" w:space="0" w:color="auto"/>
              <w:right w:val="single" w:sz="8" w:space="0" w:color="auto"/>
            </w:tcBorders>
            <w:shd w:val="clear" w:color="auto" w:fill="auto"/>
            <w:vAlign w:val="center"/>
            <w:hideMark/>
          </w:tcPr>
          <w:p w14:paraId="2B76D83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66,9</w:t>
            </w:r>
          </w:p>
        </w:tc>
        <w:tc>
          <w:tcPr>
            <w:tcW w:w="520" w:type="pct"/>
            <w:tcBorders>
              <w:top w:val="nil"/>
              <w:left w:val="nil"/>
              <w:bottom w:val="single" w:sz="8" w:space="0" w:color="auto"/>
              <w:right w:val="single" w:sz="8" w:space="0" w:color="auto"/>
            </w:tcBorders>
            <w:shd w:val="clear" w:color="auto" w:fill="auto"/>
            <w:vAlign w:val="center"/>
            <w:hideMark/>
          </w:tcPr>
          <w:p w14:paraId="09507A5D"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35856,2</w:t>
            </w:r>
          </w:p>
        </w:tc>
        <w:tc>
          <w:tcPr>
            <w:tcW w:w="489" w:type="pct"/>
            <w:tcBorders>
              <w:top w:val="nil"/>
              <w:left w:val="nil"/>
              <w:bottom w:val="single" w:sz="8" w:space="0" w:color="auto"/>
              <w:right w:val="single" w:sz="8" w:space="0" w:color="auto"/>
            </w:tcBorders>
            <w:shd w:val="clear" w:color="auto" w:fill="auto"/>
            <w:vAlign w:val="center"/>
            <w:hideMark/>
          </w:tcPr>
          <w:p w14:paraId="6F72FBDA"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69,5</w:t>
            </w:r>
          </w:p>
        </w:tc>
        <w:tc>
          <w:tcPr>
            <w:tcW w:w="489" w:type="pct"/>
            <w:tcBorders>
              <w:top w:val="nil"/>
              <w:left w:val="nil"/>
              <w:bottom w:val="single" w:sz="8" w:space="0" w:color="auto"/>
              <w:right w:val="single" w:sz="8" w:space="0" w:color="auto"/>
            </w:tcBorders>
            <w:shd w:val="clear" w:color="auto" w:fill="auto"/>
            <w:vAlign w:val="center"/>
            <w:hideMark/>
          </w:tcPr>
          <w:p w14:paraId="2934D1A2"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-3488,4</w:t>
            </w:r>
          </w:p>
        </w:tc>
        <w:tc>
          <w:tcPr>
            <w:tcW w:w="486" w:type="pct"/>
            <w:tcBorders>
              <w:top w:val="nil"/>
              <w:left w:val="nil"/>
              <w:bottom w:val="single" w:sz="8" w:space="0" w:color="auto"/>
              <w:right w:val="single" w:sz="8" w:space="0" w:color="auto"/>
            </w:tcBorders>
            <w:shd w:val="clear" w:color="auto" w:fill="auto"/>
            <w:vAlign w:val="center"/>
            <w:hideMark/>
          </w:tcPr>
          <w:p w14:paraId="6A5AFC01"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-5,3</w:t>
            </w:r>
          </w:p>
        </w:tc>
      </w:tr>
      <w:tr w:rsidR="00A41B49" w:rsidRPr="00A41B49" w14:paraId="5E9CEA0E"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13935BA7"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Вінницька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172FD835"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384,1</w:t>
            </w:r>
          </w:p>
        </w:tc>
        <w:tc>
          <w:tcPr>
            <w:tcW w:w="395" w:type="pct"/>
            <w:gridSpan w:val="2"/>
            <w:tcBorders>
              <w:top w:val="nil"/>
              <w:left w:val="nil"/>
              <w:bottom w:val="single" w:sz="8" w:space="0" w:color="auto"/>
              <w:right w:val="single" w:sz="8" w:space="0" w:color="auto"/>
            </w:tcBorders>
            <w:shd w:val="clear" w:color="auto" w:fill="auto"/>
            <w:vAlign w:val="center"/>
            <w:hideMark/>
          </w:tcPr>
          <w:p w14:paraId="2186281F"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52,1</w:t>
            </w:r>
          </w:p>
        </w:tc>
        <w:tc>
          <w:tcPr>
            <w:tcW w:w="522" w:type="pct"/>
            <w:gridSpan w:val="2"/>
            <w:tcBorders>
              <w:top w:val="nil"/>
              <w:left w:val="nil"/>
              <w:bottom w:val="single" w:sz="8" w:space="0" w:color="auto"/>
              <w:right w:val="single" w:sz="8" w:space="0" w:color="auto"/>
            </w:tcBorders>
            <w:shd w:val="clear" w:color="auto" w:fill="auto"/>
            <w:vAlign w:val="center"/>
            <w:hideMark/>
          </w:tcPr>
          <w:p w14:paraId="32BDEFF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502,5</w:t>
            </w:r>
          </w:p>
        </w:tc>
        <w:tc>
          <w:tcPr>
            <w:tcW w:w="492" w:type="pct"/>
            <w:gridSpan w:val="2"/>
            <w:tcBorders>
              <w:top w:val="nil"/>
              <w:left w:val="nil"/>
              <w:bottom w:val="single" w:sz="8" w:space="0" w:color="auto"/>
              <w:right w:val="single" w:sz="8" w:space="0" w:color="auto"/>
            </w:tcBorders>
            <w:shd w:val="clear" w:color="auto" w:fill="auto"/>
            <w:vAlign w:val="center"/>
            <w:hideMark/>
          </w:tcPr>
          <w:p w14:paraId="3BAB0A14"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54,3</w:t>
            </w:r>
          </w:p>
        </w:tc>
        <w:tc>
          <w:tcPr>
            <w:tcW w:w="520" w:type="pct"/>
            <w:tcBorders>
              <w:top w:val="nil"/>
              <w:left w:val="nil"/>
              <w:bottom w:val="single" w:sz="8" w:space="0" w:color="auto"/>
              <w:right w:val="single" w:sz="8" w:space="0" w:color="auto"/>
            </w:tcBorders>
            <w:shd w:val="clear" w:color="auto" w:fill="auto"/>
            <w:vAlign w:val="center"/>
            <w:hideMark/>
          </w:tcPr>
          <w:p w14:paraId="2BAE821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443,3</w:t>
            </w:r>
          </w:p>
        </w:tc>
        <w:tc>
          <w:tcPr>
            <w:tcW w:w="489" w:type="pct"/>
            <w:tcBorders>
              <w:top w:val="nil"/>
              <w:left w:val="nil"/>
              <w:bottom w:val="single" w:sz="8" w:space="0" w:color="auto"/>
              <w:right w:val="single" w:sz="8" w:space="0" w:color="auto"/>
            </w:tcBorders>
            <w:shd w:val="clear" w:color="auto" w:fill="auto"/>
            <w:vAlign w:val="center"/>
            <w:hideMark/>
          </w:tcPr>
          <w:p w14:paraId="60C0E074"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53,2</w:t>
            </w:r>
          </w:p>
        </w:tc>
        <w:tc>
          <w:tcPr>
            <w:tcW w:w="489" w:type="pct"/>
            <w:tcBorders>
              <w:top w:val="nil"/>
              <w:left w:val="nil"/>
              <w:bottom w:val="single" w:sz="8" w:space="0" w:color="auto"/>
              <w:right w:val="single" w:sz="8" w:space="0" w:color="auto"/>
            </w:tcBorders>
            <w:shd w:val="clear" w:color="auto" w:fill="auto"/>
            <w:vAlign w:val="center"/>
            <w:hideMark/>
          </w:tcPr>
          <w:p w14:paraId="626F9BE7"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118,4</w:t>
            </w:r>
          </w:p>
        </w:tc>
        <w:tc>
          <w:tcPr>
            <w:tcW w:w="486" w:type="pct"/>
            <w:tcBorders>
              <w:top w:val="nil"/>
              <w:left w:val="nil"/>
              <w:bottom w:val="single" w:sz="8" w:space="0" w:color="auto"/>
              <w:right w:val="single" w:sz="8" w:space="0" w:color="auto"/>
            </w:tcBorders>
            <w:shd w:val="clear" w:color="auto" w:fill="auto"/>
            <w:vAlign w:val="center"/>
            <w:hideMark/>
          </w:tcPr>
          <w:p w14:paraId="6EBCDDFB"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2,2</w:t>
            </w:r>
          </w:p>
        </w:tc>
      </w:tr>
      <w:tr w:rsidR="00A41B49" w:rsidRPr="00A41B49" w14:paraId="2A49CBBF"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44CC0F4D"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Волинська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6373CC3F"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247,9</w:t>
            </w:r>
          </w:p>
        </w:tc>
        <w:tc>
          <w:tcPr>
            <w:tcW w:w="395" w:type="pct"/>
            <w:gridSpan w:val="2"/>
            <w:tcBorders>
              <w:top w:val="nil"/>
              <w:left w:val="nil"/>
              <w:bottom w:val="single" w:sz="8" w:space="0" w:color="auto"/>
              <w:right w:val="single" w:sz="8" w:space="0" w:color="auto"/>
            </w:tcBorders>
            <w:shd w:val="clear" w:color="auto" w:fill="auto"/>
            <w:vAlign w:val="center"/>
            <w:hideMark/>
          </w:tcPr>
          <w:p w14:paraId="6C6F6D78"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74,8</w:t>
            </w:r>
          </w:p>
        </w:tc>
        <w:tc>
          <w:tcPr>
            <w:tcW w:w="522" w:type="pct"/>
            <w:gridSpan w:val="2"/>
            <w:tcBorders>
              <w:top w:val="nil"/>
              <w:left w:val="nil"/>
              <w:bottom w:val="single" w:sz="8" w:space="0" w:color="auto"/>
              <w:right w:val="single" w:sz="8" w:space="0" w:color="auto"/>
            </w:tcBorders>
            <w:shd w:val="clear" w:color="auto" w:fill="auto"/>
            <w:vAlign w:val="center"/>
            <w:hideMark/>
          </w:tcPr>
          <w:p w14:paraId="09C7739B"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260,2</w:t>
            </w:r>
          </w:p>
        </w:tc>
        <w:tc>
          <w:tcPr>
            <w:tcW w:w="492" w:type="pct"/>
            <w:gridSpan w:val="2"/>
            <w:tcBorders>
              <w:top w:val="nil"/>
              <w:left w:val="nil"/>
              <w:bottom w:val="single" w:sz="8" w:space="0" w:color="auto"/>
              <w:right w:val="single" w:sz="8" w:space="0" w:color="auto"/>
            </w:tcBorders>
            <w:shd w:val="clear" w:color="auto" w:fill="auto"/>
            <w:vAlign w:val="center"/>
            <w:hideMark/>
          </w:tcPr>
          <w:p w14:paraId="43AAC11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70,8</w:t>
            </w:r>
          </w:p>
        </w:tc>
        <w:tc>
          <w:tcPr>
            <w:tcW w:w="520" w:type="pct"/>
            <w:tcBorders>
              <w:top w:val="nil"/>
              <w:left w:val="nil"/>
              <w:bottom w:val="single" w:sz="8" w:space="0" w:color="auto"/>
              <w:right w:val="single" w:sz="8" w:space="0" w:color="auto"/>
            </w:tcBorders>
            <w:shd w:val="clear" w:color="auto" w:fill="auto"/>
            <w:vAlign w:val="center"/>
            <w:hideMark/>
          </w:tcPr>
          <w:p w14:paraId="08BDBF7C"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254,05</w:t>
            </w:r>
          </w:p>
        </w:tc>
        <w:tc>
          <w:tcPr>
            <w:tcW w:w="489" w:type="pct"/>
            <w:tcBorders>
              <w:top w:val="nil"/>
              <w:left w:val="nil"/>
              <w:bottom w:val="single" w:sz="8" w:space="0" w:color="auto"/>
              <w:right w:val="single" w:sz="8" w:space="0" w:color="auto"/>
            </w:tcBorders>
            <w:shd w:val="clear" w:color="auto" w:fill="auto"/>
            <w:vAlign w:val="center"/>
            <w:hideMark/>
          </w:tcPr>
          <w:p w14:paraId="7267B9C2"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72,8</w:t>
            </w:r>
          </w:p>
        </w:tc>
        <w:tc>
          <w:tcPr>
            <w:tcW w:w="489" w:type="pct"/>
            <w:tcBorders>
              <w:top w:val="nil"/>
              <w:left w:val="nil"/>
              <w:bottom w:val="single" w:sz="8" w:space="0" w:color="auto"/>
              <w:right w:val="single" w:sz="8" w:space="0" w:color="auto"/>
            </w:tcBorders>
            <w:shd w:val="clear" w:color="auto" w:fill="auto"/>
            <w:vAlign w:val="center"/>
            <w:hideMark/>
          </w:tcPr>
          <w:p w14:paraId="104E2CC8"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12,3</w:t>
            </w:r>
          </w:p>
        </w:tc>
        <w:tc>
          <w:tcPr>
            <w:tcW w:w="486" w:type="pct"/>
            <w:tcBorders>
              <w:top w:val="nil"/>
              <w:left w:val="nil"/>
              <w:bottom w:val="single" w:sz="8" w:space="0" w:color="auto"/>
              <w:right w:val="single" w:sz="8" w:space="0" w:color="auto"/>
            </w:tcBorders>
            <w:shd w:val="clear" w:color="auto" w:fill="auto"/>
            <w:vAlign w:val="center"/>
            <w:hideMark/>
          </w:tcPr>
          <w:p w14:paraId="2218BE5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-4,1</w:t>
            </w:r>
          </w:p>
        </w:tc>
      </w:tr>
      <w:tr w:rsidR="00A41B49" w:rsidRPr="00A41B49" w14:paraId="0AD78C2E"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6C1A1934"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Дніпропетровська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4045D049"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4661,7</w:t>
            </w:r>
          </w:p>
        </w:tc>
        <w:tc>
          <w:tcPr>
            <w:tcW w:w="395" w:type="pct"/>
            <w:gridSpan w:val="2"/>
            <w:tcBorders>
              <w:top w:val="nil"/>
              <w:left w:val="nil"/>
              <w:bottom w:val="single" w:sz="8" w:space="0" w:color="auto"/>
              <w:right w:val="single" w:sz="8" w:space="0" w:color="auto"/>
            </w:tcBorders>
            <w:shd w:val="clear" w:color="auto" w:fill="auto"/>
            <w:vAlign w:val="center"/>
            <w:hideMark/>
          </w:tcPr>
          <w:p w14:paraId="515445AD"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80,8</w:t>
            </w:r>
          </w:p>
        </w:tc>
        <w:tc>
          <w:tcPr>
            <w:tcW w:w="522" w:type="pct"/>
            <w:gridSpan w:val="2"/>
            <w:tcBorders>
              <w:top w:val="nil"/>
              <w:left w:val="nil"/>
              <w:bottom w:val="single" w:sz="8" w:space="0" w:color="auto"/>
              <w:right w:val="single" w:sz="8" w:space="0" w:color="auto"/>
            </w:tcBorders>
            <w:shd w:val="clear" w:color="auto" w:fill="auto"/>
            <w:vAlign w:val="center"/>
            <w:hideMark/>
          </w:tcPr>
          <w:p w14:paraId="2901F0CA"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6204,6</w:t>
            </w:r>
          </w:p>
        </w:tc>
        <w:tc>
          <w:tcPr>
            <w:tcW w:w="492" w:type="pct"/>
            <w:gridSpan w:val="2"/>
            <w:tcBorders>
              <w:top w:val="nil"/>
              <w:left w:val="nil"/>
              <w:bottom w:val="single" w:sz="8" w:space="0" w:color="auto"/>
              <w:right w:val="single" w:sz="8" w:space="0" w:color="auto"/>
            </w:tcBorders>
            <w:shd w:val="clear" w:color="auto" w:fill="auto"/>
            <w:vAlign w:val="center"/>
            <w:hideMark/>
          </w:tcPr>
          <w:p w14:paraId="4A7F4149"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81,0</w:t>
            </w:r>
          </w:p>
        </w:tc>
        <w:tc>
          <w:tcPr>
            <w:tcW w:w="520" w:type="pct"/>
            <w:tcBorders>
              <w:top w:val="nil"/>
              <w:left w:val="nil"/>
              <w:bottom w:val="single" w:sz="8" w:space="0" w:color="auto"/>
              <w:right w:val="single" w:sz="8" w:space="0" w:color="auto"/>
            </w:tcBorders>
            <w:shd w:val="clear" w:color="auto" w:fill="auto"/>
            <w:vAlign w:val="center"/>
            <w:hideMark/>
          </w:tcPr>
          <w:p w14:paraId="0EF8677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5433,15</w:t>
            </w:r>
          </w:p>
        </w:tc>
        <w:tc>
          <w:tcPr>
            <w:tcW w:w="489" w:type="pct"/>
            <w:tcBorders>
              <w:top w:val="nil"/>
              <w:left w:val="nil"/>
              <w:bottom w:val="single" w:sz="8" w:space="0" w:color="auto"/>
              <w:right w:val="single" w:sz="8" w:space="0" w:color="auto"/>
            </w:tcBorders>
            <w:shd w:val="clear" w:color="auto" w:fill="auto"/>
            <w:vAlign w:val="center"/>
            <w:hideMark/>
          </w:tcPr>
          <w:p w14:paraId="6AA4E5F6"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80,9</w:t>
            </w:r>
          </w:p>
        </w:tc>
        <w:tc>
          <w:tcPr>
            <w:tcW w:w="489" w:type="pct"/>
            <w:tcBorders>
              <w:top w:val="nil"/>
              <w:left w:val="nil"/>
              <w:bottom w:val="single" w:sz="8" w:space="0" w:color="auto"/>
              <w:right w:val="single" w:sz="8" w:space="0" w:color="auto"/>
            </w:tcBorders>
            <w:shd w:val="clear" w:color="auto" w:fill="auto"/>
            <w:vAlign w:val="center"/>
            <w:hideMark/>
          </w:tcPr>
          <w:p w14:paraId="531709FF"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1542,9</w:t>
            </w:r>
          </w:p>
        </w:tc>
        <w:tc>
          <w:tcPr>
            <w:tcW w:w="486" w:type="pct"/>
            <w:tcBorders>
              <w:top w:val="nil"/>
              <w:left w:val="nil"/>
              <w:bottom w:val="single" w:sz="8" w:space="0" w:color="auto"/>
              <w:right w:val="single" w:sz="8" w:space="0" w:color="auto"/>
            </w:tcBorders>
            <w:shd w:val="clear" w:color="auto" w:fill="auto"/>
            <w:vAlign w:val="center"/>
            <w:hideMark/>
          </w:tcPr>
          <w:p w14:paraId="35E7709A"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0,3</w:t>
            </w:r>
          </w:p>
        </w:tc>
      </w:tr>
      <w:tr w:rsidR="00A41B49" w:rsidRPr="00A41B49" w14:paraId="22FB9432"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0A297816" w14:textId="77777777" w:rsidR="009A36AB" w:rsidRPr="00A41B49" w:rsidRDefault="009A36A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Донецька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73F0A062" w14:textId="77777777" w:rsidR="009A36AB" w:rsidRPr="00A41B49" w:rsidRDefault="009A36A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1745,3</w:t>
            </w:r>
          </w:p>
        </w:tc>
        <w:tc>
          <w:tcPr>
            <w:tcW w:w="395" w:type="pct"/>
            <w:gridSpan w:val="2"/>
            <w:tcBorders>
              <w:top w:val="nil"/>
              <w:left w:val="nil"/>
              <w:bottom w:val="single" w:sz="8" w:space="0" w:color="auto"/>
              <w:right w:val="single" w:sz="8" w:space="0" w:color="auto"/>
            </w:tcBorders>
            <w:shd w:val="clear" w:color="auto" w:fill="auto"/>
            <w:vAlign w:val="center"/>
            <w:hideMark/>
          </w:tcPr>
          <w:p w14:paraId="7145B8E0" w14:textId="77777777" w:rsidR="009A36AB" w:rsidRPr="00A41B49" w:rsidRDefault="009A36A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71,6</w:t>
            </w:r>
          </w:p>
        </w:tc>
        <w:tc>
          <w:tcPr>
            <w:tcW w:w="522" w:type="pct"/>
            <w:gridSpan w:val="2"/>
            <w:tcBorders>
              <w:top w:val="nil"/>
              <w:left w:val="nil"/>
              <w:bottom w:val="single" w:sz="8" w:space="0" w:color="auto"/>
              <w:right w:val="single" w:sz="8" w:space="0" w:color="auto"/>
            </w:tcBorders>
            <w:shd w:val="clear" w:color="auto" w:fill="auto"/>
            <w:vAlign w:val="center"/>
            <w:hideMark/>
          </w:tcPr>
          <w:p w14:paraId="1AD24B29"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92" w:type="pct"/>
            <w:gridSpan w:val="2"/>
            <w:tcBorders>
              <w:top w:val="nil"/>
              <w:left w:val="nil"/>
              <w:bottom w:val="single" w:sz="8" w:space="0" w:color="auto"/>
              <w:right w:val="single" w:sz="8" w:space="0" w:color="auto"/>
            </w:tcBorders>
            <w:shd w:val="clear" w:color="auto" w:fill="auto"/>
            <w:vAlign w:val="center"/>
            <w:hideMark/>
          </w:tcPr>
          <w:p w14:paraId="109A1906"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520" w:type="pct"/>
            <w:tcBorders>
              <w:top w:val="nil"/>
              <w:left w:val="nil"/>
              <w:bottom w:val="single" w:sz="8" w:space="0" w:color="auto"/>
              <w:right w:val="single" w:sz="8" w:space="0" w:color="auto"/>
            </w:tcBorders>
            <w:shd w:val="clear" w:color="auto" w:fill="auto"/>
            <w:vAlign w:val="center"/>
            <w:hideMark/>
          </w:tcPr>
          <w:p w14:paraId="02BEA658"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89" w:type="pct"/>
            <w:tcBorders>
              <w:top w:val="nil"/>
              <w:left w:val="nil"/>
              <w:bottom w:val="single" w:sz="8" w:space="0" w:color="auto"/>
              <w:right w:val="single" w:sz="8" w:space="0" w:color="auto"/>
            </w:tcBorders>
            <w:shd w:val="clear" w:color="auto" w:fill="auto"/>
            <w:vAlign w:val="center"/>
            <w:hideMark/>
          </w:tcPr>
          <w:p w14:paraId="6700230E"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89" w:type="pct"/>
            <w:tcBorders>
              <w:top w:val="nil"/>
              <w:left w:val="nil"/>
              <w:bottom w:val="single" w:sz="8" w:space="0" w:color="auto"/>
              <w:right w:val="single" w:sz="8" w:space="0" w:color="auto"/>
            </w:tcBorders>
            <w:shd w:val="clear" w:color="auto" w:fill="auto"/>
            <w:vAlign w:val="center"/>
            <w:hideMark/>
          </w:tcPr>
          <w:p w14:paraId="0B4DCCEC"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86" w:type="pct"/>
            <w:tcBorders>
              <w:top w:val="nil"/>
              <w:left w:val="nil"/>
              <w:bottom w:val="single" w:sz="8" w:space="0" w:color="auto"/>
              <w:right w:val="single" w:sz="8" w:space="0" w:color="auto"/>
            </w:tcBorders>
            <w:shd w:val="clear" w:color="auto" w:fill="auto"/>
            <w:vAlign w:val="center"/>
            <w:hideMark/>
          </w:tcPr>
          <w:p w14:paraId="42BB3561"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r>
      <w:tr w:rsidR="00A41B49" w:rsidRPr="00A41B49" w14:paraId="53F5BD9B"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2871005B"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Житомирська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122773C2"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320,4</w:t>
            </w:r>
          </w:p>
        </w:tc>
        <w:tc>
          <w:tcPr>
            <w:tcW w:w="395" w:type="pct"/>
            <w:gridSpan w:val="2"/>
            <w:tcBorders>
              <w:top w:val="nil"/>
              <w:left w:val="nil"/>
              <w:bottom w:val="single" w:sz="8" w:space="0" w:color="auto"/>
              <w:right w:val="single" w:sz="8" w:space="0" w:color="auto"/>
            </w:tcBorders>
            <w:shd w:val="clear" w:color="auto" w:fill="auto"/>
            <w:vAlign w:val="center"/>
            <w:hideMark/>
          </w:tcPr>
          <w:p w14:paraId="0E90A502"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46,3</w:t>
            </w:r>
          </w:p>
        </w:tc>
        <w:tc>
          <w:tcPr>
            <w:tcW w:w="522" w:type="pct"/>
            <w:gridSpan w:val="2"/>
            <w:tcBorders>
              <w:top w:val="nil"/>
              <w:left w:val="nil"/>
              <w:bottom w:val="single" w:sz="8" w:space="0" w:color="auto"/>
              <w:right w:val="single" w:sz="8" w:space="0" w:color="auto"/>
            </w:tcBorders>
            <w:shd w:val="clear" w:color="auto" w:fill="auto"/>
            <w:vAlign w:val="center"/>
            <w:hideMark/>
          </w:tcPr>
          <w:p w14:paraId="5E16F4CC"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284</w:t>
            </w:r>
          </w:p>
        </w:tc>
        <w:tc>
          <w:tcPr>
            <w:tcW w:w="492" w:type="pct"/>
            <w:gridSpan w:val="2"/>
            <w:tcBorders>
              <w:top w:val="nil"/>
              <w:left w:val="nil"/>
              <w:bottom w:val="single" w:sz="8" w:space="0" w:color="auto"/>
              <w:right w:val="single" w:sz="8" w:space="0" w:color="auto"/>
            </w:tcBorders>
            <w:shd w:val="clear" w:color="auto" w:fill="auto"/>
            <w:vAlign w:val="center"/>
            <w:hideMark/>
          </w:tcPr>
          <w:p w14:paraId="31BA235B"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41,6</w:t>
            </w:r>
          </w:p>
        </w:tc>
        <w:tc>
          <w:tcPr>
            <w:tcW w:w="520" w:type="pct"/>
            <w:tcBorders>
              <w:top w:val="nil"/>
              <w:left w:val="nil"/>
              <w:bottom w:val="single" w:sz="8" w:space="0" w:color="auto"/>
              <w:right w:val="single" w:sz="8" w:space="0" w:color="auto"/>
            </w:tcBorders>
            <w:shd w:val="clear" w:color="auto" w:fill="auto"/>
            <w:vAlign w:val="center"/>
            <w:hideMark/>
          </w:tcPr>
          <w:p w14:paraId="4CEB2D74"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302,2</w:t>
            </w:r>
          </w:p>
        </w:tc>
        <w:tc>
          <w:tcPr>
            <w:tcW w:w="489" w:type="pct"/>
            <w:tcBorders>
              <w:top w:val="nil"/>
              <w:left w:val="nil"/>
              <w:bottom w:val="single" w:sz="8" w:space="0" w:color="auto"/>
              <w:right w:val="single" w:sz="8" w:space="0" w:color="auto"/>
            </w:tcBorders>
            <w:shd w:val="clear" w:color="auto" w:fill="auto"/>
            <w:vAlign w:val="center"/>
            <w:hideMark/>
          </w:tcPr>
          <w:p w14:paraId="753B9B58"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43,9</w:t>
            </w:r>
          </w:p>
        </w:tc>
        <w:tc>
          <w:tcPr>
            <w:tcW w:w="489" w:type="pct"/>
            <w:tcBorders>
              <w:top w:val="nil"/>
              <w:left w:val="nil"/>
              <w:bottom w:val="single" w:sz="8" w:space="0" w:color="auto"/>
              <w:right w:val="single" w:sz="8" w:space="0" w:color="auto"/>
            </w:tcBorders>
            <w:shd w:val="clear" w:color="auto" w:fill="auto"/>
            <w:vAlign w:val="center"/>
            <w:hideMark/>
          </w:tcPr>
          <w:p w14:paraId="0AC387DE"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-36,4</w:t>
            </w:r>
          </w:p>
        </w:tc>
        <w:tc>
          <w:tcPr>
            <w:tcW w:w="486" w:type="pct"/>
            <w:tcBorders>
              <w:top w:val="nil"/>
              <w:left w:val="nil"/>
              <w:bottom w:val="single" w:sz="8" w:space="0" w:color="auto"/>
              <w:right w:val="single" w:sz="8" w:space="0" w:color="auto"/>
            </w:tcBorders>
            <w:shd w:val="clear" w:color="auto" w:fill="auto"/>
            <w:vAlign w:val="center"/>
            <w:hideMark/>
          </w:tcPr>
          <w:p w14:paraId="0A3FFDBC"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-4,7</w:t>
            </w:r>
          </w:p>
        </w:tc>
      </w:tr>
      <w:tr w:rsidR="00A41B49" w:rsidRPr="00A41B49" w14:paraId="08B987E1"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1577D8E0"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Закарпатська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31C7BCA1"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242</w:t>
            </w:r>
          </w:p>
        </w:tc>
        <w:tc>
          <w:tcPr>
            <w:tcW w:w="395" w:type="pct"/>
            <w:gridSpan w:val="2"/>
            <w:tcBorders>
              <w:top w:val="nil"/>
              <w:left w:val="nil"/>
              <w:bottom w:val="single" w:sz="8" w:space="0" w:color="auto"/>
              <w:right w:val="single" w:sz="8" w:space="0" w:color="auto"/>
            </w:tcBorders>
            <w:shd w:val="clear" w:color="auto" w:fill="auto"/>
            <w:vAlign w:val="center"/>
            <w:hideMark/>
          </w:tcPr>
          <w:p w14:paraId="569C2941"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59,3</w:t>
            </w:r>
          </w:p>
        </w:tc>
        <w:tc>
          <w:tcPr>
            <w:tcW w:w="522" w:type="pct"/>
            <w:gridSpan w:val="2"/>
            <w:tcBorders>
              <w:top w:val="nil"/>
              <w:left w:val="nil"/>
              <w:bottom w:val="single" w:sz="8" w:space="0" w:color="auto"/>
              <w:right w:val="single" w:sz="8" w:space="0" w:color="auto"/>
            </w:tcBorders>
            <w:shd w:val="clear" w:color="auto" w:fill="auto"/>
            <w:vAlign w:val="center"/>
            <w:hideMark/>
          </w:tcPr>
          <w:p w14:paraId="3FE7885E"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405,1</w:t>
            </w:r>
          </w:p>
        </w:tc>
        <w:tc>
          <w:tcPr>
            <w:tcW w:w="492" w:type="pct"/>
            <w:gridSpan w:val="2"/>
            <w:tcBorders>
              <w:top w:val="nil"/>
              <w:left w:val="nil"/>
              <w:bottom w:val="single" w:sz="8" w:space="0" w:color="auto"/>
              <w:right w:val="single" w:sz="8" w:space="0" w:color="auto"/>
            </w:tcBorders>
            <w:shd w:val="clear" w:color="auto" w:fill="auto"/>
            <w:vAlign w:val="center"/>
            <w:hideMark/>
          </w:tcPr>
          <w:p w14:paraId="30674B4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68,7</w:t>
            </w:r>
          </w:p>
        </w:tc>
        <w:tc>
          <w:tcPr>
            <w:tcW w:w="520" w:type="pct"/>
            <w:tcBorders>
              <w:top w:val="nil"/>
              <w:left w:val="nil"/>
              <w:bottom w:val="single" w:sz="8" w:space="0" w:color="auto"/>
              <w:right w:val="single" w:sz="8" w:space="0" w:color="auto"/>
            </w:tcBorders>
            <w:shd w:val="clear" w:color="auto" w:fill="auto"/>
            <w:vAlign w:val="center"/>
            <w:hideMark/>
          </w:tcPr>
          <w:p w14:paraId="05BEAC92"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323,55</w:t>
            </w:r>
          </w:p>
        </w:tc>
        <w:tc>
          <w:tcPr>
            <w:tcW w:w="489" w:type="pct"/>
            <w:tcBorders>
              <w:top w:val="nil"/>
              <w:left w:val="nil"/>
              <w:bottom w:val="single" w:sz="8" w:space="0" w:color="auto"/>
              <w:right w:val="single" w:sz="8" w:space="0" w:color="auto"/>
            </w:tcBorders>
            <w:shd w:val="clear" w:color="auto" w:fill="auto"/>
            <w:vAlign w:val="center"/>
            <w:hideMark/>
          </w:tcPr>
          <w:p w14:paraId="7EEF1A1A"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64,0</w:t>
            </w:r>
          </w:p>
        </w:tc>
        <w:tc>
          <w:tcPr>
            <w:tcW w:w="489" w:type="pct"/>
            <w:tcBorders>
              <w:top w:val="nil"/>
              <w:left w:val="nil"/>
              <w:bottom w:val="single" w:sz="8" w:space="0" w:color="auto"/>
              <w:right w:val="single" w:sz="8" w:space="0" w:color="auto"/>
            </w:tcBorders>
            <w:shd w:val="clear" w:color="auto" w:fill="auto"/>
            <w:vAlign w:val="center"/>
            <w:hideMark/>
          </w:tcPr>
          <w:p w14:paraId="35C95912"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163,1</w:t>
            </w:r>
          </w:p>
        </w:tc>
        <w:tc>
          <w:tcPr>
            <w:tcW w:w="486" w:type="pct"/>
            <w:tcBorders>
              <w:top w:val="nil"/>
              <w:left w:val="nil"/>
              <w:bottom w:val="single" w:sz="8" w:space="0" w:color="auto"/>
              <w:right w:val="single" w:sz="8" w:space="0" w:color="auto"/>
            </w:tcBorders>
            <w:shd w:val="clear" w:color="auto" w:fill="auto"/>
            <w:vAlign w:val="center"/>
            <w:hideMark/>
          </w:tcPr>
          <w:p w14:paraId="086AEAAC"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9,3</w:t>
            </w:r>
          </w:p>
        </w:tc>
      </w:tr>
      <w:tr w:rsidR="00A41B49" w:rsidRPr="00A41B49" w14:paraId="4E55ECC9"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509E697A"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Запорізька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684143A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1427,8</w:t>
            </w:r>
          </w:p>
        </w:tc>
        <w:tc>
          <w:tcPr>
            <w:tcW w:w="395" w:type="pct"/>
            <w:gridSpan w:val="2"/>
            <w:tcBorders>
              <w:top w:val="nil"/>
              <w:left w:val="nil"/>
              <w:bottom w:val="single" w:sz="8" w:space="0" w:color="auto"/>
              <w:right w:val="single" w:sz="8" w:space="0" w:color="auto"/>
            </w:tcBorders>
            <w:shd w:val="clear" w:color="auto" w:fill="auto"/>
            <w:vAlign w:val="center"/>
            <w:hideMark/>
          </w:tcPr>
          <w:p w14:paraId="2ACCA7A5"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91,6</w:t>
            </w:r>
          </w:p>
        </w:tc>
        <w:tc>
          <w:tcPr>
            <w:tcW w:w="522" w:type="pct"/>
            <w:gridSpan w:val="2"/>
            <w:tcBorders>
              <w:top w:val="nil"/>
              <w:left w:val="nil"/>
              <w:bottom w:val="single" w:sz="8" w:space="0" w:color="auto"/>
              <w:right w:val="single" w:sz="8" w:space="0" w:color="auto"/>
            </w:tcBorders>
            <w:shd w:val="clear" w:color="auto" w:fill="auto"/>
            <w:vAlign w:val="center"/>
            <w:hideMark/>
          </w:tcPr>
          <w:p w14:paraId="08484035"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1355,2</w:t>
            </w:r>
          </w:p>
        </w:tc>
        <w:tc>
          <w:tcPr>
            <w:tcW w:w="492" w:type="pct"/>
            <w:gridSpan w:val="2"/>
            <w:tcBorders>
              <w:top w:val="nil"/>
              <w:left w:val="nil"/>
              <w:bottom w:val="single" w:sz="8" w:space="0" w:color="auto"/>
              <w:right w:val="single" w:sz="8" w:space="0" w:color="auto"/>
            </w:tcBorders>
            <w:shd w:val="clear" w:color="auto" w:fill="auto"/>
            <w:vAlign w:val="center"/>
            <w:hideMark/>
          </w:tcPr>
          <w:p w14:paraId="56D3EDDF"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80,3</w:t>
            </w:r>
          </w:p>
        </w:tc>
        <w:tc>
          <w:tcPr>
            <w:tcW w:w="520" w:type="pct"/>
            <w:tcBorders>
              <w:top w:val="nil"/>
              <w:left w:val="nil"/>
              <w:bottom w:val="single" w:sz="8" w:space="0" w:color="auto"/>
              <w:right w:val="single" w:sz="8" w:space="0" w:color="auto"/>
            </w:tcBorders>
            <w:shd w:val="clear" w:color="auto" w:fill="auto"/>
            <w:vAlign w:val="center"/>
            <w:hideMark/>
          </w:tcPr>
          <w:p w14:paraId="1B595BD5"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1391,5</w:t>
            </w:r>
          </w:p>
        </w:tc>
        <w:tc>
          <w:tcPr>
            <w:tcW w:w="489" w:type="pct"/>
            <w:tcBorders>
              <w:top w:val="nil"/>
              <w:left w:val="nil"/>
              <w:bottom w:val="single" w:sz="8" w:space="0" w:color="auto"/>
              <w:right w:val="single" w:sz="8" w:space="0" w:color="auto"/>
            </w:tcBorders>
            <w:shd w:val="clear" w:color="auto" w:fill="auto"/>
            <w:vAlign w:val="center"/>
            <w:hideMark/>
          </w:tcPr>
          <w:p w14:paraId="4E24A95C"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85,9</w:t>
            </w:r>
          </w:p>
        </w:tc>
        <w:tc>
          <w:tcPr>
            <w:tcW w:w="489" w:type="pct"/>
            <w:tcBorders>
              <w:top w:val="nil"/>
              <w:left w:val="nil"/>
              <w:bottom w:val="single" w:sz="8" w:space="0" w:color="auto"/>
              <w:right w:val="single" w:sz="8" w:space="0" w:color="auto"/>
            </w:tcBorders>
            <w:shd w:val="clear" w:color="auto" w:fill="auto"/>
            <w:vAlign w:val="center"/>
            <w:hideMark/>
          </w:tcPr>
          <w:p w14:paraId="6F8203FD"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-72,6</w:t>
            </w:r>
          </w:p>
        </w:tc>
        <w:tc>
          <w:tcPr>
            <w:tcW w:w="486" w:type="pct"/>
            <w:tcBorders>
              <w:top w:val="nil"/>
              <w:left w:val="nil"/>
              <w:bottom w:val="single" w:sz="8" w:space="0" w:color="auto"/>
              <w:right w:val="single" w:sz="8" w:space="0" w:color="auto"/>
            </w:tcBorders>
            <w:shd w:val="clear" w:color="auto" w:fill="auto"/>
            <w:vAlign w:val="center"/>
            <w:hideMark/>
          </w:tcPr>
          <w:p w14:paraId="69DFEB62"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-11,4</w:t>
            </w:r>
          </w:p>
        </w:tc>
      </w:tr>
      <w:tr w:rsidR="00A41B49" w:rsidRPr="00A41B49" w14:paraId="353D0E8B"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5169C139"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Івано-Франківська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61267841"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548,6</w:t>
            </w:r>
          </w:p>
        </w:tc>
        <w:tc>
          <w:tcPr>
            <w:tcW w:w="395" w:type="pct"/>
            <w:gridSpan w:val="2"/>
            <w:tcBorders>
              <w:top w:val="nil"/>
              <w:left w:val="nil"/>
              <w:bottom w:val="single" w:sz="8" w:space="0" w:color="auto"/>
              <w:right w:val="single" w:sz="8" w:space="0" w:color="auto"/>
            </w:tcBorders>
            <w:shd w:val="clear" w:color="auto" w:fill="auto"/>
            <w:vAlign w:val="center"/>
            <w:hideMark/>
          </w:tcPr>
          <w:p w14:paraId="1BE03992"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80,7</w:t>
            </w:r>
          </w:p>
        </w:tc>
        <w:tc>
          <w:tcPr>
            <w:tcW w:w="522" w:type="pct"/>
            <w:gridSpan w:val="2"/>
            <w:tcBorders>
              <w:top w:val="nil"/>
              <w:left w:val="nil"/>
              <w:bottom w:val="single" w:sz="8" w:space="0" w:color="auto"/>
              <w:right w:val="single" w:sz="8" w:space="0" w:color="auto"/>
            </w:tcBorders>
            <w:shd w:val="clear" w:color="auto" w:fill="auto"/>
            <w:vAlign w:val="center"/>
            <w:hideMark/>
          </w:tcPr>
          <w:p w14:paraId="040D555C"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421,7</w:t>
            </w:r>
          </w:p>
        </w:tc>
        <w:tc>
          <w:tcPr>
            <w:tcW w:w="492" w:type="pct"/>
            <w:gridSpan w:val="2"/>
            <w:tcBorders>
              <w:top w:val="nil"/>
              <w:left w:val="nil"/>
              <w:bottom w:val="single" w:sz="8" w:space="0" w:color="auto"/>
              <w:right w:val="single" w:sz="8" w:space="0" w:color="auto"/>
            </w:tcBorders>
            <w:shd w:val="clear" w:color="auto" w:fill="auto"/>
            <w:vAlign w:val="center"/>
            <w:hideMark/>
          </w:tcPr>
          <w:p w14:paraId="0E904A32"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31,9</w:t>
            </w:r>
          </w:p>
        </w:tc>
        <w:tc>
          <w:tcPr>
            <w:tcW w:w="520" w:type="pct"/>
            <w:tcBorders>
              <w:top w:val="nil"/>
              <w:left w:val="nil"/>
              <w:bottom w:val="single" w:sz="8" w:space="0" w:color="auto"/>
              <w:right w:val="single" w:sz="8" w:space="0" w:color="auto"/>
            </w:tcBorders>
            <w:shd w:val="clear" w:color="auto" w:fill="auto"/>
            <w:vAlign w:val="center"/>
            <w:hideMark/>
          </w:tcPr>
          <w:p w14:paraId="507B143D"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485,15</w:t>
            </w:r>
          </w:p>
        </w:tc>
        <w:tc>
          <w:tcPr>
            <w:tcW w:w="489" w:type="pct"/>
            <w:tcBorders>
              <w:top w:val="nil"/>
              <w:left w:val="nil"/>
              <w:bottom w:val="single" w:sz="8" w:space="0" w:color="auto"/>
              <w:right w:val="single" w:sz="8" w:space="0" w:color="auto"/>
            </w:tcBorders>
            <w:shd w:val="clear" w:color="auto" w:fill="auto"/>
            <w:vAlign w:val="center"/>
            <w:hideMark/>
          </w:tcPr>
          <w:p w14:paraId="1CC44B38"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56,3</w:t>
            </w:r>
          </w:p>
        </w:tc>
        <w:tc>
          <w:tcPr>
            <w:tcW w:w="489" w:type="pct"/>
            <w:tcBorders>
              <w:top w:val="nil"/>
              <w:left w:val="nil"/>
              <w:bottom w:val="single" w:sz="8" w:space="0" w:color="auto"/>
              <w:right w:val="single" w:sz="8" w:space="0" w:color="auto"/>
            </w:tcBorders>
            <w:shd w:val="clear" w:color="auto" w:fill="auto"/>
            <w:vAlign w:val="center"/>
            <w:hideMark/>
          </w:tcPr>
          <w:p w14:paraId="31865BC4"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-126,9</w:t>
            </w:r>
          </w:p>
        </w:tc>
        <w:tc>
          <w:tcPr>
            <w:tcW w:w="486" w:type="pct"/>
            <w:tcBorders>
              <w:top w:val="nil"/>
              <w:left w:val="nil"/>
              <w:bottom w:val="single" w:sz="8" w:space="0" w:color="auto"/>
              <w:right w:val="single" w:sz="8" w:space="0" w:color="auto"/>
            </w:tcBorders>
            <w:shd w:val="clear" w:color="auto" w:fill="auto"/>
            <w:vAlign w:val="center"/>
            <w:hideMark/>
          </w:tcPr>
          <w:p w14:paraId="0A7B3F6E"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-48,8</w:t>
            </w:r>
          </w:p>
        </w:tc>
      </w:tr>
      <w:tr w:rsidR="00A41B49" w:rsidRPr="00A41B49" w14:paraId="512A459D"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0263AB17"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Київська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44A7347F"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1313,3</w:t>
            </w:r>
          </w:p>
        </w:tc>
        <w:tc>
          <w:tcPr>
            <w:tcW w:w="395" w:type="pct"/>
            <w:gridSpan w:val="2"/>
            <w:tcBorders>
              <w:top w:val="nil"/>
              <w:left w:val="nil"/>
              <w:bottom w:val="single" w:sz="8" w:space="0" w:color="auto"/>
              <w:right w:val="single" w:sz="8" w:space="0" w:color="auto"/>
            </w:tcBorders>
            <w:shd w:val="clear" w:color="auto" w:fill="auto"/>
            <w:vAlign w:val="center"/>
            <w:hideMark/>
          </w:tcPr>
          <w:p w14:paraId="5D95CD3F"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60,0</w:t>
            </w:r>
          </w:p>
        </w:tc>
        <w:tc>
          <w:tcPr>
            <w:tcW w:w="522" w:type="pct"/>
            <w:gridSpan w:val="2"/>
            <w:tcBorders>
              <w:top w:val="nil"/>
              <w:left w:val="nil"/>
              <w:bottom w:val="single" w:sz="8" w:space="0" w:color="auto"/>
              <w:right w:val="single" w:sz="8" w:space="0" w:color="auto"/>
            </w:tcBorders>
            <w:shd w:val="clear" w:color="auto" w:fill="auto"/>
            <w:vAlign w:val="center"/>
            <w:hideMark/>
          </w:tcPr>
          <w:p w14:paraId="56EFC3F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1456,8</w:t>
            </w:r>
          </w:p>
        </w:tc>
        <w:tc>
          <w:tcPr>
            <w:tcW w:w="492" w:type="pct"/>
            <w:gridSpan w:val="2"/>
            <w:tcBorders>
              <w:top w:val="nil"/>
              <w:left w:val="nil"/>
              <w:bottom w:val="single" w:sz="8" w:space="0" w:color="auto"/>
              <w:right w:val="single" w:sz="8" w:space="0" w:color="auto"/>
            </w:tcBorders>
            <w:shd w:val="clear" w:color="auto" w:fill="auto"/>
            <w:vAlign w:val="center"/>
            <w:hideMark/>
          </w:tcPr>
          <w:p w14:paraId="473D27DB"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63,8</w:t>
            </w:r>
          </w:p>
        </w:tc>
        <w:tc>
          <w:tcPr>
            <w:tcW w:w="520" w:type="pct"/>
            <w:tcBorders>
              <w:top w:val="nil"/>
              <w:left w:val="nil"/>
              <w:bottom w:val="single" w:sz="8" w:space="0" w:color="auto"/>
              <w:right w:val="single" w:sz="8" w:space="0" w:color="auto"/>
            </w:tcBorders>
            <w:shd w:val="clear" w:color="auto" w:fill="auto"/>
            <w:vAlign w:val="center"/>
            <w:hideMark/>
          </w:tcPr>
          <w:p w14:paraId="102EC997"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1385,05</w:t>
            </w:r>
          </w:p>
        </w:tc>
        <w:tc>
          <w:tcPr>
            <w:tcW w:w="489" w:type="pct"/>
            <w:tcBorders>
              <w:top w:val="nil"/>
              <w:left w:val="nil"/>
              <w:bottom w:val="single" w:sz="8" w:space="0" w:color="auto"/>
              <w:right w:val="single" w:sz="8" w:space="0" w:color="auto"/>
            </w:tcBorders>
            <w:shd w:val="clear" w:color="auto" w:fill="auto"/>
            <w:vAlign w:val="center"/>
            <w:hideMark/>
          </w:tcPr>
          <w:p w14:paraId="6DF84ED7"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61,9</w:t>
            </w:r>
          </w:p>
        </w:tc>
        <w:tc>
          <w:tcPr>
            <w:tcW w:w="489" w:type="pct"/>
            <w:tcBorders>
              <w:top w:val="nil"/>
              <w:left w:val="nil"/>
              <w:bottom w:val="single" w:sz="8" w:space="0" w:color="auto"/>
              <w:right w:val="single" w:sz="8" w:space="0" w:color="auto"/>
            </w:tcBorders>
            <w:shd w:val="clear" w:color="auto" w:fill="auto"/>
            <w:vAlign w:val="center"/>
            <w:hideMark/>
          </w:tcPr>
          <w:p w14:paraId="69F575A7"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143,5</w:t>
            </w:r>
          </w:p>
        </w:tc>
        <w:tc>
          <w:tcPr>
            <w:tcW w:w="486" w:type="pct"/>
            <w:tcBorders>
              <w:top w:val="nil"/>
              <w:left w:val="nil"/>
              <w:bottom w:val="single" w:sz="8" w:space="0" w:color="auto"/>
              <w:right w:val="single" w:sz="8" w:space="0" w:color="auto"/>
            </w:tcBorders>
            <w:shd w:val="clear" w:color="auto" w:fill="auto"/>
            <w:vAlign w:val="center"/>
            <w:hideMark/>
          </w:tcPr>
          <w:p w14:paraId="08AF891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3,8</w:t>
            </w:r>
          </w:p>
        </w:tc>
      </w:tr>
      <w:tr w:rsidR="00A41B49" w:rsidRPr="00A41B49" w14:paraId="705828A8"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5DBD7C36"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Кіровоградська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49531E3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174,6</w:t>
            </w:r>
          </w:p>
        </w:tc>
        <w:tc>
          <w:tcPr>
            <w:tcW w:w="395" w:type="pct"/>
            <w:gridSpan w:val="2"/>
            <w:tcBorders>
              <w:top w:val="nil"/>
              <w:left w:val="nil"/>
              <w:bottom w:val="single" w:sz="8" w:space="0" w:color="auto"/>
              <w:right w:val="single" w:sz="8" w:space="0" w:color="auto"/>
            </w:tcBorders>
            <w:shd w:val="clear" w:color="auto" w:fill="auto"/>
            <w:vAlign w:val="center"/>
            <w:hideMark/>
          </w:tcPr>
          <w:p w14:paraId="14BA6AAA"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90,0</w:t>
            </w:r>
          </w:p>
        </w:tc>
        <w:tc>
          <w:tcPr>
            <w:tcW w:w="522" w:type="pct"/>
            <w:gridSpan w:val="2"/>
            <w:tcBorders>
              <w:top w:val="nil"/>
              <w:left w:val="nil"/>
              <w:bottom w:val="single" w:sz="8" w:space="0" w:color="auto"/>
              <w:right w:val="single" w:sz="8" w:space="0" w:color="auto"/>
            </w:tcBorders>
            <w:shd w:val="clear" w:color="auto" w:fill="auto"/>
            <w:vAlign w:val="center"/>
            <w:hideMark/>
          </w:tcPr>
          <w:p w14:paraId="4E9AB0F5"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180,4</w:t>
            </w:r>
          </w:p>
        </w:tc>
        <w:tc>
          <w:tcPr>
            <w:tcW w:w="492" w:type="pct"/>
            <w:gridSpan w:val="2"/>
            <w:tcBorders>
              <w:top w:val="nil"/>
              <w:left w:val="nil"/>
              <w:bottom w:val="single" w:sz="8" w:space="0" w:color="auto"/>
              <w:right w:val="single" w:sz="8" w:space="0" w:color="auto"/>
            </w:tcBorders>
            <w:shd w:val="clear" w:color="auto" w:fill="auto"/>
            <w:vAlign w:val="center"/>
            <w:hideMark/>
          </w:tcPr>
          <w:p w14:paraId="1F837F7F"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85,0</w:t>
            </w:r>
          </w:p>
        </w:tc>
        <w:tc>
          <w:tcPr>
            <w:tcW w:w="520" w:type="pct"/>
            <w:tcBorders>
              <w:top w:val="nil"/>
              <w:left w:val="nil"/>
              <w:bottom w:val="single" w:sz="8" w:space="0" w:color="auto"/>
              <w:right w:val="single" w:sz="8" w:space="0" w:color="auto"/>
            </w:tcBorders>
            <w:shd w:val="clear" w:color="auto" w:fill="auto"/>
            <w:vAlign w:val="center"/>
            <w:hideMark/>
          </w:tcPr>
          <w:p w14:paraId="12BEF279"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177,5</w:t>
            </w:r>
          </w:p>
        </w:tc>
        <w:tc>
          <w:tcPr>
            <w:tcW w:w="489" w:type="pct"/>
            <w:tcBorders>
              <w:top w:val="nil"/>
              <w:left w:val="nil"/>
              <w:bottom w:val="single" w:sz="8" w:space="0" w:color="auto"/>
              <w:right w:val="single" w:sz="8" w:space="0" w:color="auto"/>
            </w:tcBorders>
            <w:shd w:val="clear" w:color="auto" w:fill="auto"/>
            <w:vAlign w:val="center"/>
            <w:hideMark/>
          </w:tcPr>
          <w:p w14:paraId="4268BC7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87,5</w:t>
            </w:r>
          </w:p>
        </w:tc>
        <w:tc>
          <w:tcPr>
            <w:tcW w:w="489" w:type="pct"/>
            <w:tcBorders>
              <w:top w:val="nil"/>
              <w:left w:val="nil"/>
              <w:bottom w:val="single" w:sz="8" w:space="0" w:color="auto"/>
              <w:right w:val="single" w:sz="8" w:space="0" w:color="auto"/>
            </w:tcBorders>
            <w:shd w:val="clear" w:color="auto" w:fill="auto"/>
            <w:vAlign w:val="center"/>
            <w:hideMark/>
          </w:tcPr>
          <w:p w14:paraId="4711DC2B"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5,8</w:t>
            </w:r>
          </w:p>
        </w:tc>
        <w:tc>
          <w:tcPr>
            <w:tcW w:w="486" w:type="pct"/>
            <w:tcBorders>
              <w:top w:val="nil"/>
              <w:left w:val="nil"/>
              <w:bottom w:val="single" w:sz="8" w:space="0" w:color="auto"/>
              <w:right w:val="single" w:sz="8" w:space="0" w:color="auto"/>
            </w:tcBorders>
            <w:shd w:val="clear" w:color="auto" w:fill="auto"/>
            <w:vAlign w:val="center"/>
            <w:hideMark/>
          </w:tcPr>
          <w:p w14:paraId="13384267"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-5,0</w:t>
            </w:r>
          </w:p>
        </w:tc>
      </w:tr>
      <w:tr w:rsidR="00A41B49" w:rsidRPr="00A41B49" w14:paraId="323A5CF8"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011C9A90" w14:textId="77777777" w:rsidR="009A36AB" w:rsidRPr="00A41B49" w:rsidRDefault="009A36A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Луганська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41623E95" w14:textId="77777777" w:rsidR="009A36AB" w:rsidRPr="00A41B49" w:rsidRDefault="009A36A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158,4</w:t>
            </w:r>
          </w:p>
        </w:tc>
        <w:tc>
          <w:tcPr>
            <w:tcW w:w="395" w:type="pct"/>
            <w:gridSpan w:val="2"/>
            <w:tcBorders>
              <w:top w:val="nil"/>
              <w:left w:val="nil"/>
              <w:bottom w:val="single" w:sz="8" w:space="0" w:color="auto"/>
              <w:right w:val="single" w:sz="8" w:space="0" w:color="auto"/>
            </w:tcBorders>
            <w:shd w:val="clear" w:color="auto" w:fill="auto"/>
            <w:vAlign w:val="center"/>
            <w:hideMark/>
          </w:tcPr>
          <w:p w14:paraId="7107C3C7" w14:textId="77777777" w:rsidR="009A36AB" w:rsidRPr="00A41B49" w:rsidRDefault="009A36A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41,1</w:t>
            </w:r>
          </w:p>
        </w:tc>
        <w:tc>
          <w:tcPr>
            <w:tcW w:w="522" w:type="pct"/>
            <w:gridSpan w:val="2"/>
            <w:tcBorders>
              <w:top w:val="nil"/>
              <w:left w:val="nil"/>
              <w:bottom w:val="single" w:sz="8" w:space="0" w:color="auto"/>
              <w:right w:val="single" w:sz="8" w:space="0" w:color="auto"/>
            </w:tcBorders>
            <w:shd w:val="clear" w:color="auto" w:fill="auto"/>
            <w:vAlign w:val="center"/>
            <w:hideMark/>
          </w:tcPr>
          <w:p w14:paraId="51EE92F1"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92" w:type="pct"/>
            <w:gridSpan w:val="2"/>
            <w:tcBorders>
              <w:top w:val="nil"/>
              <w:left w:val="nil"/>
              <w:bottom w:val="single" w:sz="8" w:space="0" w:color="auto"/>
              <w:right w:val="single" w:sz="8" w:space="0" w:color="auto"/>
            </w:tcBorders>
            <w:shd w:val="clear" w:color="auto" w:fill="auto"/>
            <w:vAlign w:val="center"/>
            <w:hideMark/>
          </w:tcPr>
          <w:p w14:paraId="488805E3"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520" w:type="pct"/>
            <w:tcBorders>
              <w:top w:val="nil"/>
              <w:left w:val="nil"/>
              <w:bottom w:val="single" w:sz="8" w:space="0" w:color="auto"/>
              <w:right w:val="single" w:sz="8" w:space="0" w:color="auto"/>
            </w:tcBorders>
            <w:shd w:val="clear" w:color="auto" w:fill="auto"/>
            <w:vAlign w:val="center"/>
            <w:hideMark/>
          </w:tcPr>
          <w:p w14:paraId="2556A33E"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89" w:type="pct"/>
            <w:tcBorders>
              <w:top w:val="nil"/>
              <w:left w:val="nil"/>
              <w:bottom w:val="single" w:sz="8" w:space="0" w:color="auto"/>
              <w:right w:val="single" w:sz="8" w:space="0" w:color="auto"/>
            </w:tcBorders>
            <w:shd w:val="clear" w:color="auto" w:fill="auto"/>
            <w:vAlign w:val="center"/>
            <w:hideMark/>
          </w:tcPr>
          <w:p w14:paraId="07C149D5"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89" w:type="pct"/>
            <w:tcBorders>
              <w:top w:val="nil"/>
              <w:left w:val="nil"/>
              <w:bottom w:val="single" w:sz="8" w:space="0" w:color="auto"/>
              <w:right w:val="single" w:sz="8" w:space="0" w:color="auto"/>
            </w:tcBorders>
            <w:shd w:val="clear" w:color="auto" w:fill="auto"/>
            <w:vAlign w:val="center"/>
            <w:hideMark/>
          </w:tcPr>
          <w:p w14:paraId="1D3A2EB9"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86" w:type="pct"/>
            <w:tcBorders>
              <w:top w:val="nil"/>
              <w:left w:val="nil"/>
              <w:bottom w:val="single" w:sz="8" w:space="0" w:color="auto"/>
              <w:right w:val="single" w:sz="8" w:space="0" w:color="auto"/>
            </w:tcBorders>
            <w:shd w:val="clear" w:color="auto" w:fill="auto"/>
            <w:vAlign w:val="center"/>
            <w:hideMark/>
          </w:tcPr>
          <w:p w14:paraId="5C1F277A"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r>
      <w:tr w:rsidR="00A41B49" w:rsidRPr="00A41B49" w14:paraId="3C7AF7B1"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040D7448"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Львівська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1332AE0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1601,5</w:t>
            </w:r>
          </w:p>
        </w:tc>
        <w:tc>
          <w:tcPr>
            <w:tcW w:w="395" w:type="pct"/>
            <w:gridSpan w:val="2"/>
            <w:tcBorders>
              <w:top w:val="nil"/>
              <w:left w:val="nil"/>
              <w:bottom w:val="single" w:sz="8" w:space="0" w:color="auto"/>
              <w:right w:val="single" w:sz="8" w:space="0" w:color="auto"/>
            </w:tcBorders>
            <w:shd w:val="clear" w:color="auto" w:fill="auto"/>
            <w:vAlign w:val="center"/>
            <w:hideMark/>
          </w:tcPr>
          <w:p w14:paraId="1A49E03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78,4</w:t>
            </w:r>
          </w:p>
        </w:tc>
        <w:tc>
          <w:tcPr>
            <w:tcW w:w="522" w:type="pct"/>
            <w:gridSpan w:val="2"/>
            <w:tcBorders>
              <w:top w:val="nil"/>
              <w:left w:val="nil"/>
              <w:bottom w:val="single" w:sz="8" w:space="0" w:color="auto"/>
              <w:right w:val="single" w:sz="8" w:space="0" w:color="auto"/>
            </w:tcBorders>
            <w:shd w:val="clear" w:color="auto" w:fill="auto"/>
            <w:vAlign w:val="center"/>
            <w:hideMark/>
          </w:tcPr>
          <w:p w14:paraId="1F2A4F08"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1693,5</w:t>
            </w:r>
          </w:p>
        </w:tc>
        <w:tc>
          <w:tcPr>
            <w:tcW w:w="492" w:type="pct"/>
            <w:gridSpan w:val="2"/>
            <w:tcBorders>
              <w:top w:val="nil"/>
              <w:left w:val="nil"/>
              <w:bottom w:val="single" w:sz="8" w:space="0" w:color="auto"/>
              <w:right w:val="single" w:sz="8" w:space="0" w:color="auto"/>
            </w:tcBorders>
            <w:shd w:val="clear" w:color="auto" w:fill="auto"/>
            <w:vAlign w:val="center"/>
            <w:hideMark/>
          </w:tcPr>
          <w:p w14:paraId="3526A539"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77,2</w:t>
            </w:r>
          </w:p>
        </w:tc>
        <w:tc>
          <w:tcPr>
            <w:tcW w:w="520" w:type="pct"/>
            <w:tcBorders>
              <w:top w:val="nil"/>
              <w:left w:val="nil"/>
              <w:bottom w:val="single" w:sz="8" w:space="0" w:color="auto"/>
              <w:right w:val="single" w:sz="8" w:space="0" w:color="auto"/>
            </w:tcBorders>
            <w:shd w:val="clear" w:color="auto" w:fill="auto"/>
            <w:vAlign w:val="center"/>
            <w:hideMark/>
          </w:tcPr>
          <w:p w14:paraId="269D41D7"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1647,5</w:t>
            </w:r>
          </w:p>
        </w:tc>
        <w:tc>
          <w:tcPr>
            <w:tcW w:w="489" w:type="pct"/>
            <w:tcBorders>
              <w:top w:val="nil"/>
              <w:left w:val="nil"/>
              <w:bottom w:val="single" w:sz="8" w:space="0" w:color="auto"/>
              <w:right w:val="single" w:sz="8" w:space="0" w:color="auto"/>
            </w:tcBorders>
            <w:shd w:val="clear" w:color="auto" w:fill="auto"/>
            <w:vAlign w:val="center"/>
            <w:hideMark/>
          </w:tcPr>
          <w:p w14:paraId="79F3AF8A"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77,8</w:t>
            </w:r>
          </w:p>
        </w:tc>
        <w:tc>
          <w:tcPr>
            <w:tcW w:w="489" w:type="pct"/>
            <w:tcBorders>
              <w:top w:val="nil"/>
              <w:left w:val="nil"/>
              <w:bottom w:val="single" w:sz="8" w:space="0" w:color="auto"/>
              <w:right w:val="single" w:sz="8" w:space="0" w:color="auto"/>
            </w:tcBorders>
            <w:shd w:val="clear" w:color="auto" w:fill="auto"/>
            <w:vAlign w:val="center"/>
            <w:hideMark/>
          </w:tcPr>
          <w:p w14:paraId="14A24A8E"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92</w:t>
            </w:r>
          </w:p>
        </w:tc>
        <w:tc>
          <w:tcPr>
            <w:tcW w:w="486" w:type="pct"/>
            <w:tcBorders>
              <w:top w:val="nil"/>
              <w:left w:val="nil"/>
              <w:bottom w:val="single" w:sz="8" w:space="0" w:color="auto"/>
              <w:right w:val="single" w:sz="8" w:space="0" w:color="auto"/>
            </w:tcBorders>
            <w:shd w:val="clear" w:color="auto" w:fill="auto"/>
            <w:vAlign w:val="center"/>
            <w:hideMark/>
          </w:tcPr>
          <w:p w14:paraId="3112E228"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-1,2</w:t>
            </w:r>
          </w:p>
        </w:tc>
      </w:tr>
      <w:tr w:rsidR="00A41B49" w:rsidRPr="00A41B49" w14:paraId="0FCC4FFB"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547D0F00"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Миколаївська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5CB55AB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355,2</w:t>
            </w:r>
          </w:p>
        </w:tc>
        <w:tc>
          <w:tcPr>
            <w:tcW w:w="395" w:type="pct"/>
            <w:gridSpan w:val="2"/>
            <w:tcBorders>
              <w:top w:val="nil"/>
              <w:left w:val="nil"/>
              <w:bottom w:val="single" w:sz="8" w:space="0" w:color="auto"/>
              <w:right w:val="single" w:sz="8" w:space="0" w:color="auto"/>
            </w:tcBorders>
            <w:shd w:val="clear" w:color="auto" w:fill="auto"/>
            <w:vAlign w:val="center"/>
            <w:hideMark/>
          </w:tcPr>
          <w:p w14:paraId="34656DDA"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47,4</w:t>
            </w:r>
          </w:p>
        </w:tc>
        <w:tc>
          <w:tcPr>
            <w:tcW w:w="522" w:type="pct"/>
            <w:gridSpan w:val="2"/>
            <w:tcBorders>
              <w:top w:val="nil"/>
              <w:left w:val="nil"/>
              <w:bottom w:val="single" w:sz="8" w:space="0" w:color="auto"/>
              <w:right w:val="single" w:sz="8" w:space="0" w:color="auto"/>
            </w:tcBorders>
            <w:shd w:val="clear" w:color="auto" w:fill="auto"/>
            <w:vAlign w:val="center"/>
            <w:hideMark/>
          </w:tcPr>
          <w:p w14:paraId="32342275"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235,6</w:t>
            </w:r>
          </w:p>
        </w:tc>
        <w:tc>
          <w:tcPr>
            <w:tcW w:w="492" w:type="pct"/>
            <w:gridSpan w:val="2"/>
            <w:tcBorders>
              <w:top w:val="nil"/>
              <w:left w:val="nil"/>
              <w:bottom w:val="single" w:sz="8" w:space="0" w:color="auto"/>
              <w:right w:val="single" w:sz="8" w:space="0" w:color="auto"/>
            </w:tcBorders>
            <w:shd w:val="clear" w:color="auto" w:fill="auto"/>
            <w:vAlign w:val="center"/>
            <w:hideMark/>
          </w:tcPr>
          <w:p w14:paraId="151AA95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28,4</w:t>
            </w:r>
          </w:p>
        </w:tc>
        <w:tc>
          <w:tcPr>
            <w:tcW w:w="520" w:type="pct"/>
            <w:tcBorders>
              <w:top w:val="nil"/>
              <w:left w:val="nil"/>
              <w:bottom w:val="single" w:sz="8" w:space="0" w:color="auto"/>
              <w:right w:val="single" w:sz="8" w:space="0" w:color="auto"/>
            </w:tcBorders>
            <w:shd w:val="clear" w:color="auto" w:fill="auto"/>
            <w:vAlign w:val="center"/>
            <w:hideMark/>
          </w:tcPr>
          <w:p w14:paraId="3ADE2E7D"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295,4</w:t>
            </w:r>
          </w:p>
        </w:tc>
        <w:tc>
          <w:tcPr>
            <w:tcW w:w="489" w:type="pct"/>
            <w:tcBorders>
              <w:top w:val="nil"/>
              <w:left w:val="nil"/>
              <w:bottom w:val="single" w:sz="8" w:space="0" w:color="auto"/>
              <w:right w:val="single" w:sz="8" w:space="0" w:color="auto"/>
            </w:tcBorders>
            <w:shd w:val="clear" w:color="auto" w:fill="auto"/>
            <w:vAlign w:val="center"/>
            <w:hideMark/>
          </w:tcPr>
          <w:p w14:paraId="78AA55BC"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37,9</w:t>
            </w:r>
          </w:p>
        </w:tc>
        <w:tc>
          <w:tcPr>
            <w:tcW w:w="489" w:type="pct"/>
            <w:tcBorders>
              <w:top w:val="nil"/>
              <w:left w:val="nil"/>
              <w:bottom w:val="single" w:sz="8" w:space="0" w:color="auto"/>
              <w:right w:val="single" w:sz="8" w:space="0" w:color="auto"/>
            </w:tcBorders>
            <w:shd w:val="clear" w:color="auto" w:fill="auto"/>
            <w:vAlign w:val="center"/>
            <w:hideMark/>
          </w:tcPr>
          <w:p w14:paraId="39A815D1"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-119,6</w:t>
            </w:r>
          </w:p>
        </w:tc>
        <w:tc>
          <w:tcPr>
            <w:tcW w:w="486" w:type="pct"/>
            <w:tcBorders>
              <w:top w:val="nil"/>
              <w:left w:val="nil"/>
              <w:bottom w:val="single" w:sz="8" w:space="0" w:color="auto"/>
              <w:right w:val="single" w:sz="8" w:space="0" w:color="auto"/>
            </w:tcBorders>
            <w:shd w:val="clear" w:color="auto" w:fill="auto"/>
            <w:vAlign w:val="center"/>
            <w:hideMark/>
          </w:tcPr>
          <w:p w14:paraId="0059CAF9"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-18,9</w:t>
            </w:r>
          </w:p>
        </w:tc>
      </w:tr>
      <w:tr w:rsidR="00A41B49" w:rsidRPr="00A41B49" w14:paraId="4FB72307"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2C251964"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Одеська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264BE4EE"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1116,7</w:t>
            </w:r>
          </w:p>
        </w:tc>
        <w:tc>
          <w:tcPr>
            <w:tcW w:w="395" w:type="pct"/>
            <w:gridSpan w:val="2"/>
            <w:tcBorders>
              <w:top w:val="nil"/>
              <w:left w:val="nil"/>
              <w:bottom w:val="single" w:sz="8" w:space="0" w:color="auto"/>
              <w:right w:val="single" w:sz="8" w:space="0" w:color="auto"/>
            </w:tcBorders>
            <w:shd w:val="clear" w:color="auto" w:fill="auto"/>
            <w:vAlign w:val="center"/>
            <w:hideMark/>
          </w:tcPr>
          <w:p w14:paraId="489A5514"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61,5</w:t>
            </w:r>
          </w:p>
        </w:tc>
        <w:tc>
          <w:tcPr>
            <w:tcW w:w="522" w:type="pct"/>
            <w:gridSpan w:val="2"/>
            <w:tcBorders>
              <w:top w:val="nil"/>
              <w:left w:val="nil"/>
              <w:bottom w:val="single" w:sz="8" w:space="0" w:color="auto"/>
              <w:right w:val="single" w:sz="8" w:space="0" w:color="auto"/>
            </w:tcBorders>
            <w:shd w:val="clear" w:color="auto" w:fill="auto"/>
            <w:vAlign w:val="center"/>
            <w:hideMark/>
          </w:tcPr>
          <w:p w14:paraId="63BEB934"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852,8</w:t>
            </w:r>
          </w:p>
        </w:tc>
        <w:tc>
          <w:tcPr>
            <w:tcW w:w="492" w:type="pct"/>
            <w:gridSpan w:val="2"/>
            <w:tcBorders>
              <w:top w:val="nil"/>
              <w:left w:val="nil"/>
              <w:bottom w:val="single" w:sz="8" w:space="0" w:color="auto"/>
              <w:right w:val="single" w:sz="8" w:space="0" w:color="auto"/>
            </w:tcBorders>
            <w:shd w:val="clear" w:color="auto" w:fill="auto"/>
            <w:vAlign w:val="center"/>
            <w:hideMark/>
          </w:tcPr>
          <w:p w14:paraId="26D3F109"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66,8</w:t>
            </w:r>
          </w:p>
        </w:tc>
        <w:tc>
          <w:tcPr>
            <w:tcW w:w="520" w:type="pct"/>
            <w:tcBorders>
              <w:top w:val="nil"/>
              <w:left w:val="nil"/>
              <w:bottom w:val="single" w:sz="8" w:space="0" w:color="auto"/>
              <w:right w:val="single" w:sz="8" w:space="0" w:color="auto"/>
            </w:tcBorders>
            <w:shd w:val="clear" w:color="auto" w:fill="auto"/>
            <w:vAlign w:val="center"/>
            <w:hideMark/>
          </w:tcPr>
          <w:p w14:paraId="2BD2A46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984,75</w:t>
            </w:r>
          </w:p>
        </w:tc>
        <w:tc>
          <w:tcPr>
            <w:tcW w:w="489" w:type="pct"/>
            <w:tcBorders>
              <w:top w:val="nil"/>
              <w:left w:val="nil"/>
              <w:bottom w:val="single" w:sz="8" w:space="0" w:color="auto"/>
              <w:right w:val="single" w:sz="8" w:space="0" w:color="auto"/>
            </w:tcBorders>
            <w:shd w:val="clear" w:color="auto" w:fill="auto"/>
            <w:vAlign w:val="center"/>
            <w:hideMark/>
          </w:tcPr>
          <w:p w14:paraId="4AF933B2"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64,2</w:t>
            </w:r>
          </w:p>
        </w:tc>
        <w:tc>
          <w:tcPr>
            <w:tcW w:w="489" w:type="pct"/>
            <w:tcBorders>
              <w:top w:val="nil"/>
              <w:left w:val="nil"/>
              <w:bottom w:val="single" w:sz="8" w:space="0" w:color="auto"/>
              <w:right w:val="single" w:sz="8" w:space="0" w:color="auto"/>
            </w:tcBorders>
            <w:shd w:val="clear" w:color="auto" w:fill="auto"/>
            <w:vAlign w:val="center"/>
            <w:hideMark/>
          </w:tcPr>
          <w:p w14:paraId="5541035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-263,9</w:t>
            </w:r>
          </w:p>
        </w:tc>
        <w:tc>
          <w:tcPr>
            <w:tcW w:w="486" w:type="pct"/>
            <w:tcBorders>
              <w:top w:val="nil"/>
              <w:left w:val="nil"/>
              <w:bottom w:val="single" w:sz="8" w:space="0" w:color="auto"/>
              <w:right w:val="single" w:sz="8" w:space="0" w:color="auto"/>
            </w:tcBorders>
            <w:shd w:val="clear" w:color="auto" w:fill="auto"/>
            <w:vAlign w:val="center"/>
            <w:hideMark/>
          </w:tcPr>
          <w:p w14:paraId="3A28F12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5,3</w:t>
            </w:r>
          </w:p>
        </w:tc>
      </w:tr>
      <w:tr w:rsidR="00A41B49" w:rsidRPr="00A41B49" w14:paraId="7350A3A8"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3FC7AB8B"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Полтавська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6A0CD1D4"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1947</w:t>
            </w:r>
          </w:p>
        </w:tc>
        <w:tc>
          <w:tcPr>
            <w:tcW w:w="395" w:type="pct"/>
            <w:gridSpan w:val="2"/>
            <w:tcBorders>
              <w:top w:val="nil"/>
              <w:left w:val="nil"/>
              <w:bottom w:val="single" w:sz="8" w:space="0" w:color="auto"/>
              <w:right w:val="single" w:sz="8" w:space="0" w:color="auto"/>
            </w:tcBorders>
            <w:shd w:val="clear" w:color="auto" w:fill="auto"/>
            <w:vAlign w:val="center"/>
            <w:hideMark/>
          </w:tcPr>
          <w:p w14:paraId="08DAA628"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109,6</w:t>
            </w:r>
          </w:p>
        </w:tc>
        <w:tc>
          <w:tcPr>
            <w:tcW w:w="522" w:type="pct"/>
            <w:gridSpan w:val="2"/>
            <w:tcBorders>
              <w:top w:val="nil"/>
              <w:left w:val="nil"/>
              <w:bottom w:val="single" w:sz="8" w:space="0" w:color="auto"/>
              <w:right w:val="single" w:sz="8" w:space="0" w:color="auto"/>
            </w:tcBorders>
            <w:shd w:val="clear" w:color="auto" w:fill="auto"/>
            <w:vAlign w:val="center"/>
            <w:hideMark/>
          </w:tcPr>
          <w:p w14:paraId="472514D6"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1658,8</w:t>
            </w:r>
          </w:p>
        </w:tc>
        <w:tc>
          <w:tcPr>
            <w:tcW w:w="492" w:type="pct"/>
            <w:gridSpan w:val="2"/>
            <w:tcBorders>
              <w:top w:val="nil"/>
              <w:left w:val="nil"/>
              <w:bottom w:val="single" w:sz="8" w:space="0" w:color="auto"/>
              <w:right w:val="single" w:sz="8" w:space="0" w:color="auto"/>
            </w:tcBorders>
            <w:shd w:val="clear" w:color="auto" w:fill="auto"/>
            <w:vAlign w:val="center"/>
            <w:hideMark/>
          </w:tcPr>
          <w:p w14:paraId="749D3A71"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112,0</w:t>
            </w:r>
          </w:p>
        </w:tc>
        <w:tc>
          <w:tcPr>
            <w:tcW w:w="520" w:type="pct"/>
            <w:tcBorders>
              <w:top w:val="nil"/>
              <w:left w:val="nil"/>
              <w:bottom w:val="single" w:sz="8" w:space="0" w:color="auto"/>
              <w:right w:val="single" w:sz="8" w:space="0" w:color="auto"/>
            </w:tcBorders>
            <w:shd w:val="clear" w:color="auto" w:fill="auto"/>
            <w:vAlign w:val="center"/>
            <w:hideMark/>
          </w:tcPr>
          <w:p w14:paraId="4ED8060C"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1802,9</w:t>
            </w:r>
          </w:p>
        </w:tc>
        <w:tc>
          <w:tcPr>
            <w:tcW w:w="489" w:type="pct"/>
            <w:tcBorders>
              <w:top w:val="nil"/>
              <w:left w:val="nil"/>
              <w:bottom w:val="single" w:sz="8" w:space="0" w:color="auto"/>
              <w:right w:val="single" w:sz="8" w:space="0" w:color="auto"/>
            </w:tcBorders>
            <w:shd w:val="clear" w:color="auto" w:fill="auto"/>
            <w:vAlign w:val="center"/>
            <w:hideMark/>
          </w:tcPr>
          <w:p w14:paraId="506CE415"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110,8</w:t>
            </w:r>
          </w:p>
        </w:tc>
        <w:tc>
          <w:tcPr>
            <w:tcW w:w="489" w:type="pct"/>
            <w:tcBorders>
              <w:top w:val="nil"/>
              <w:left w:val="nil"/>
              <w:bottom w:val="single" w:sz="8" w:space="0" w:color="auto"/>
              <w:right w:val="single" w:sz="8" w:space="0" w:color="auto"/>
            </w:tcBorders>
            <w:shd w:val="clear" w:color="auto" w:fill="auto"/>
            <w:vAlign w:val="center"/>
            <w:hideMark/>
          </w:tcPr>
          <w:p w14:paraId="7C76DEC7"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-288,2</w:t>
            </w:r>
          </w:p>
        </w:tc>
        <w:tc>
          <w:tcPr>
            <w:tcW w:w="486" w:type="pct"/>
            <w:tcBorders>
              <w:top w:val="nil"/>
              <w:left w:val="nil"/>
              <w:bottom w:val="single" w:sz="8" w:space="0" w:color="auto"/>
              <w:right w:val="single" w:sz="8" w:space="0" w:color="auto"/>
            </w:tcBorders>
            <w:shd w:val="clear" w:color="auto" w:fill="auto"/>
            <w:vAlign w:val="center"/>
            <w:hideMark/>
          </w:tcPr>
          <w:p w14:paraId="774D80BC"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2,4</w:t>
            </w:r>
          </w:p>
        </w:tc>
      </w:tr>
      <w:tr w:rsidR="00A41B49" w:rsidRPr="00A41B49" w14:paraId="24B5BB2E"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77A34B81"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Рівненська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4E948E38"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264</w:t>
            </w:r>
          </w:p>
        </w:tc>
        <w:tc>
          <w:tcPr>
            <w:tcW w:w="395" w:type="pct"/>
            <w:gridSpan w:val="2"/>
            <w:tcBorders>
              <w:top w:val="nil"/>
              <w:left w:val="nil"/>
              <w:bottom w:val="single" w:sz="8" w:space="0" w:color="auto"/>
              <w:right w:val="single" w:sz="8" w:space="0" w:color="auto"/>
            </w:tcBorders>
            <w:shd w:val="clear" w:color="auto" w:fill="auto"/>
            <w:vAlign w:val="center"/>
            <w:hideMark/>
          </w:tcPr>
          <w:p w14:paraId="3420EC0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59,3</w:t>
            </w:r>
          </w:p>
        </w:tc>
        <w:tc>
          <w:tcPr>
            <w:tcW w:w="522" w:type="pct"/>
            <w:gridSpan w:val="2"/>
            <w:tcBorders>
              <w:top w:val="nil"/>
              <w:left w:val="nil"/>
              <w:bottom w:val="single" w:sz="8" w:space="0" w:color="auto"/>
              <w:right w:val="single" w:sz="8" w:space="0" w:color="auto"/>
            </w:tcBorders>
            <w:shd w:val="clear" w:color="auto" w:fill="auto"/>
            <w:vAlign w:val="center"/>
            <w:hideMark/>
          </w:tcPr>
          <w:p w14:paraId="6E0AF79E"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246,9</w:t>
            </w:r>
          </w:p>
        </w:tc>
        <w:tc>
          <w:tcPr>
            <w:tcW w:w="492" w:type="pct"/>
            <w:gridSpan w:val="2"/>
            <w:tcBorders>
              <w:top w:val="nil"/>
              <w:left w:val="nil"/>
              <w:bottom w:val="single" w:sz="8" w:space="0" w:color="auto"/>
              <w:right w:val="single" w:sz="8" w:space="0" w:color="auto"/>
            </w:tcBorders>
            <w:shd w:val="clear" w:color="auto" w:fill="auto"/>
            <w:vAlign w:val="center"/>
            <w:hideMark/>
          </w:tcPr>
          <w:p w14:paraId="35CA6202"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58,5</w:t>
            </w:r>
          </w:p>
        </w:tc>
        <w:tc>
          <w:tcPr>
            <w:tcW w:w="520" w:type="pct"/>
            <w:tcBorders>
              <w:top w:val="nil"/>
              <w:left w:val="nil"/>
              <w:bottom w:val="single" w:sz="8" w:space="0" w:color="auto"/>
              <w:right w:val="single" w:sz="8" w:space="0" w:color="auto"/>
            </w:tcBorders>
            <w:shd w:val="clear" w:color="auto" w:fill="auto"/>
            <w:vAlign w:val="center"/>
            <w:hideMark/>
          </w:tcPr>
          <w:p w14:paraId="301EB91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255,45</w:t>
            </w:r>
          </w:p>
        </w:tc>
        <w:tc>
          <w:tcPr>
            <w:tcW w:w="489" w:type="pct"/>
            <w:tcBorders>
              <w:top w:val="nil"/>
              <w:left w:val="nil"/>
              <w:bottom w:val="single" w:sz="8" w:space="0" w:color="auto"/>
              <w:right w:val="single" w:sz="8" w:space="0" w:color="auto"/>
            </w:tcBorders>
            <w:shd w:val="clear" w:color="auto" w:fill="auto"/>
            <w:vAlign w:val="center"/>
            <w:hideMark/>
          </w:tcPr>
          <w:p w14:paraId="25AED948"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58,9</w:t>
            </w:r>
          </w:p>
        </w:tc>
        <w:tc>
          <w:tcPr>
            <w:tcW w:w="489" w:type="pct"/>
            <w:tcBorders>
              <w:top w:val="nil"/>
              <w:left w:val="nil"/>
              <w:bottom w:val="single" w:sz="8" w:space="0" w:color="auto"/>
              <w:right w:val="single" w:sz="8" w:space="0" w:color="auto"/>
            </w:tcBorders>
            <w:shd w:val="clear" w:color="auto" w:fill="auto"/>
            <w:vAlign w:val="center"/>
            <w:hideMark/>
          </w:tcPr>
          <w:p w14:paraId="3FD26EA8"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-17,1</w:t>
            </w:r>
          </w:p>
        </w:tc>
        <w:tc>
          <w:tcPr>
            <w:tcW w:w="486" w:type="pct"/>
            <w:tcBorders>
              <w:top w:val="nil"/>
              <w:left w:val="nil"/>
              <w:bottom w:val="single" w:sz="8" w:space="0" w:color="auto"/>
              <w:right w:val="single" w:sz="8" w:space="0" w:color="auto"/>
            </w:tcBorders>
            <w:shd w:val="clear" w:color="auto" w:fill="auto"/>
            <w:vAlign w:val="center"/>
            <w:hideMark/>
          </w:tcPr>
          <w:p w14:paraId="06EBF229"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-0,8</w:t>
            </w:r>
          </w:p>
        </w:tc>
      </w:tr>
      <w:tr w:rsidR="00A41B49" w:rsidRPr="00A41B49" w14:paraId="4A2CE706"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6ADA9499"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Сумська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5E8396F5"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341,5</w:t>
            </w:r>
          </w:p>
        </w:tc>
        <w:tc>
          <w:tcPr>
            <w:tcW w:w="395" w:type="pct"/>
            <w:gridSpan w:val="2"/>
            <w:tcBorders>
              <w:top w:val="nil"/>
              <w:left w:val="nil"/>
              <w:bottom w:val="single" w:sz="8" w:space="0" w:color="auto"/>
              <w:right w:val="single" w:sz="8" w:space="0" w:color="auto"/>
            </w:tcBorders>
            <w:shd w:val="clear" w:color="auto" w:fill="auto"/>
            <w:vAlign w:val="center"/>
            <w:hideMark/>
          </w:tcPr>
          <w:p w14:paraId="79432C1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59,1</w:t>
            </w:r>
          </w:p>
        </w:tc>
        <w:tc>
          <w:tcPr>
            <w:tcW w:w="522" w:type="pct"/>
            <w:gridSpan w:val="2"/>
            <w:tcBorders>
              <w:top w:val="nil"/>
              <w:left w:val="nil"/>
              <w:bottom w:val="single" w:sz="8" w:space="0" w:color="auto"/>
              <w:right w:val="single" w:sz="8" w:space="0" w:color="auto"/>
            </w:tcBorders>
            <w:shd w:val="clear" w:color="auto" w:fill="auto"/>
            <w:vAlign w:val="center"/>
            <w:hideMark/>
          </w:tcPr>
          <w:p w14:paraId="20FE53B5"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314</w:t>
            </w:r>
          </w:p>
        </w:tc>
        <w:tc>
          <w:tcPr>
            <w:tcW w:w="492" w:type="pct"/>
            <w:gridSpan w:val="2"/>
            <w:tcBorders>
              <w:top w:val="nil"/>
              <w:left w:val="nil"/>
              <w:bottom w:val="single" w:sz="8" w:space="0" w:color="auto"/>
              <w:right w:val="single" w:sz="8" w:space="0" w:color="auto"/>
            </w:tcBorders>
            <w:shd w:val="clear" w:color="auto" w:fill="auto"/>
            <w:vAlign w:val="center"/>
            <w:hideMark/>
          </w:tcPr>
          <w:p w14:paraId="57DDFDD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60,6</w:t>
            </w:r>
          </w:p>
        </w:tc>
        <w:tc>
          <w:tcPr>
            <w:tcW w:w="520" w:type="pct"/>
            <w:tcBorders>
              <w:top w:val="nil"/>
              <w:left w:val="nil"/>
              <w:bottom w:val="single" w:sz="8" w:space="0" w:color="auto"/>
              <w:right w:val="single" w:sz="8" w:space="0" w:color="auto"/>
            </w:tcBorders>
            <w:shd w:val="clear" w:color="auto" w:fill="auto"/>
            <w:vAlign w:val="center"/>
            <w:hideMark/>
          </w:tcPr>
          <w:p w14:paraId="7A5F74E5"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327,75</w:t>
            </w:r>
          </w:p>
        </w:tc>
        <w:tc>
          <w:tcPr>
            <w:tcW w:w="489" w:type="pct"/>
            <w:tcBorders>
              <w:top w:val="nil"/>
              <w:left w:val="nil"/>
              <w:bottom w:val="single" w:sz="8" w:space="0" w:color="auto"/>
              <w:right w:val="single" w:sz="8" w:space="0" w:color="auto"/>
            </w:tcBorders>
            <w:shd w:val="clear" w:color="auto" w:fill="auto"/>
            <w:vAlign w:val="center"/>
            <w:hideMark/>
          </w:tcPr>
          <w:p w14:paraId="3B146EF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59,8</w:t>
            </w:r>
          </w:p>
        </w:tc>
        <w:tc>
          <w:tcPr>
            <w:tcW w:w="489" w:type="pct"/>
            <w:tcBorders>
              <w:top w:val="nil"/>
              <w:left w:val="nil"/>
              <w:bottom w:val="single" w:sz="8" w:space="0" w:color="auto"/>
              <w:right w:val="single" w:sz="8" w:space="0" w:color="auto"/>
            </w:tcBorders>
            <w:shd w:val="clear" w:color="auto" w:fill="auto"/>
            <w:vAlign w:val="center"/>
            <w:hideMark/>
          </w:tcPr>
          <w:p w14:paraId="19F1409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-27,5</w:t>
            </w:r>
          </w:p>
        </w:tc>
        <w:tc>
          <w:tcPr>
            <w:tcW w:w="486" w:type="pct"/>
            <w:tcBorders>
              <w:top w:val="nil"/>
              <w:left w:val="nil"/>
              <w:bottom w:val="single" w:sz="8" w:space="0" w:color="auto"/>
              <w:right w:val="single" w:sz="8" w:space="0" w:color="auto"/>
            </w:tcBorders>
            <w:shd w:val="clear" w:color="auto" w:fill="auto"/>
            <w:vAlign w:val="center"/>
            <w:hideMark/>
          </w:tcPr>
          <w:p w14:paraId="57469772"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1,6</w:t>
            </w:r>
          </w:p>
        </w:tc>
      </w:tr>
      <w:tr w:rsidR="00A41B49" w:rsidRPr="00A41B49" w14:paraId="769A582A"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37A7BFA0"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Тернопільська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396F2CED"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49,1</w:t>
            </w:r>
          </w:p>
        </w:tc>
        <w:tc>
          <w:tcPr>
            <w:tcW w:w="395" w:type="pct"/>
            <w:gridSpan w:val="2"/>
            <w:tcBorders>
              <w:top w:val="nil"/>
              <w:left w:val="nil"/>
              <w:bottom w:val="single" w:sz="8" w:space="0" w:color="auto"/>
              <w:right w:val="single" w:sz="8" w:space="0" w:color="auto"/>
            </w:tcBorders>
            <w:shd w:val="clear" w:color="auto" w:fill="auto"/>
            <w:vAlign w:val="center"/>
            <w:hideMark/>
          </w:tcPr>
          <w:p w14:paraId="791B44BB"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18,5</w:t>
            </w:r>
          </w:p>
        </w:tc>
        <w:tc>
          <w:tcPr>
            <w:tcW w:w="522" w:type="pct"/>
            <w:gridSpan w:val="2"/>
            <w:tcBorders>
              <w:top w:val="nil"/>
              <w:left w:val="nil"/>
              <w:bottom w:val="single" w:sz="8" w:space="0" w:color="auto"/>
              <w:right w:val="single" w:sz="8" w:space="0" w:color="auto"/>
            </w:tcBorders>
            <w:shd w:val="clear" w:color="auto" w:fill="auto"/>
            <w:vAlign w:val="center"/>
            <w:hideMark/>
          </w:tcPr>
          <w:p w14:paraId="2628A276"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68,4</w:t>
            </w:r>
          </w:p>
        </w:tc>
        <w:tc>
          <w:tcPr>
            <w:tcW w:w="492" w:type="pct"/>
            <w:gridSpan w:val="2"/>
            <w:tcBorders>
              <w:top w:val="nil"/>
              <w:left w:val="nil"/>
              <w:bottom w:val="single" w:sz="8" w:space="0" w:color="auto"/>
              <w:right w:val="single" w:sz="8" w:space="0" w:color="auto"/>
            </w:tcBorders>
            <w:shd w:val="clear" w:color="auto" w:fill="auto"/>
            <w:vAlign w:val="center"/>
            <w:hideMark/>
          </w:tcPr>
          <w:p w14:paraId="7FED4B5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16,9</w:t>
            </w:r>
          </w:p>
        </w:tc>
        <w:tc>
          <w:tcPr>
            <w:tcW w:w="520" w:type="pct"/>
            <w:tcBorders>
              <w:top w:val="nil"/>
              <w:left w:val="nil"/>
              <w:bottom w:val="single" w:sz="8" w:space="0" w:color="auto"/>
              <w:right w:val="single" w:sz="8" w:space="0" w:color="auto"/>
            </w:tcBorders>
            <w:shd w:val="clear" w:color="auto" w:fill="auto"/>
            <w:vAlign w:val="center"/>
            <w:hideMark/>
          </w:tcPr>
          <w:p w14:paraId="4D6FB3C6"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58,75</w:t>
            </w:r>
          </w:p>
        </w:tc>
        <w:tc>
          <w:tcPr>
            <w:tcW w:w="489" w:type="pct"/>
            <w:tcBorders>
              <w:top w:val="nil"/>
              <w:left w:val="nil"/>
              <w:bottom w:val="single" w:sz="8" w:space="0" w:color="auto"/>
              <w:right w:val="single" w:sz="8" w:space="0" w:color="auto"/>
            </w:tcBorders>
            <w:shd w:val="clear" w:color="auto" w:fill="auto"/>
            <w:vAlign w:val="center"/>
            <w:hideMark/>
          </w:tcPr>
          <w:p w14:paraId="5150A04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17,7</w:t>
            </w:r>
          </w:p>
        </w:tc>
        <w:tc>
          <w:tcPr>
            <w:tcW w:w="489" w:type="pct"/>
            <w:tcBorders>
              <w:top w:val="nil"/>
              <w:left w:val="nil"/>
              <w:bottom w:val="single" w:sz="8" w:space="0" w:color="auto"/>
              <w:right w:val="single" w:sz="8" w:space="0" w:color="auto"/>
            </w:tcBorders>
            <w:shd w:val="clear" w:color="auto" w:fill="auto"/>
            <w:vAlign w:val="center"/>
            <w:hideMark/>
          </w:tcPr>
          <w:p w14:paraId="1D20919E"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19,3</w:t>
            </w:r>
          </w:p>
        </w:tc>
        <w:tc>
          <w:tcPr>
            <w:tcW w:w="486" w:type="pct"/>
            <w:tcBorders>
              <w:top w:val="nil"/>
              <w:left w:val="nil"/>
              <w:bottom w:val="single" w:sz="8" w:space="0" w:color="auto"/>
              <w:right w:val="single" w:sz="8" w:space="0" w:color="auto"/>
            </w:tcBorders>
            <w:shd w:val="clear" w:color="auto" w:fill="auto"/>
            <w:vAlign w:val="center"/>
            <w:hideMark/>
          </w:tcPr>
          <w:p w14:paraId="057F102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-1,6</w:t>
            </w:r>
          </w:p>
        </w:tc>
      </w:tr>
      <w:tr w:rsidR="00A41B49" w:rsidRPr="00A41B49" w14:paraId="2815620B"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1A353A79"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Харківська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0710E72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910,4</w:t>
            </w:r>
          </w:p>
        </w:tc>
        <w:tc>
          <w:tcPr>
            <w:tcW w:w="395" w:type="pct"/>
            <w:gridSpan w:val="2"/>
            <w:tcBorders>
              <w:top w:val="nil"/>
              <w:left w:val="nil"/>
              <w:bottom w:val="single" w:sz="8" w:space="0" w:color="auto"/>
              <w:right w:val="single" w:sz="8" w:space="0" w:color="auto"/>
            </w:tcBorders>
            <w:shd w:val="clear" w:color="auto" w:fill="auto"/>
            <w:vAlign w:val="center"/>
            <w:hideMark/>
          </w:tcPr>
          <w:p w14:paraId="2E7FDF84"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82,7</w:t>
            </w:r>
          </w:p>
        </w:tc>
        <w:tc>
          <w:tcPr>
            <w:tcW w:w="522" w:type="pct"/>
            <w:gridSpan w:val="2"/>
            <w:tcBorders>
              <w:top w:val="nil"/>
              <w:left w:val="nil"/>
              <w:bottom w:val="single" w:sz="8" w:space="0" w:color="auto"/>
              <w:right w:val="single" w:sz="8" w:space="0" w:color="auto"/>
            </w:tcBorders>
            <w:shd w:val="clear" w:color="auto" w:fill="auto"/>
            <w:vAlign w:val="center"/>
            <w:hideMark/>
          </w:tcPr>
          <w:p w14:paraId="7AAE8E76"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634,6</w:t>
            </w:r>
          </w:p>
        </w:tc>
        <w:tc>
          <w:tcPr>
            <w:tcW w:w="492" w:type="pct"/>
            <w:gridSpan w:val="2"/>
            <w:tcBorders>
              <w:top w:val="nil"/>
              <w:left w:val="nil"/>
              <w:bottom w:val="single" w:sz="8" w:space="0" w:color="auto"/>
              <w:right w:val="single" w:sz="8" w:space="0" w:color="auto"/>
            </w:tcBorders>
            <w:shd w:val="clear" w:color="auto" w:fill="auto"/>
            <w:vAlign w:val="center"/>
            <w:hideMark/>
          </w:tcPr>
          <w:p w14:paraId="159C37F6"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66,5</w:t>
            </w:r>
          </w:p>
        </w:tc>
        <w:tc>
          <w:tcPr>
            <w:tcW w:w="520" w:type="pct"/>
            <w:tcBorders>
              <w:top w:val="nil"/>
              <w:left w:val="nil"/>
              <w:bottom w:val="single" w:sz="8" w:space="0" w:color="auto"/>
              <w:right w:val="single" w:sz="8" w:space="0" w:color="auto"/>
            </w:tcBorders>
            <w:shd w:val="clear" w:color="auto" w:fill="auto"/>
            <w:vAlign w:val="center"/>
            <w:hideMark/>
          </w:tcPr>
          <w:p w14:paraId="251B8BD8"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772,5</w:t>
            </w:r>
          </w:p>
        </w:tc>
        <w:tc>
          <w:tcPr>
            <w:tcW w:w="489" w:type="pct"/>
            <w:tcBorders>
              <w:top w:val="nil"/>
              <w:left w:val="nil"/>
              <w:bottom w:val="single" w:sz="8" w:space="0" w:color="auto"/>
              <w:right w:val="single" w:sz="8" w:space="0" w:color="auto"/>
            </w:tcBorders>
            <w:shd w:val="clear" w:color="auto" w:fill="auto"/>
            <w:vAlign w:val="center"/>
            <w:hideMark/>
          </w:tcPr>
          <w:p w14:paraId="2CD0AF24"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74,6</w:t>
            </w:r>
          </w:p>
        </w:tc>
        <w:tc>
          <w:tcPr>
            <w:tcW w:w="489" w:type="pct"/>
            <w:tcBorders>
              <w:top w:val="nil"/>
              <w:left w:val="nil"/>
              <w:bottom w:val="single" w:sz="8" w:space="0" w:color="auto"/>
              <w:right w:val="single" w:sz="8" w:space="0" w:color="auto"/>
            </w:tcBorders>
            <w:shd w:val="clear" w:color="auto" w:fill="auto"/>
            <w:vAlign w:val="center"/>
            <w:hideMark/>
          </w:tcPr>
          <w:p w14:paraId="5CDBD177"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-275,8</w:t>
            </w:r>
          </w:p>
        </w:tc>
        <w:tc>
          <w:tcPr>
            <w:tcW w:w="486" w:type="pct"/>
            <w:tcBorders>
              <w:top w:val="nil"/>
              <w:left w:val="nil"/>
              <w:bottom w:val="single" w:sz="8" w:space="0" w:color="auto"/>
              <w:right w:val="single" w:sz="8" w:space="0" w:color="auto"/>
            </w:tcBorders>
            <w:shd w:val="clear" w:color="auto" w:fill="auto"/>
            <w:vAlign w:val="center"/>
            <w:hideMark/>
          </w:tcPr>
          <w:p w14:paraId="77FFB6D1"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-16,2</w:t>
            </w:r>
          </w:p>
        </w:tc>
      </w:tr>
      <w:tr w:rsidR="00A41B49" w:rsidRPr="00A41B49" w14:paraId="26B3AAB8"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575F0C0C" w14:textId="77777777" w:rsidR="009A36AB" w:rsidRPr="00A41B49" w:rsidRDefault="009A36A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Херсонська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745E1035" w14:textId="77777777" w:rsidR="009A36AB" w:rsidRPr="00A41B49" w:rsidRDefault="009A36A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159,1</w:t>
            </w:r>
          </w:p>
        </w:tc>
        <w:tc>
          <w:tcPr>
            <w:tcW w:w="395" w:type="pct"/>
            <w:gridSpan w:val="2"/>
            <w:tcBorders>
              <w:top w:val="nil"/>
              <w:left w:val="nil"/>
              <w:bottom w:val="single" w:sz="8" w:space="0" w:color="auto"/>
              <w:right w:val="single" w:sz="8" w:space="0" w:color="auto"/>
            </w:tcBorders>
            <w:shd w:val="clear" w:color="auto" w:fill="auto"/>
            <w:vAlign w:val="center"/>
            <w:hideMark/>
          </w:tcPr>
          <w:p w14:paraId="57A0B804" w14:textId="77777777" w:rsidR="009A36AB" w:rsidRPr="00A41B49" w:rsidRDefault="009A36A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36,2</w:t>
            </w:r>
          </w:p>
        </w:tc>
        <w:tc>
          <w:tcPr>
            <w:tcW w:w="522" w:type="pct"/>
            <w:gridSpan w:val="2"/>
            <w:tcBorders>
              <w:top w:val="nil"/>
              <w:left w:val="nil"/>
              <w:bottom w:val="single" w:sz="8" w:space="0" w:color="auto"/>
              <w:right w:val="single" w:sz="8" w:space="0" w:color="auto"/>
            </w:tcBorders>
            <w:shd w:val="clear" w:color="auto" w:fill="auto"/>
            <w:vAlign w:val="center"/>
            <w:hideMark/>
          </w:tcPr>
          <w:p w14:paraId="4BC0478C"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92" w:type="pct"/>
            <w:gridSpan w:val="2"/>
            <w:tcBorders>
              <w:top w:val="nil"/>
              <w:left w:val="nil"/>
              <w:bottom w:val="single" w:sz="8" w:space="0" w:color="auto"/>
              <w:right w:val="single" w:sz="8" w:space="0" w:color="auto"/>
            </w:tcBorders>
            <w:shd w:val="clear" w:color="auto" w:fill="auto"/>
            <w:vAlign w:val="center"/>
            <w:hideMark/>
          </w:tcPr>
          <w:p w14:paraId="2A859463"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520" w:type="pct"/>
            <w:tcBorders>
              <w:top w:val="nil"/>
              <w:left w:val="nil"/>
              <w:bottom w:val="single" w:sz="8" w:space="0" w:color="auto"/>
              <w:right w:val="single" w:sz="8" w:space="0" w:color="auto"/>
            </w:tcBorders>
            <w:shd w:val="clear" w:color="auto" w:fill="auto"/>
            <w:vAlign w:val="center"/>
            <w:hideMark/>
          </w:tcPr>
          <w:p w14:paraId="619A5B3A"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89" w:type="pct"/>
            <w:tcBorders>
              <w:top w:val="nil"/>
              <w:left w:val="nil"/>
              <w:bottom w:val="single" w:sz="8" w:space="0" w:color="auto"/>
              <w:right w:val="single" w:sz="8" w:space="0" w:color="auto"/>
            </w:tcBorders>
            <w:shd w:val="clear" w:color="auto" w:fill="auto"/>
            <w:vAlign w:val="center"/>
            <w:hideMark/>
          </w:tcPr>
          <w:p w14:paraId="79AAA1EC"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89" w:type="pct"/>
            <w:tcBorders>
              <w:top w:val="nil"/>
              <w:left w:val="nil"/>
              <w:bottom w:val="single" w:sz="8" w:space="0" w:color="auto"/>
              <w:right w:val="single" w:sz="8" w:space="0" w:color="auto"/>
            </w:tcBorders>
            <w:shd w:val="clear" w:color="auto" w:fill="auto"/>
            <w:vAlign w:val="center"/>
            <w:hideMark/>
          </w:tcPr>
          <w:p w14:paraId="2212E37B"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486" w:type="pct"/>
            <w:tcBorders>
              <w:top w:val="nil"/>
              <w:left w:val="nil"/>
              <w:bottom w:val="single" w:sz="8" w:space="0" w:color="auto"/>
              <w:right w:val="single" w:sz="8" w:space="0" w:color="auto"/>
            </w:tcBorders>
            <w:shd w:val="clear" w:color="auto" w:fill="auto"/>
            <w:vAlign w:val="center"/>
            <w:hideMark/>
          </w:tcPr>
          <w:p w14:paraId="49ADAC31" w14:textId="77777777" w:rsidR="009A36AB" w:rsidRPr="00A41B49" w:rsidRDefault="009A36AB" w:rsidP="00D75056">
            <w:pPr>
              <w:spacing w:after="0" w:line="240" w:lineRule="auto"/>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r>
      <w:tr w:rsidR="00A41B49" w:rsidRPr="00A41B49" w14:paraId="26B59FDD"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55A9234B"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Хмельницька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54BBD4E7"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118,4</w:t>
            </w:r>
          </w:p>
        </w:tc>
        <w:tc>
          <w:tcPr>
            <w:tcW w:w="395" w:type="pct"/>
            <w:gridSpan w:val="2"/>
            <w:tcBorders>
              <w:top w:val="nil"/>
              <w:left w:val="nil"/>
              <w:bottom w:val="single" w:sz="8" w:space="0" w:color="auto"/>
              <w:right w:val="single" w:sz="8" w:space="0" w:color="auto"/>
            </w:tcBorders>
            <w:shd w:val="clear" w:color="auto" w:fill="auto"/>
            <w:vAlign w:val="center"/>
            <w:hideMark/>
          </w:tcPr>
          <w:p w14:paraId="44E387E5"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13,4</w:t>
            </w:r>
          </w:p>
        </w:tc>
        <w:tc>
          <w:tcPr>
            <w:tcW w:w="522" w:type="pct"/>
            <w:gridSpan w:val="2"/>
            <w:tcBorders>
              <w:top w:val="nil"/>
              <w:left w:val="nil"/>
              <w:bottom w:val="single" w:sz="8" w:space="0" w:color="auto"/>
              <w:right w:val="single" w:sz="8" w:space="0" w:color="auto"/>
            </w:tcBorders>
            <w:shd w:val="clear" w:color="auto" w:fill="auto"/>
            <w:vAlign w:val="center"/>
            <w:hideMark/>
          </w:tcPr>
          <w:p w14:paraId="67E13E32"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260,5</w:t>
            </w:r>
          </w:p>
        </w:tc>
        <w:tc>
          <w:tcPr>
            <w:tcW w:w="492" w:type="pct"/>
            <w:gridSpan w:val="2"/>
            <w:tcBorders>
              <w:top w:val="nil"/>
              <w:left w:val="nil"/>
              <w:bottom w:val="single" w:sz="8" w:space="0" w:color="auto"/>
              <w:right w:val="single" w:sz="8" w:space="0" w:color="auto"/>
            </w:tcBorders>
            <w:shd w:val="clear" w:color="auto" w:fill="auto"/>
            <w:vAlign w:val="center"/>
            <w:hideMark/>
          </w:tcPr>
          <w:p w14:paraId="471BF47B"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26,0</w:t>
            </w:r>
          </w:p>
        </w:tc>
        <w:tc>
          <w:tcPr>
            <w:tcW w:w="520" w:type="pct"/>
            <w:tcBorders>
              <w:top w:val="nil"/>
              <w:left w:val="nil"/>
              <w:bottom w:val="single" w:sz="8" w:space="0" w:color="auto"/>
              <w:right w:val="single" w:sz="8" w:space="0" w:color="auto"/>
            </w:tcBorders>
            <w:shd w:val="clear" w:color="auto" w:fill="auto"/>
            <w:vAlign w:val="center"/>
            <w:hideMark/>
          </w:tcPr>
          <w:p w14:paraId="167EF73D"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189,45</w:t>
            </w:r>
          </w:p>
        </w:tc>
        <w:tc>
          <w:tcPr>
            <w:tcW w:w="489" w:type="pct"/>
            <w:tcBorders>
              <w:top w:val="nil"/>
              <w:left w:val="nil"/>
              <w:bottom w:val="single" w:sz="8" w:space="0" w:color="auto"/>
              <w:right w:val="single" w:sz="8" w:space="0" w:color="auto"/>
            </w:tcBorders>
            <w:shd w:val="clear" w:color="auto" w:fill="auto"/>
            <w:vAlign w:val="center"/>
            <w:hideMark/>
          </w:tcPr>
          <w:p w14:paraId="1FDFAFDC"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19,7</w:t>
            </w:r>
          </w:p>
        </w:tc>
        <w:tc>
          <w:tcPr>
            <w:tcW w:w="489" w:type="pct"/>
            <w:tcBorders>
              <w:top w:val="nil"/>
              <w:left w:val="nil"/>
              <w:bottom w:val="single" w:sz="8" w:space="0" w:color="auto"/>
              <w:right w:val="single" w:sz="8" w:space="0" w:color="auto"/>
            </w:tcBorders>
            <w:shd w:val="clear" w:color="auto" w:fill="auto"/>
            <w:vAlign w:val="center"/>
            <w:hideMark/>
          </w:tcPr>
          <w:p w14:paraId="636A567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142,1</w:t>
            </w:r>
          </w:p>
        </w:tc>
        <w:tc>
          <w:tcPr>
            <w:tcW w:w="486" w:type="pct"/>
            <w:tcBorders>
              <w:top w:val="nil"/>
              <w:left w:val="nil"/>
              <w:bottom w:val="single" w:sz="8" w:space="0" w:color="auto"/>
              <w:right w:val="single" w:sz="8" w:space="0" w:color="auto"/>
            </w:tcBorders>
            <w:shd w:val="clear" w:color="auto" w:fill="auto"/>
            <w:vAlign w:val="center"/>
            <w:hideMark/>
          </w:tcPr>
          <w:p w14:paraId="01835738"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12,6</w:t>
            </w:r>
          </w:p>
        </w:tc>
      </w:tr>
      <w:tr w:rsidR="00A41B49" w:rsidRPr="00A41B49" w14:paraId="1C162C76"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20C2B4AF"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Черкаська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689A62EB"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209,4</w:t>
            </w:r>
          </w:p>
        </w:tc>
        <w:tc>
          <w:tcPr>
            <w:tcW w:w="395" w:type="pct"/>
            <w:gridSpan w:val="2"/>
            <w:tcBorders>
              <w:top w:val="nil"/>
              <w:left w:val="nil"/>
              <w:bottom w:val="single" w:sz="8" w:space="0" w:color="auto"/>
              <w:right w:val="single" w:sz="8" w:space="0" w:color="auto"/>
            </w:tcBorders>
            <w:shd w:val="clear" w:color="auto" w:fill="auto"/>
            <w:vAlign w:val="center"/>
            <w:hideMark/>
          </w:tcPr>
          <w:p w14:paraId="05D1C28E"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69,0</w:t>
            </w:r>
          </w:p>
        </w:tc>
        <w:tc>
          <w:tcPr>
            <w:tcW w:w="522" w:type="pct"/>
            <w:gridSpan w:val="2"/>
            <w:tcBorders>
              <w:top w:val="nil"/>
              <w:left w:val="nil"/>
              <w:bottom w:val="single" w:sz="8" w:space="0" w:color="auto"/>
              <w:right w:val="single" w:sz="8" w:space="0" w:color="auto"/>
            </w:tcBorders>
            <w:shd w:val="clear" w:color="auto" w:fill="auto"/>
            <w:vAlign w:val="center"/>
            <w:hideMark/>
          </w:tcPr>
          <w:p w14:paraId="5B21700A"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304,1</w:t>
            </w:r>
          </w:p>
        </w:tc>
        <w:tc>
          <w:tcPr>
            <w:tcW w:w="492" w:type="pct"/>
            <w:gridSpan w:val="2"/>
            <w:tcBorders>
              <w:top w:val="nil"/>
              <w:left w:val="nil"/>
              <w:bottom w:val="single" w:sz="8" w:space="0" w:color="auto"/>
              <w:right w:val="single" w:sz="8" w:space="0" w:color="auto"/>
            </w:tcBorders>
            <w:shd w:val="clear" w:color="auto" w:fill="auto"/>
            <w:vAlign w:val="center"/>
            <w:hideMark/>
          </w:tcPr>
          <w:p w14:paraId="2CD42127"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65,5</w:t>
            </w:r>
          </w:p>
        </w:tc>
        <w:tc>
          <w:tcPr>
            <w:tcW w:w="520" w:type="pct"/>
            <w:tcBorders>
              <w:top w:val="nil"/>
              <w:left w:val="nil"/>
              <w:bottom w:val="single" w:sz="8" w:space="0" w:color="auto"/>
              <w:right w:val="single" w:sz="8" w:space="0" w:color="auto"/>
            </w:tcBorders>
            <w:shd w:val="clear" w:color="auto" w:fill="auto"/>
            <w:vAlign w:val="center"/>
            <w:hideMark/>
          </w:tcPr>
          <w:p w14:paraId="61088FC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256,75</w:t>
            </w:r>
          </w:p>
        </w:tc>
        <w:tc>
          <w:tcPr>
            <w:tcW w:w="489" w:type="pct"/>
            <w:tcBorders>
              <w:top w:val="nil"/>
              <w:left w:val="nil"/>
              <w:bottom w:val="single" w:sz="8" w:space="0" w:color="auto"/>
              <w:right w:val="single" w:sz="8" w:space="0" w:color="auto"/>
            </w:tcBorders>
            <w:shd w:val="clear" w:color="auto" w:fill="auto"/>
            <w:vAlign w:val="center"/>
            <w:hideMark/>
          </w:tcPr>
          <w:p w14:paraId="20800754"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67,3</w:t>
            </w:r>
          </w:p>
        </w:tc>
        <w:tc>
          <w:tcPr>
            <w:tcW w:w="489" w:type="pct"/>
            <w:tcBorders>
              <w:top w:val="nil"/>
              <w:left w:val="nil"/>
              <w:bottom w:val="single" w:sz="8" w:space="0" w:color="auto"/>
              <w:right w:val="single" w:sz="8" w:space="0" w:color="auto"/>
            </w:tcBorders>
            <w:shd w:val="clear" w:color="auto" w:fill="auto"/>
            <w:vAlign w:val="center"/>
            <w:hideMark/>
          </w:tcPr>
          <w:p w14:paraId="6AA5F309"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94,7</w:t>
            </w:r>
          </w:p>
        </w:tc>
        <w:tc>
          <w:tcPr>
            <w:tcW w:w="486" w:type="pct"/>
            <w:tcBorders>
              <w:top w:val="nil"/>
              <w:left w:val="nil"/>
              <w:bottom w:val="single" w:sz="8" w:space="0" w:color="auto"/>
              <w:right w:val="single" w:sz="8" w:space="0" w:color="auto"/>
            </w:tcBorders>
            <w:shd w:val="clear" w:color="auto" w:fill="auto"/>
            <w:vAlign w:val="center"/>
            <w:hideMark/>
          </w:tcPr>
          <w:p w14:paraId="7B699215"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-3,6</w:t>
            </w:r>
          </w:p>
        </w:tc>
      </w:tr>
      <w:tr w:rsidR="00A41B49" w:rsidRPr="00A41B49" w14:paraId="6C9375C3"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19B47606"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Чернівецька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3B207EC6"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55,6</w:t>
            </w:r>
          </w:p>
        </w:tc>
        <w:tc>
          <w:tcPr>
            <w:tcW w:w="395" w:type="pct"/>
            <w:gridSpan w:val="2"/>
            <w:tcBorders>
              <w:top w:val="nil"/>
              <w:left w:val="nil"/>
              <w:bottom w:val="single" w:sz="8" w:space="0" w:color="auto"/>
              <w:right w:val="single" w:sz="8" w:space="0" w:color="auto"/>
            </w:tcBorders>
            <w:shd w:val="clear" w:color="auto" w:fill="auto"/>
            <w:vAlign w:val="center"/>
            <w:hideMark/>
          </w:tcPr>
          <w:p w14:paraId="68AC4D6A"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87,7</w:t>
            </w:r>
          </w:p>
        </w:tc>
        <w:tc>
          <w:tcPr>
            <w:tcW w:w="522" w:type="pct"/>
            <w:gridSpan w:val="2"/>
            <w:tcBorders>
              <w:top w:val="nil"/>
              <w:left w:val="nil"/>
              <w:bottom w:val="single" w:sz="8" w:space="0" w:color="auto"/>
              <w:right w:val="single" w:sz="8" w:space="0" w:color="auto"/>
            </w:tcBorders>
            <w:shd w:val="clear" w:color="auto" w:fill="auto"/>
            <w:vAlign w:val="center"/>
            <w:hideMark/>
          </w:tcPr>
          <w:p w14:paraId="3522D365"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54,1</w:t>
            </w:r>
          </w:p>
        </w:tc>
        <w:tc>
          <w:tcPr>
            <w:tcW w:w="492" w:type="pct"/>
            <w:gridSpan w:val="2"/>
            <w:tcBorders>
              <w:top w:val="nil"/>
              <w:left w:val="nil"/>
              <w:bottom w:val="single" w:sz="8" w:space="0" w:color="auto"/>
              <w:right w:val="single" w:sz="8" w:space="0" w:color="auto"/>
            </w:tcBorders>
            <w:shd w:val="clear" w:color="auto" w:fill="auto"/>
            <w:vAlign w:val="center"/>
            <w:hideMark/>
          </w:tcPr>
          <w:p w14:paraId="14149526"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81,5</w:t>
            </w:r>
          </w:p>
        </w:tc>
        <w:tc>
          <w:tcPr>
            <w:tcW w:w="520" w:type="pct"/>
            <w:tcBorders>
              <w:top w:val="nil"/>
              <w:left w:val="nil"/>
              <w:bottom w:val="single" w:sz="8" w:space="0" w:color="auto"/>
              <w:right w:val="single" w:sz="8" w:space="0" w:color="auto"/>
            </w:tcBorders>
            <w:shd w:val="clear" w:color="auto" w:fill="auto"/>
            <w:vAlign w:val="center"/>
            <w:hideMark/>
          </w:tcPr>
          <w:p w14:paraId="74AA82E8"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54,85</w:t>
            </w:r>
          </w:p>
        </w:tc>
        <w:tc>
          <w:tcPr>
            <w:tcW w:w="489" w:type="pct"/>
            <w:tcBorders>
              <w:top w:val="nil"/>
              <w:left w:val="nil"/>
              <w:bottom w:val="single" w:sz="8" w:space="0" w:color="auto"/>
              <w:right w:val="single" w:sz="8" w:space="0" w:color="auto"/>
            </w:tcBorders>
            <w:shd w:val="clear" w:color="auto" w:fill="auto"/>
            <w:vAlign w:val="center"/>
            <w:hideMark/>
          </w:tcPr>
          <w:p w14:paraId="4C6CEFA6"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84,6</w:t>
            </w:r>
          </w:p>
        </w:tc>
        <w:tc>
          <w:tcPr>
            <w:tcW w:w="489" w:type="pct"/>
            <w:tcBorders>
              <w:top w:val="nil"/>
              <w:left w:val="nil"/>
              <w:bottom w:val="single" w:sz="8" w:space="0" w:color="auto"/>
              <w:right w:val="single" w:sz="8" w:space="0" w:color="auto"/>
            </w:tcBorders>
            <w:shd w:val="clear" w:color="auto" w:fill="auto"/>
            <w:vAlign w:val="center"/>
            <w:hideMark/>
          </w:tcPr>
          <w:p w14:paraId="0A328667"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-1,5</w:t>
            </w:r>
          </w:p>
        </w:tc>
        <w:tc>
          <w:tcPr>
            <w:tcW w:w="486" w:type="pct"/>
            <w:tcBorders>
              <w:top w:val="nil"/>
              <w:left w:val="nil"/>
              <w:bottom w:val="single" w:sz="8" w:space="0" w:color="auto"/>
              <w:right w:val="single" w:sz="8" w:space="0" w:color="auto"/>
            </w:tcBorders>
            <w:shd w:val="clear" w:color="auto" w:fill="auto"/>
            <w:vAlign w:val="center"/>
            <w:hideMark/>
          </w:tcPr>
          <w:p w14:paraId="4F5AE1C1"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-6,2</w:t>
            </w:r>
          </w:p>
        </w:tc>
      </w:tr>
      <w:tr w:rsidR="00A41B49" w:rsidRPr="00A41B49" w14:paraId="1FCDE45B"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7019B312"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Чернігівська</w:t>
            </w:r>
          </w:p>
        </w:tc>
        <w:tc>
          <w:tcPr>
            <w:tcW w:w="521" w:type="pct"/>
            <w:gridSpan w:val="2"/>
            <w:tcBorders>
              <w:top w:val="nil"/>
              <w:left w:val="nil"/>
              <w:bottom w:val="single" w:sz="8" w:space="0" w:color="auto"/>
              <w:right w:val="single" w:sz="8" w:space="0" w:color="auto"/>
            </w:tcBorders>
            <w:shd w:val="clear" w:color="auto" w:fill="auto"/>
            <w:vAlign w:val="center"/>
            <w:hideMark/>
          </w:tcPr>
          <w:p w14:paraId="24F7B5D9"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447,7</w:t>
            </w:r>
          </w:p>
        </w:tc>
        <w:tc>
          <w:tcPr>
            <w:tcW w:w="395" w:type="pct"/>
            <w:gridSpan w:val="2"/>
            <w:tcBorders>
              <w:top w:val="nil"/>
              <w:left w:val="nil"/>
              <w:bottom w:val="single" w:sz="8" w:space="0" w:color="auto"/>
              <w:right w:val="single" w:sz="8" w:space="0" w:color="auto"/>
            </w:tcBorders>
            <w:shd w:val="clear" w:color="auto" w:fill="auto"/>
            <w:vAlign w:val="center"/>
            <w:hideMark/>
          </w:tcPr>
          <w:p w14:paraId="4E08067F"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83,3</w:t>
            </w:r>
          </w:p>
        </w:tc>
        <w:tc>
          <w:tcPr>
            <w:tcW w:w="522" w:type="pct"/>
            <w:gridSpan w:val="2"/>
            <w:tcBorders>
              <w:top w:val="nil"/>
              <w:left w:val="nil"/>
              <w:bottom w:val="single" w:sz="8" w:space="0" w:color="auto"/>
              <w:right w:val="single" w:sz="8" w:space="0" w:color="auto"/>
            </w:tcBorders>
            <w:shd w:val="clear" w:color="auto" w:fill="auto"/>
            <w:vAlign w:val="center"/>
            <w:hideMark/>
          </w:tcPr>
          <w:p w14:paraId="24EE069D"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570,7</w:t>
            </w:r>
          </w:p>
        </w:tc>
        <w:tc>
          <w:tcPr>
            <w:tcW w:w="492" w:type="pct"/>
            <w:gridSpan w:val="2"/>
            <w:tcBorders>
              <w:top w:val="nil"/>
              <w:left w:val="nil"/>
              <w:bottom w:val="single" w:sz="8" w:space="0" w:color="auto"/>
              <w:right w:val="single" w:sz="8" w:space="0" w:color="auto"/>
            </w:tcBorders>
            <w:shd w:val="clear" w:color="auto" w:fill="auto"/>
            <w:vAlign w:val="center"/>
            <w:hideMark/>
          </w:tcPr>
          <w:p w14:paraId="5A806BA8"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87,9</w:t>
            </w:r>
          </w:p>
        </w:tc>
        <w:tc>
          <w:tcPr>
            <w:tcW w:w="520" w:type="pct"/>
            <w:tcBorders>
              <w:top w:val="nil"/>
              <w:left w:val="nil"/>
              <w:bottom w:val="single" w:sz="8" w:space="0" w:color="auto"/>
              <w:right w:val="single" w:sz="8" w:space="0" w:color="auto"/>
            </w:tcBorders>
            <w:shd w:val="clear" w:color="auto" w:fill="auto"/>
            <w:vAlign w:val="center"/>
            <w:hideMark/>
          </w:tcPr>
          <w:p w14:paraId="0BAEF5D5"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509,2</w:t>
            </w:r>
          </w:p>
        </w:tc>
        <w:tc>
          <w:tcPr>
            <w:tcW w:w="489" w:type="pct"/>
            <w:tcBorders>
              <w:top w:val="nil"/>
              <w:left w:val="nil"/>
              <w:bottom w:val="single" w:sz="8" w:space="0" w:color="auto"/>
              <w:right w:val="single" w:sz="8" w:space="0" w:color="auto"/>
            </w:tcBorders>
            <w:shd w:val="clear" w:color="auto" w:fill="auto"/>
            <w:vAlign w:val="center"/>
            <w:hideMark/>
          </w:tcPr>
          <w:p w14:paraId="5219B223"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85,6</w:t>
            </w:r>
          </w:p>
        </w:tc>
        <w:tc>
          <w:tcPr>
            <w:tcW w:w="489" w:type="pct"/>
            <w:tcBorders>
              <w:top w:val="nil"/>
              <w:left w:val="nil"/>
              <w:bottom w:val="single" w:sz="8" w:space="0" w:color="auto"/>
              <w:right w:val="single" w:sz="8" w:space="0" w:color="auto"/>
            </w:tcBorders>
            <w:shd w:val="clear" w:color="auto" w:fill="auto"/>
            <w:vAlign w:val="center"/>
            <w:hideMark/>
          </w:tcPr>
          <w:p w14:paraId="3ED3C6AD"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123</w:t>
            </w:r>
          </w:p>
        </w:tc>
        <w:tc>
          <w:tcPr>
            <w:tcW w:w="486" w:type="pct"/>
            <w:tcBorders>
              <w:top w:val="nil"/>
              <w:left w:val="nil"/>
              <w:bottom w:val="single" w:sz="8" w:space="0" w:color="auto"/>
              <w:right w:val="single" w:sz="8" w:space="0" w:color="auto"/>
            </w:tcBorders>
            <w:shd w:val="clear" w:color="auto" w:fill="auto"/>
            <w:vAlign w:val="center"/>
            <w:hideMark/>
          </w:tcPr>
          <w:p w14:paraId="5D79AC25"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4,6</w:t>
            </w:r>
          </w:p>
        </w:tc>
      </w:tr>
      <w:tr w:rsidR="00A41B49" w:rsidRPr="00A41B49" w14:paraId="55465AFA" w14:textId="77777777" w:rsidTr="004F75D0">
        <w:trPr>
          <w:trHeight w:val="324"/>
        </w:trPr>
        <w:tc>
          <w:tcPr>
            <w:tcW w:w="1085" w:type="pct"/>
            <w:tcBorders>
              <w:top w:val="nil"/>
              <w:left w:val="single" w:sz="8" w:space="0" w:color="auto"/>
              <w:bottom w:val="single" w:sz="8" w:space="0" w:color="auto"/>
              <w:right w:val="single" w:sz="8" w:space="0" w:color="auto"/>
            </w:tcBorders>
            <w:shd w:val="clear" w:color="auto" w:fill="auto"/>
            <w:vAlign w:val="center"/>
            <w:hideMark/>
          </w:tcPr>
          <w:p w14:paraId="38BE3387" w14:textId="77777777" w:rsidR="00813ADB" w:rsidRPr="00A41B49" w:rsidRDefault="00813ADB" w:rsidP="00813ADB">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м. Київ</w:t>
            </w:r>
          </w:p>
        </w:tc>
        <w:tc>
          <w:tcPr>
            <w:tcW w:w="521" w:type="pct"/>
            <w:gridSpan w:val="2"/>
            <w:tcBorders>
              <w:top w:val="nil"/>
              <w:left w:val="nil"/>
              <w:bottom w:val="single" w:sz="8" w:space="0" w:color="auto"/>
              <w:right w:val="single" w:sz="8" w:space="0" w:color="auto"/>
            </w:tcBorders>
            <w:shd w:val="clear" w:color="auto" w:fill="auto"/>
            <w:vAlign w:val="center"/>
            <w:hideMark/>
          </w:tcPr>
          <w:p w14:paraId="73CB8BEB"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15923,3</w:t>
            </w:r>
          </w:p>
        </w:tc>
        <w:tc>
          <w:tcPr>
            <w:tcW w:w="395" w:type="pct"/>
            <w:gridSpan w:val="2"/>
            <w:tcBorders>
              <w:top w:val="nil"/>
              <w:left w:val="nil"/>
              <w:bottom w:val="single" w:sz="8" w:space="0" w:color="auto"/>
              <w:right w:val="single" w:sz="8" w:space="0" w:color="auto"/>
            </w:tcBorders>
            <w:shd w:val="clear" w:color="auto" w:fill="auto"/>
            <w:vAlign w:val="center"/>
            <w:hideMark/>
          </w:tcPr>
          <w:p w14:paraId="62C3BA51"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69,8</w:t>
            </w:r>
          </w:p>
        </w:tc>
        <w:tc>
          <w:tcPr>
            <w:tcW w:w="522" w:type="pct"/>
            <w:gridSpan w:val="2"/>
            <w:tcBorders>
              <w:top w:val="nil"/>
              <w:left w:val="nil"/>
              <w:bottom w:val="single" w:sz="8" w:space="0" w:color="auto"/>
              <w:right w:val="single" w:sz="8" w:space="0" w:color="auto"/>
            </w:tcBorders>
            <w:shd w:val="clear" w:color="auto" w:fill="auto"/>
            <w:vAlign w:val="center"/>
            <w:hideMark/>
          </w:tcPr>
          <w:p w14:paraId="09CFB0B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12307,9</w:t>
            </w:r>
          </w:p>
        </w:tc>
        <w:tc>
          <w:tcPr>
            <w:tcW w:w="492" w:type="pct"/>
            <w:gridSpan w:val="2"/>
            <w:tcBorders>
              <w:top w:val="nil"/>
              <w:left w:val="nil"/>
              <w:bottom w:val="single" w:sz="8" w:space="0" w:color="auto"/>
              <w:right w:val="single" w:sz="8" w:space="0" w:color="auto"/>
            </w:tcBorders>
            <w:shd w:val="clear" w:color="auto" w:fill="auto"/>
            <w:vAlign w:val="center"/>
            <w:hideMark/>
          </w:tcPr>
          <w:p w14:paraId="7FB9FBB1"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63,7</w:t>
            </w:r>
          </w:p>
        </w:tc>
        <w:tc>
          <w:tcPr>
            <w:tcW w:w="520" w:type="pct"/>
            <w:tcBorders>
              <w:top w:val="nil"/>
              <w:left w:val="nil"/>
              <w:bottom w:val="single" w:sz="8" w:space="0" w:color="auto"/>
              <w:right w:val="single" w:sz="8" w:space="0" w:color="auto"/>
            </w:tcBorders>
            <w:shd w:val="clear" w:color="auto" w:fill="auto"/>
            <w:vAlign w:val="center"/>
            <w:hideMark/>
          </w:tcPr>
          <w:p w14:paraId="1CF9B881"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14115,6</w:t>
            </w:r>
          </w:p>
        </w:tc>
        <w:tc>
          <w:tcPr>
            <w:tcW w:w="489" w:type="pct"/>
            <w:tcBorders>
              <w:top w:val="nil"/>
              <w:left w:val="nil"/>
              <w:bottom w:val="single" w:sz="8" w:space="0" w:color="auto"/>
              <w:right w:val="single" w:sz="8" w:space="0" w:color="auto"/>
            </w:tcBorders>
            <w:shd w:val="clear" w:color="auto" w:fill="auto"/>
            <w:vAlign w:val="center"/>
            <w:hideMark/>
          </w:tcPr>
          <w:p w14:paraId="3327E27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66,7</w:t>
            </w:r>
          </w:p>
        </w:tc>
        <w:tc>
          <w:tcPr>
            <w:tcW w:w="489" w:type="pct"/>
            <w:tcBorders>
              <w:top w:val="nil"/>
              <w:left w:val="nil"/>
              <w:bottom w:val="single" w:sz="8" w:space="0" w:color="auto"/>
              <w:right w:val="single" w:sz="8" w:space="0" w:color="auto"/>
            </w:tcBorders>
            <w:shd w:val="clear" w:color="auto" w:fill="auto"/>
            <w:vAlign w:val="center"/>
            <w:hideMark/>
          </w:tcPr>
          <w:p w14:paraId="1C26B7A9"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-3615,4</w:t>
            </w:r>
          </w:p>
        </w:tc>
        <w:tc>
          <w:tcPr>
            <w:tcW w:w="486" w:type="pct"/>
            <w:tcBorders>
              <w:top w:val="nil"/>
              <w:left w:val="nil"/>
              <w:bottom w:val="single" w:sz="8" w:space="0" w:color="auto"/>
              <w:right w:val="single" w:sz="8" w:space="0" w:color="auto"/>
            </w:tcBorders>
            <w:shd w:val="clear" w:color="auto" w:fill="auto"/>
            <w:vAlign w:val="center"/>
            <w:hideMark/>
          </w:tcPr>
          <w:p w14:paraId="14608120" w14:textId="77777777" w:rsidR="00813ADB" w:rsidRPr="00A41B49" w:rsidRDefault="00813ADB"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-6,1</w:t>
            </w:r>
          </w:p>
        </w:tc>
      </w:tr>
      <w:tr w:rsidR="00A41B49" w:rsidRPr="00A41B49" w14:paraId="060102A9" w14:textId="77777777" w:rsidTr="004F75D0">
        <w:trPr>
          <w:trHeight w:val="636"/>
        </w:trPr>
        <w:tc>
          <w:tcPr>
            <w:tcW w:w="1089" w:type="pct"/>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071D0510" w14:textId="77777777" w:rsidR="009C31D4" w:rsidRPr="00A41B49" w:rsidRDefault="009C31D4" w:rsidP="009C31D4">
            <w:pPr>
              <w:spacing w:after="0" w:line="240" w:lineRule="auto"/>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Нерозподілено за регіонами</w:t>
            </w:r>
          </w:p>
        </w:tc>
        <w:tc>
          <w:tcPr>
            <w:tcW w:w="521" w:type="pct"/>
            <w:gridSpan w:val="2"/>
            <w:tcBorders>
              <w:top w:val="single" w:sz="4" w:space="0" w:color="auto"/>
              <w:left w:val="nil"/>
              <w:bottom w:val="single" w:sz="8" w:space="0" w:color="auto"/>
              <w:right w:val="single" w:sz="8" w:space="0" w:color="auto"/>
            </w:tcBorders>
            <w:shd w:val="clear" w:color="auto" w:fill="auto"/>
            <w:vAlign w:val="center"/>
            <w:hideMark/>
          </w:tcPr>
          <w:p w14:paraId="7F57DAED" w14:textId="77777777" w:rsidR="009C31D4" w:rsidRPr="00A41B49" w:rsidRDefault="009C31D4"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2877,4</w:t>
            </w:r>
          </w:p>
        </w:tc>
        <w:tc>
          <w:tcPr>
            <w:tcW w:w="396" w:type="pct"/>
            <w:gridSpan w:val="2"/>
            <w:tcBorders>
              <w:top w:val="single" w:sz="4" w:space="0" w:color="auto"/>
              <w:left w:val="nil"/>
              <w:bottom w:val="single" w:sz="8" w:space="0" w:color="auto"/>
              <w:right w:val="single" w:sz="8" w:space="0" w:color="auto"/>
            </w:tcBorders>
            <w:shd w:val="clear" w:color="auto" w:fill="auto"/>
            <w:vAlign w:val="center"/>
            <w:hideMark/>
          </w:tcPr>
          <w:p w14:paraId="6876A510" w14:textId="77777777" w:rsidR="009C31D4" w:rsidRPr="00A41B49" w:rsidRDefault="009C31D4"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99,8</w:t>
            </w:r>
          </w:p>
        </w:tc>
        <w:tc>
          <w:tcPr>
            <w:tcW w:w="520" w:type="pct"/>
            <w:gridSpan w:val="2"/>
            <w:tcBorders>
              <w:top w:val="single" w:sz="4" w:space="0" w:color="auto"/>
              <w:left w:val="nil"/>
              <w:bottom w:val="single" w:sz="8" w:space="0" w:color="auto"/>
              <w:right w:val="single" w:sz="8" w:space="0" w:color="auto"/>
            </w:tcBorders>
            <w:shd w:val="clear" w:color="auto" w:fill="auto"/>
            <w:vAlign w:val="center"/>
            <w:hideMark/>
          </w:tcPr>
          <w:p w14:paraId="2AA75777" w14:textId="77777777" w:rsidR="009C31D4" w:rsidRPr="00A41B49" w:rsidRDefault="009C31D4"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3024,8</w:t>
            </w:r>
          </w:p>
        </w:tc>
        <w:tc>
          <w:tcPr>
            <w:tcW w:w="488" w:type="pct"/>
            <w:tcBorders>
              <w:top w:val="single" w:sz="4" w:space="0" w:color="auto"/>
              <w:left w:val="nil"/>
              <w:bottom w:val="single" w:sz="8" w:space="0" w:color="auto"/>
              <w:right w:val="single" w:sz="8" w:space="0" w:color="auto"/>
            </w:tcBorders>
            <w:shd w:val="clear" w:color="auto" w:fill="auto"/>
            <w:vAlign w:val="center"/>
            <w:hideMark/>
          </w:tcPr>
          <w:p w14:paraId="70D34559" w14:textId="77777777" w:rsidR="009C31D4" w:rsidRPr="00A41B49" w:rsidRDefault="009C31D4"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99,4</w:t>
            </w:r>
          </w:p>
        </w:tc>
        <w:tc>
          <w:tcPr>
            <w:tcW w:w="520" w:type="pct"/>
            <w:tcBorders>
              <w:top w:val="single" w:sz="4" w:space="0" w:color="auto"/>
              <w:left w:val="nil"/>
              <w:bottom w:val="single" w:sz="8" w:space="0" w:color="auto"/>
              <w:right w:val="single" w:sz="8" w:space="0" w:color="auto"/>
            </w:tcBorders>
            <w:shd w:val="clear" w:color="auto" w:fill="auto"/>
            <w:vAlign w:val="center"/>
            <w:hideMark/>
          </w:tcPr>
          <w:p w14:paraId="74184E5B" w14:textId="77777777" w:rsidR="009C31D4" w:rsidRPr="00A41B49" w:rsidRDefault="009C31D4"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2951,1</w:t>
            </w:r>
          </w:p>
        </w:tc>
        <w:tc>
          <w:tcPr>
            <w:tcW w:w="489" w:type="pct"/>
            <w:tcBorders>
              <w:top w:val="single" w:sz="4" w:space="0" w:color="auto"/>
              <w:left w:val="nil"/>
              <w:bottom w:val="single" w:sz="8" w:space="0" w:color="auto"/>
              <w:right w:val="single" w:sz="8" w:space="0" w:color="auto"/>
            </w:tcBorders>
            <w:shd w:val="clear" w:color="auto" w:fill="auto"/>
            <w:vAlign w:val="center"/>
            <w:hideMark/>
          </w:tcPr>
          <w:p w14:paraId="6382EFF8" w14:textId="77777777" w:rsidR="009C31D4" w:rsidRPr="00A41B49" w:rsidRDefault="009C31D4"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99,6</w:t>
            </w:r>
          </w:p>
        </w:tc>
        <w:tc>
          <w:tcPr>
            <w:tcW w:w="489" w:type="pct"/>
            <w:tcBorders>
              <w:top w:val="single" w:sz="4" w:space="0" w:color="auto"/>
              <w:left w:val="nil"/>
              <w:bottom w:val="single" w:sz="8" w:space="0" w:color="auto"/>
              <w:right w:val="single" w:sz="8" w:space="0" w:color="auto"/>
            </w:tcBorders>
            <w:shd w:val="clear" w:color="auto" w:fill="auto"/>
            <w:vAlign w:val="center"/>
            <w:hideMark/>
          </w:tcPr>
          <w:p w14:paraId="313CE120" w14:textId="77777777" w:rsidR="009C31D4" w:rsidRPr="00A41B49" w:rsidRDefault="009C31D4"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147,4</w:t>
            </w:r>
          </w:p>
        </w:tc>
        <w:tc>
          <w:tcPr>
            <w:tcW w:w="486" w:type="pct"/>
            <w:tcBorders>
              <w:top w:val="single" w:sz="4" w:space="0" w:color="auto"/>
              <w:left w:val="nil"/>
              <w:bottom w:val="single" w:sz="8" w:space="0" w:color="auto"/>
              <w:right w:val="single" w:sz="8" w:space="0" w:color="auto"/>
            </w:tcBorders>
            <w:shd w:val="clear" w:color="auto" w:fill="auto"/>
            <w:vAlign w:val="center"/>
            <w:hideMark/>
          </w:tcPr>
          <w:p w14:paraId="07954EE9" w14:textId="77777777" w:rsidR="009C31D4" w:rsidRPr="00A41B49" w:rsidRDefault="009C31D4" w:rsidP="00D75056">
            <w:pPr>
              <w:spacing w:after="0" w:line="240" w:lineRule="auto"/>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-0,4</w:t>
            </w:r>
          </w:p>
        </w:tc>
      </w:tr>
    </w:tbl>
    <w:p w14:paraId="6FCFC1D7" w14:textId="77777777" w:rsidR="006A6E83" w:rsidRPr="00A41B49" w:rsidRDefault="006A6E83" w:rsidP="006A6E83">
      <w:pPr>
        <w:spacing w:after="0" w:line="240" w:lineRule="auto"/>
        <w:rPr>
          <w:rFonts w:ascii="Times New Roman" w:hAnsi="Times New Roman" w:cs="Times New Roman"/>
          <w:i/>
          <w:sz w:val="24"/>
          <w:szCs w:val="24"/>
          <w:lang w:val="uk-UA"/>
        </w:rPr>
      </w:pPr>
      <w:r w:rsidRPr="00A41B49">
        <w:rPr>
          <w:rFonts w:ascii="Times New Roman" w:hAnsi="Times New Roman" w:cs="Times New Roman"/>
          <w:i/>
          <w:sz w:val="24"/>
          <w:szCs w:val="24"/>
          <w:lang w:val="uk-UA"/>
        </w:rPr>
        <w:t>Джерело: складено та розраховано автором на основі даних джерела [18]</w:t>
      </w:r>
    </w:p>
    <w:p w14:paraId="104C5B01" w14:textId="77777777" w:rsidR="006A6E83" w:rsidRPr="00A41B49" w:rsidRDefault="006A6E83" w:rsidP="006A6E83">
      <w:pPr>
        <w:spacing w:after="0" w:line="240" w:lineRule="auto"/>
        <w:rPr>
          <w:rFonts w:ascii="Times New Roman" w:hAnsi="Times New Roman" w:cs="Times New Roman"/>
          <w:sz w:val="28"/>
          <w:szCs w:val="28"/>
          <w:lang w:val="uk-UA"/>
        </w:rPr>
      </w:pPr>
    </w:p>
    <w:p w14:paraId="5C4BFF9E" w14:textId="77777777" w:rsidR="00584E60" w:rsidRPr="00A41B49" w:rsidRDefault="00A71A93" w:rsidP="009C31D4">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У 2020-2022 рр., як свідчать дані таблиці </w:t>
      </w:r>
      <w:r w:rsidR="00CE06C3" w:rsidRPr="00A41B49">
        <w:rPr>
          <w:rFonts w:ascii="Times New Roman" w:hAnsi="Times New Roman" w:cs="Times New Roman"/>
          <w:sz w:val="28"/>
          <w:szCs w:val="28"/>
          <w:lang w:val="uk-UA"/>
        </w:rPr>
        <w:t>3.</w:t>
      </w:r>
      <w:r w:rsidR="009F20D7" w:rsidRPr="00A41B49">
        <w:rPr>
          <w:rFonts w:ascii="Times New Roman" w:hAnsi="Times New Roman" w:cs="Times New Roman"/>
          <w:sz w:val="28"/>
          <w:szCs w:val="28"/>
          <w:lang w:val="uk-UA"/>
        </w:rPr>
        <w:t>4</w:t>
      </w:r>
      <w:r w:rsidRPr="00A41B49">
        <w:rPr>
          <w:rFonts w:ascii="Times New Roman" w:hAnsi="Times New Roman" w:cs="Times New Roman"/>
          <w:sz w:val="28"/>
          <w:szCs w:val="28"/>
          <w:lang w:val="uk-UA"/>
        </w:rPr>
        <w:t>, частка ПІІ в акціонерний капітал</w:t>
      </w:r>
      <w:r w:rsidR="00584E60" w:rsidRPr="00A41B49">
        <w:rPr>
          <w:rFonts w:ascii="Times New Roman" w:hAnsi="Times New Roman" w:cs="Times New Roman"/>
          <w:sz w:val="28"/>
          <w:szCs w:val="28"/>
          <w:lang w:val="uk-UA"/>
        </w:rPr>
        <w:t>:</w:t>
      </w:r>
    </w:p>
    <w:p w14:paraId="6A9A2A76" w14:textId="77777777" w:rsidR="00584E60" w:rsidRPr="00A41B49" w:rsidRDefault="00A71A93" w:rsidP="009C31D4">
      <w:pPr>
        <w:spacing w:after="0" w:line="240" w:lineRule="auto"/>
        <w:ind w:firstLine="709"/>
        <w:jc w:val="both"/>
        <w:rPr>
          <w:rFonts w:ascii="Times New Roman" w:eastAsia="Times New Roman" w:hAnsi="Times New Roman" w:cs="Times New Roman"/>
          <w:sz w:val="28"/>
          <w:szCs w:val="28"/>
          <w:lang w:val="uk-UA" w:eastAsia="ru-RU"/>
        </w:rPr>
      </w:pPr>
      <w:r w:rsidRPr="00A41B49">
        <w:rPr>
          <w:rFonts w:ascii="Times New Roman" w:hAnsi="Times New Roman" w:cs="Times New Roman"/>
          <w:sz w:val="28"/>
          <w:szCs w:val="28"/>
          <w:lang w:val="uk-UA"/>
        </w:rPr>
        <w:lastRenderedPageBreak/>
        <w:t>зменшилася</w:t>
      </w:r>
      <w:r w:rsidR="0054486B" w:rsidRPr="00A41B49">
        <w:rPr>
          <w:rFonts w:ascii="Times New Roman" w:hAnsi="Times New Roman" w:cs="Times New Roman"/>
          <w:sz w:val="28"/>
          <w:szCs w:val="28"/>
          <w:lang w:val="uk-UA"/>
        </w:rPr>
        <w:t xml:space="preserve"> в таких областях України</w:t>
      </w:r>
      <w:r w:rsidRPr="00A41B49">
        <w:rPr>
          <w:rFonts w:ascii="Times New Roman" w:hAnsi="Times New Roman" w:cs="Times New Roman"/>
          <w:sz w:val="28"/>
          <w:szCs w:val="28"/>
          <w:lang w:val="uk-UA"/>
        </w:rPr>
        <w:t xml:space="preserve">: </w:t>
      </w:r>
      <w:r w:rsidR="0054486B" w:rsidRPr="00A41B49">
        <w:rPr>
          <w:rFonts w:ascii="Times New Roman" w:hAnsi="Times New Roman" w:cs="Times New Roman"/>
          <w:sz w:val="28"/>
          <w:szCs w:val="28"/>
          <w:lang w:val="uk-UA"/>
        </w:rPr>
        <w:t>Волинська, Житомирська</w:t>
      </w:r>
      <w:r w:rsidR="00514C4D" w:rsidRPr="00A41B49">
        <w:rPr>
          <w:rFonts w:ascii="Times New Roman" w:hAnsi="Times New Roman" w:cs="Times New Roman"/>
          <w:sz w:val="28"/>
          <w:szCs w:val="28"/>
          <w:lang w:val="uk-UA"/>
        </w:rPr>
        <w:t>, Запорізька, Івано-Франківська, Кіровоградська, Львівська</w:t>
      </w:r>
      <w:r w:rsidR="00584E60" w:rsidRPr="00A41B49">
        <w:rPr>
          <w:rFonts w:ascii="Times New Roman" w:hAnsi="Times New Roman" w:cs="Times New Roman"/>
          <w:sz w:val="28"/>
          <w:szCs w:val="28"/>
          <w:lang w:val="uk-UA"/>
        </w:rPr>
        <w:t xml:space="preserve">, </w:t>
      </w:r>
      <w:r w:rsidR="00584E60" w:rsidRPr="00A41B49">
        <w:rPr>
          <w:rFonts w:ascii="Times New Roman" w:eastAsia="Times New Roman" w:hAnsi="Times New Roman" w:cs="Times New Roman"/>
          <w:sz w:val="28"/>
          <w:szCs w:val="28"/>
          <w:lang w:val="uk-UA" w:eastAsia="ru-RU"/>
        </w:rPr>
        <w:t>Миколаївська, Рівненська, Харківська, Черкаська, Чернівецька, м. Київ</w:t>
      </w:r>
      <w:r w:rsidR="003B5858" w:rsidRPr="00A41B49">
        <w:rPr>
          <w:rFonts w:ascii="Times New Roman" w:eastAsia="Times New Roman" w:hAnsi="Times New Roman" w:cs="Times New Roman"/>
          <w:sz w:val="28"/>
          <w:szCs w:val="28"/>
          <w:lang w:val="uk-UA" w:eastAsia="ru-RU"/>
        </w:rPr>
        <w:t>. Найбільше зменшення мало місце в Івано-Франківській області (-48,8</w:t>
      </w:r>
      <w:r w:rsidR="0010325F" w:rsidRPr="00A41B49">
        <w:rPr>
          <w:rFonts w:ascii="Times New Roman" w:eastAsia="Times New Roman" w:hAnsi="Times New Roman" w:cs="Times New Roman"/>
          <w:sz w:val="28"/>
          <w:szCs w:val="28"/>
          <w:lang w:val="uk-UA" w:eastAsia="ru-RU"/>
        </w:rPr>
        <w:t>%</w:t>
      </w:r>
      <w:r w:rsidR="003B5858" w:rsidRPr="00A41B49">
        <w:rPr>
          <w:rFonts w:ascii="Times New Roman" w:eastAsia="Times New Roman" w:hAnsi="Times New Roman" w:cs="Times New Roman"/>
          <w:sz w:val="28"/>
          <w:szCs w:val="28"/>
          <w:lang w:val="uk-UA" w:eastAsia="ru-RU"/>
        </w:rPr>
        <w:t>), Миколаївській області (-18,9</w:t>
      </w:r>
      <w:r w:rsidR="0010325F" w:rsidRPr="00A41B49">
        <w:rPr>
          <w:rFonts w:ascii="Times New Roman" w:eastAsia="Times New Roman" w:hAnsi="Times New Roman" w:cs="Times New Roman"/>
          <w:sz w:val="28"/>
          <w:szCs w:val="28"/>
          <w:lang w:val="uk-UA" w:eastAsia="ru-RU"/>
        </w:rPr>
        <w:t>%</w:t>
      </w:r>
      <w:r w:rsidR="003B5858" w:rsidRPr="00A41B49">
        <w:rPr>
          <w:rFonts w:ascii="Times New Roman" w:eastAsia="Times New Roman" w:hAnsi="Times New Roman" w:cs="Times New Roman"/>
          <w:sz w:val="28"/>
          <w:szCs w:val="28"/>
          <w:lang w:val="uk-UA" w:eastAsia="ru-RU"/>
        </w:rPr>
        <w:t>), Харківській області (-16,2</w:t>
      </w:r>
      <w:r w:rsidR="0010325F" w:rsidRPr="00A41B49">
        <w:rPr>
          <w:rFonts w:ascii="Times New Roman" w:eastAsia="Times New Roman" w:hAnsi="Times New Roman" w:cs="Times New Roman"/>
          <w:sz w:val="28"/>
          <w:szCs w:val="28"/>
          <w:lang w:val="uk-UA" w:eastAsia="ru-RU"/>
        </w:rPr>
        <w:t>%</w:t>
      </w:r>
      <w:r w:rsidR="003B5858" w:rsidRPr="00A41B49">
        <w:rPr>
          <w:rFonts w:ascii="Times New Roman" w:eastAsia="Times New Roman" w:hAnsi="Times New Roman" w:cs="Times New Roman"/>
          <w:sz w:val="28"/>
          <w:szCs w:val="28"/>
          <w:lang w:val="uk-UA" w:eastAsia="ru-RU"/>
        </w:rPr>
        <w:t>)</w:t>
      </w:r>
      <w:r w:rsidR="0010325F" w:rsidRPr="00A41B49">
        <w:rPr>
          <w:rFonts w:ascii="Times New Roman" w:eastAsia="Times New Roman" w:hAnsi="Times New Roman" w:cs="Times New Roman"/>
          <w:sz w:val="28"/>
          <w:szCs w:val="28"/>
          <w:lang w:val="uk-UA" w:eastAsia="ru-RU"/>
        </w:rPr>
        <w:t xml:space="preserve">; найменше – в </w:t>
      </w:r>
      <w:r w:rsidR="00E40B59" w:rsidRPr="00A41B49">
        <w:rPr>
          <w:rFonts w:ascii="Times New Roman" w:eastAsia="Times New Roman" w:hAnsi="Times New Roman" w:cs="Times New Roman"/>
          <w:sz w:val="28"/>
          <w:szCs w:val="28"/>
          <w:lang w:val="uk-UA" w:eastAsia="ru-RU"/>
        </w:rPr>
        <w:t xml:space="preserve">Рівненській області (-0,8%), </w:t>
      </w:r>
      <w:r w:rsidR="0010325F" w:rsidRPr="00A41B49">
        <w:rPr>
          <w:rFonts w:ascii="Times New Roman" w:eastAsia="Times New Roman" w:hAnsi="Times New Roman" w:cs="Times New Roman"/>
          <w:sz w:val="28"/>
          <w:szCs w:val="28"/>
          <w:lang w:val="uk-UA" w:eastAsia="ru-RU"/>
        </w:rPr>
        <w:t>Львівській (-1,2%), Тернопільська (-1,6%)</w:t>
      </w:r>
      <w:r w:rsidR="00584E60" w:rsidRPr="00A41B49">
        <w:rPr>
          <w:rFonts w:ascii="Times New Roman" w:eastAsia="Times New Roman" w:hAnsi="Times New Roman" w:cs="Times New Roman"/>
          <w:sz w:val="28"/>
          <w:szCs w:val="28"/>
          <w:lang w:val="uk-UA" w:eastAsia="ru-RU"/>
        </w:rPr>
        <w:t>;</w:t>
      </w:r>
    </w:p>
    <w:p w14:paraId="375BD772" w14:textId="77777777" w:rsidR="00A71A93" w:rsidRPr="00A41B49" w:rsidRDefault="00584E60" w:rsidP="009C31D4">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з</w:t>
      </w:r>
      <w:r w:rsidR="00A71A93" w:rsidRPr="00A41B49">
        <w:rPr>
          <w:rFonts w:ascii="Times New Roman" w:hAnsi="Times New Roman" w:cs="Times New Roman"/>
          <w:sz w:val="28"/>
          <w:szCs w:val="28"/>
          <w:lang w:val="uk-UA"/>
        </w:rPr>
        <w:t xml:space="preserve">більшилася: </w:t>
      </w:r>
      <w:r w:rsidRPr="00A41B49">
        <w:rPr>
          <w:rFonts w:ascii="Times New Roman" w:hAnsi="Times New Roman" w:cs="Times New Roman"/>
          <w:sz w:val="28"/>
          <w:szCs w:val="28"/>
          <w:lang w:val="uk-UA"/>
        </w:rPr>
        <w:t>Вінницька, Дніпропетровська, Закарпатська, Київська, Одеська</w:t>
      </w:r>
      <w:r w:rsidR="00B8267B"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Полтавська, Сумська</w:t>
      </w:r>
      <w:r w:rsidR="003B5858" w:rsidRPr="00A41B49">
        <w:rPr>
          <w:rFonts w:ascii="Times New Roman" w:hAnsi="Times New Roman" w:cs="Times New Roman"/>
          <w:sz w:val="28"/>
          <w:szCs w:val="28"/>
          <w:lang w:val="uk-UA"/>
        </w:rPr>
        <w:t xml:space="preserve">, </w:t>
      </w:r>
      <w:r w:rsidR="003B5858" w:rsidRPr="00A41B49">
        <w:rPr>
          <w:rFonts w:ascii="Times New Roman" w:eastAsia="Times New Roman" w:hAnsi="Times New Roman" w:cs="Times New Roman"/>
          <w:sz w:val="28"/>
          <w:szCs w:val="28"/>
          <w:lang w:val="uk-UA" w:eastAsia="ru-RU"/>
        </w:rPr>
        <w:t>Хмельницька, Чернігівська</w:t>
      </w:r>
      <w:r w:rsidR="0010325F" w:rsidRPr="00A41B49">
        <w:rPr>
          <w:rFonts w:ascii="Times New Roman" w:eastAsia="Times New Roman" w:hAnsi="Times New Roman" w:cs="Times New Roman"/>
          <w:sz w:val="28"/>
          <w:szCs w:val="28"/>
          <w:lang w:val="uk-UA" w:eastAsia="ru-RU"/>
        </w:rPr>
        <w:t xml:space="preserve">. Найбільше збільшення мало місце в </w:t>
      </w:r>
      <w:r w:rsidR="00E40B59" w:rsidRPr="00A41B49">
        <w:rPr>
          <w:rFonts w:ascii="Times New Roman" w:eastAsia="Times New Roman" w:hAnsi="Times New Roman" w:cs="Times New Roman"/>
          <w:sz w:val="28"/>
          <w:szCs w:val="28"/>
          <w:lang w:val="uk-UA" w:eastAsia="ru-RU"/>
        </w:rPr>
        <w:t>Хмельницькій області (+12,6%), найменше – в Дніпропетровській (+0,3%).</w:t>
      </w:r>
    </w:p>
    <w:p w14:paraId="5964FD70" w14:textId="77777777" w:rsidR="00232951" w:rsidRPr="00A41B49" w:rsidRDefault="006F0B01" w:rsidP="009C31D4">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До регіонів, у структурі ПІІ яких переважає борговий капітал належать: Житомирська</w:t>
      </w:r>
      <w:r w:rsidR="00D420DC" w:rsidRPr="00A41B49">
        <w:rPr>
          <w:rFonts w:ascii="Times New Roman" w:hAnsi="Times New Roman" w:cs="Times New Roman"/>
          <w:sz w:val="28"/>
          <w:szCs w:val="28"/>
          <w:lang w:val="uk-UA"/>
        </w:rPr>
        <w:t xml:space="preserve"> (в середньому 56,1% обсягу ПІІ області)</w:t>
      </w:r>
      <w:r w:rsidRPr="00A41B49">
        <w:rPr>
          <w:rFonts w:ascii="Times New Roman" w:hAnsi="Times New Roman" w:cs="Times New Roman"/>
          <w:sz w:val="28"/>
          <w:szCs w:val="28"/>
          <w:lang w:val="uk-UA"/>
        </w:rPr>
        <w:t>, Миколаївська</w:t>
      </w:r>
      <w:r w:rsidR="00D420DC" w:rsidRPr="00A41B49">
        <w:rPr>
          <w:rFonts w:ascii="Times New Roman" w:hAnsi="Times New Roman" w:cs="Times New Roman"/>
          <w:sz w:val="28"/>
          <w:szCs w:val="28"/>
          <w:lang w:val="uk-UA"/>
        </w:rPr>
        <w:t xml:space="preserve"> (в середньому 62,1% обсягу ПІІ області)</w:t>
      </w:r>
      <w:r w:rsidRPr="00A41B49">
        <w:rPr>
          <w:rFonts w:ascii="Times New Roman" w:hAnsi="Times New Roman" w:cs="Times New Roman"/>
          <w:sz w:val="28"/>
          <w:szCs w:val="28"/>
          <w:lang w:val="uk-UA"/>
        </w:rPr>
        <w:t xml:space="preserve">, </w:t>
      </w:r>
      <w:r w:rsidRPr="00A41B49">
        <w:rPr>
          <w:rFonts w:ascii="Times New Roman" w:hAnsi="Times New Roman" w:cs="Times New Roman"/>
          <w:iCs/>
          <w:sz w:val="28"/>
          <w:szCs w:val="28"/>
          <w:lang w:val="uk-UA"/>
        </w:rPr>
        <w:t>Хмельницька області</w:t>
      </w:r>
      <w:r w:rsidR="00D420DC" w:rsidRPr="00A41B49">
        <w:rPr>
          <w:rFonts w:ascii="Times New Roman" w:hAnsi="Times New Roman" w:cs="Times New Roman"/>
          <w:iCs/>
          <w:sz w:val="28"/>
          <w:szCs w:val="28"/>
          <w:lang w:val="uk-UA"/>
        </w:rPr>
        <w:t xml:space="preserve"> </w:t>
      </w:r>
      <w:r w:rsidR="00D420DC" w:rsidRPr="00A41B49">
        <w:rPr>
          <w:rFonts w:ascii="Times New Roman" w:hAnsi="Times New Roman" w:cs="Times New Roman"/>
          <w:sz w:val="28"/>
          <w:szCs w:val="28"/>
          <w:lang w:val="uk-UA"/>
        </w:rPr>
        <w:t>(в середньому 80,3% обсягу ПІІ області)</w:t>
      </w:r>
      <w:r w:rsidRPr="00A41B49">
        <w:rPr>
          <w:rFonts w:ascii="Times New Roman" w:hAnsi="Times New Roman" w:cs="Times New Roman"/>
          <w:iCs/>
          <w:sz w:val="28"/>
          <w:szCs w:val="28"/>
          <w:lang w:val="uk-UA"/>
        </w:rPr>
        <w:t>.</w:t>
      </w:r>
      <w:r w:rsidR="00D420DC" w:rsidRPr="00A41B49">
        <w:rPr>
          <w:rFonts w:ascii="Times New Roman" w:hAnsi="Times New Roman" w:cs="Times New Roman"/>
          <w:iCs/>
          <w:sz w:val="28"/>
          <w:szCs w:val="28"/>
          <w:lang w:val="uk-UA"/>
        </w:rPr>
        <w:t xml:space="preserve"> Найменше значення частки боргових </w:t>
      </w:r>
      <w:r w:rsidR="00BD42D2" w:rsidRPr="00A41B49">
        <w:rPr>
          <w:rFonts w:ascii="Times New Roman" w:hAnsi="Times New Roman" w:cs="Times New Roman"/>
          <w:iCs/>
          <w:sz w:val="28"/>
          <w:szCs w:val="28"/>
          <w:lang w:val="uk-UA"/>
        </w:rPr>
        <w:t>інструментів</w:t>
      </w:r>
      <w:r w:rsidR="00D420DC" w:rsidRPr="00A41B49">
        <w:rPr>
          <w:rFonts w:ascii="Times New Roman" w:hAnsi="Times New Roman" w:cs="Times New Roman"/>
          <w:iCs/>
          <w:sz w:val="28"/>
          <w:szCs w:val="28"/>
          <w:lang w:val="uk-UA"/>
        </w:rPr>
        <w:t xml:space="preserve"> у структурі ПІІ регіону притаманне </w:t>
      </w:r>
      <w:r w:rsidR="005F2E52" w:rsidRPr="00A41B49">
        <w:rPr>
          <w:rFonts w:ascii="Times New Roman" w:hAnsi="Times New Roman" w:cs="Times New Roman"/>
          <w:iCs/>
          <w:sz w:val="28"/>
          <w:szCs w:val="28"/>
          <w:lang w:val="uk-UA"/>
        </w:rPr>
        <w:t xml:space="preserve">для </w:t>
      </w:r>
      <w:r w:rsidR="001D18DD" w:rsidRPr="00A41B49">
        <w:rPr>
          <w:rFonts w:ascii="Times New Roman" w:hAnsi="Times New Roman" w:cs="Times New Roman"/>
          <w:iCs/>
          <w:sz w:val="28"/>
          <w:szCs w:val="28"/>
          <w:lang w:val="uk-UA"/>
        </w:rPr>
        <w:t xml:space="preserve">Кіровоградської області </w:t>
      </w:r>
      <w:r w:rsidR="005F2E52" w:rsidRPr="00A41B49">
        <w:rPr>
          <w:rFonts w:ascii="Times New Roman" w:hAnsi="Times New Roman" w:cs="Times New Roman"/>
          <w:iCs/>
          <w:sz w:val="28"/>
          <w:szCs w:val="28"/>
          <w:lang w:val="uk-UA"/>
        </w:rPr>
        <w:t>(</w:t>
      </w:r>
      <w:r w:rsidR="005F2E52" w:rsidRPr="00A41B49">
        <w:rPr>
          <w:rFonts w:ascii="Times New Roman" w:hAnsi="Times New Roman" w:cs="Times New Roman"/>
          <w:sz w:val="28"/>
          <w:szCs w:val="28"/>
          <w:lang w:val="uk-UA"/>
        </w:rPr>
        <w:t xml:space="preserve">в середньому </w:t>
      </w:r>
      <w:r w:rsidR="001D18DD" w:rsidRPr="00A41B49">
        <w:rPr>
          <w:rFonts w:ascii="Times New Roman" w:hAnsi="Times New Roman" w:cs="Times New Roman"/>
          <w:sz w:val="28"/>
          <w:szCs w:val="28"/>
          <w:lang w:val="uk-UA"/>
        </w:rPr>
        <w:t>12,5</w:t>
      </w:r>
      <w:r w:rsidR="005F2E52" w:rsidRPr="00A41B49">
        <w:rPr>
          <w:rFonts w:ascii="Times New Roman" w:hAnsi="Times New Roman" w:cs="Times New Roman"/>
          <w:sz w:val="28"/>
          <w:szCs w:val="28"/>
          <w:lang w:val="uk-UA"/>
        </w:rPr>
        <w:t>% обсягу ПІІ області</w:t>
      </w:r>
      <w:r w:rsidR="005F2E52" w:rsidRPr="00A41B49">
        <w:rPr>
          <w:rFonts w:ascii="Times New Roman" w:hAnsi="Times New Roman" w:cs="Times New Roman"/>
          <w:iCs/>
          <w:sz w:val="28"/>
          <w:szCs w:val="28"/>
          <w:lang w:val="uk-UA"/>
        </w:rPr>
        <w:t>)</w:t>
      </w:r>
      <w:r w:rsidR="001D18DD" w:rsidRPr="00A41B49">
        <w:rPr>
          <w:rFonts w:ascii="Times New Roman" w:hAnsi="Times New Roman" w:cs="Times New Roman"/>
          <w:iCs/>
          <w:sz w:val="28"/>
          <w:szCs w:val="28"/>
          <w:lang w:val="uk-UA"/>
        </w:rPr>
        <w:t xml:space="preserve"> (табл</w:t>
      </w:r>
      <w:r w:rsidR="009F20D7" w:rsidRPr="00A41B49">
        <w:rPr>
          <w:rFonts w:ascii="Times New Roman" w:hAnsi="Times New Roman" w:cs="Times New Roman"/>
          <w:iCs/>
          <w:sz w:val="28"/>
          <w:szCs w:val="28"/>
          <w:lang w:val="uk-UA"/>
        </w:rPr>
        <w:t xml:space="preserve"> </w:t>
      </w:r>
      <w:r w:rsidR="00CE06C3" w:rsidRPr="00A41B49">
        <w:rPr>
          <w:rFonts w:ascii="Times New Roman" w:hAnsi="Times New Roman" w:cs="Times New Roman"/>
          <w:iCs/>
          <w:sz w:val="28"/>
          <w:szCs w:val="28"/>
          <w:lang w:val="uk-UA"/>
        </w:rPr>
        <w:t>3.</w:t>
      </w:r>
      <w:r w:rsidR="009F20D7" w:rsidRPr="00A41B49">
        <w:rPr>
          <w:rFonts w:ascii="Times New Roman" w:hAnsi="Times New Roman" w:cs="Times New Roman"/>
          <w:iCs/>
          <w:sz w:val="28"/>
          <w:szCs w:val="28"/>
          <w:lang w:val="uk-UA"/>
        </w:rPr>
        <w:t>5</w:t>
      </w:r>
      <w:r w:rsidR="001D18DD" w:rsidRPr="00A41B49">
        <w:rPr>
          <w:rFonts w:ascii="Times New Roman" w:hAnsi="Times New Roman" w:cs="Times New Roman"/>
          <w:iCs/>
          <w:sz w:val="28"/>
          <w:szCs w:val="28"/>
          <w:lang w:val="uk-UA"/>
        </w:rPr>
        <w:t>).</w:t>
      </w:r>
    </w:p>
    <w:p w14:paraId="125BA767" w14:textId="77777777" w:rsidR="0053024F" w:rsidRPr="00A41B49" w:rsidRDefault="001B26C8" w:rsidP="009C31D4">
      <w:pPr>
        <w:spacing w:after="0" w:line="240" w:lineRule="auto"/>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 </w:t>
      </w:r>
    </w:p>
    <w:p w14:paraId="6131DB9B" w14:textId="77777777" w:rsidR="00434210" w:rsidRPr="00A41B49" w:rsidRDefault="00434210" w:rsidP="009C31D4">
      <w:pPr>
        <w:spacing w:after="0" w:line="240" w:lineRule="auto"/>
        <w:jc w:val="center"/>
        <w:rPr>
          <w:rFonts w:ascii="Times New Roman" w:eastAsia="Times New Roman" w:hAnsi="Times New Roman" w:cs="Times New Roman"/>
          <w:bCs/>
          <w:sz w:val="28"/>
          <w:szCs w:val="28"/>
          <w:lang w:val="uk-UA" w:eastAsia="ru-RU"/>
        </w:rPr>
      </w:pPr>
      <w:r w:rsidRPr="00A41B49">
        <w:rPr>
          <w:rFonts w:ascii="Times New Roman" w:hAnsi="Times New Roman" w:cs="Times New Roman"/>
          <w:sz w:val="28"/>
          <w:szCs w:val="28"/>
          <w:lang w:val="uk-UA"/>
        </w:rPr>
        <w:t>Таблиця</w:t>
      </w:r>
      <w:r w:rsidR="009F20D7" w:rsidRPr="00A41B49">
        <w:rPr>
          <w:rFonts w:ascii="Times New Roman" w:hAnsi="Times New Roman" w:cs="Times New Roman"/>
          <w:sz w:val="28"/>
          <w:szCs w:val="28"/>
          <w:lang w:val="uk-UA"/>
        </w:rPr>
        <w:t xml:space="preserve"> </w:t>
      </w:r>
      <w:r w:rsidR="00CE06C3" w:rsidRPr="00A41B49">
        <w:rPr>
          <w:rFonts w:ascii="Times New Roman" w:hAnsi="Times New Roman" w:cs="Times New Roman"/>
          <w:sz w:val="28"/>
          <w:szCs w:val="28"/>
          <w:lang w:val="uk-UA"/>
        </w:rPr>
        <w:t>3.</w:t>
      </w:r>
      <w:r w:rsidR="009F20D7" w:rsidRPr="00A41B49">
        <w:rPr>
          <w:rFonts w:ascii="Times New Roman" w:hAnsi="Times New Roman" w:cs="Times New Roman"/>
          <w:sz w:val="28"/>
          <w:szCs w:val="28"/>
          <w:lang w:val="uk-UA"/>
        </w:rPr>
        <w:t>5</w:t>
      </w:r>
      <w:r w:rsidRPr="00A41B49">
        <w:rPr>
          <w:rFonts w:ascii="Times New Roman" w:hAnsi="Times New Roman" w:cs="Times New Roman"/>
          <w:sz w:val="28"/>
          <w:szCs w:val="28"/>
          <w:lang w:val="uk-UA"/>
        </w:rPr>
        <w:t xml:space="preserve"> – ПІІ в економіку України (</w:t>
      </w:r>
      <w:r w:rsidR="009C31D4" w:rsidRPr="00A41B49">
        <w:rPr>
          <w:rFonts w:ascii="Times New Roman" w:hAnsi="Times New Roman" w:cs="Times New Roman"/>
          <w:sz w:val="28"/>
          <w:szCs w:val="28"/>
          <w:lang w:val="uk-UA"/>
        </w:rPr>
        <w:t>б</w:t>
      </w:r>
      <w:r w:rsidRPr="00A41B49">
        <w:rPr>
          <w:rFonts w:ascii="Times New Roman" w:eastAsia="Times New Roman" w:hAnsi="Times New Roman" w:cs="Times New Roman"/>
          <w:bCs/>
          <w:sz w:val="28"/>
          <w:szCs w:val="28"/>
          <w:lang w:val="uk-UA" w:eastAsia="ru-RU"/>
        </w:rPr>
        <w:t>оргові інструменти</w:t>
      </w:r>
      <w:r w:rsidRPr="00A41B49">
        <w:rPr>
          <w:rFonts w:ascii="Times New Roman" w:hAnsi="Times New Roman" w:cs="Times New Roman"/>
          <w:sz w:val="28"/>
          <w:szCs w:val="28"/>
          <w:lang w:val="uk-UA"/>
        </w:rPr>
        <w:t>)</w:t>
      </w:r>
    </w:p>
    <w:tbl>
      <w:tblPr>
        <w:tblStyle w:val="a3"/>
        <w:tblW w:w="0" w:type="auto"/>
        <w:jc w:val="center"/>
        <w:tblLook w:val="04A0" w:firstRow="1" w:lastRow="0" w:firstColumn="1" w:lastColumn="0" w:noHBand="0" w:noVBand="1"/>
      </w:tblPr>
      <w:tblGrid>
        <w:gridCol w:w="2076"/>
        <w:gridCol w:w="876"/>
        <w:gridCol w:w="636"/>
        <w:gridCol w:w="996"/>
        <w:gridCol w:w="960"/>
        <w:gridCol w:w="1116"/>
        <w:gridCol w:w="960"/>
        <w:gridCol w:w="991"/>
        <w:gridCol w:w="960"/>
      </w:tblGrid>
      <w:tr w:rsidR="00A41B49" w:rsidRPr="00A41B49" w14:paraId="10CE4F9E" w14:textId="77777777" w:rsidTr="00D75056">
        <w:trPr>
          <w:jc w:val="center"/>
        </w:trPr>
        <w:tc>
          <w:tcPr>
            <w:tcW w:w="2076" w:type="dxa"/>
            <w:vMerge w:val="restart"/>
            <w:vAlign w:val="center"/>
          </w:tcPr>
          <w:p w14:paraId="50C2A432" w14:textId="77777777" w:rsidR="009C31D4" w:rsidRPr="00A41B49" w:rsidRDefault="00D75056"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Регіони</w:t>
            </w:r>
          </w:p>
        </w:tc>
        <w:tc>
          <w:tcPr>
            <w:tcW w:w="1512" w:type="dxa"/>
            <w:gridSpan w:val="2"/>
          </w:tcPr>
          <w:p w14:paraId="5621F8AA" w14:textId="77777777" w:rsidR="009C31D4" w:rsidRPr="00A41B49" w:rsidRDefault="009C31D4" w:rsidP="00BE06D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2020 р.</w:t>
            </w:r>
          </w:p>
        </w:tc>
        <w:tc>
          <w:tcPr>
            <w:tcW w:w="1956" w:type="dxa"/>
            <w:gridSpan w:val="2"/>
          </w:tcPr>
          <w:p w14:paraId="704D7E2D" w14:textId="77777777" w:rsidR="009C31D4" w:rsidRPr="00A41B49" w:rsidRDefault="009C31D4" w:rsidP="00BE06D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2022 р.</w:t>
            </w:r>
          </w:p>
        </w:tc>
        <w:tc>
          <w:tcPr>
            <w:tcW w:w="2076" w:type="dxa"/>
            <w:gridSpan w:val="2"/>
            <w:vAlign w:val="center"/>
          </w:tcPr>
          <w:p w14:paraId="67EE7E2E" w14:textId="77777777" w:rsidR="009C31D4" w:rsidRPr="00A41B49" w:rsidRDefault="009C31D4" w:rsidP="00BE06D6">
            <w:pPr>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Середнє</w:t>
            </w:r>
          </w:p>
        </w:tc>
        <w:tc>
          <w:tcPr>
            <w:tcW w:w="1951" w:type="dxa"/>
            <w:gridSpan w:val="2"/>
            <w:vAlign w:val="center"/>
          </w:tcPr>
          <w:p w14:paraId="436B920A" w14:textId="77777777" w:rsidR="009C31D4" w:rsidRPr="00A41B49" w:rsidRDefault="009C31D4" w:rsidP="00BE06D6">
            <w:pPr>
              <w:jc w:val="center"/>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Відхилення</w:t>
            </w:r>
          </w:p>
        </w:tc>
      </w:tr>
      <w:tr w:rsidR="00A41B49" w:rsidRPr="00A41B49" w14:paraId="2466CFD7" w14:textId="77777777" w:rsidTr="009C31D4">
        <w:trPr>
          <w:trHeight w:val="495"/>
          <w:jc w:val="center"/>
        </w:trPr>
        <w:tc>
          <w:tcPr>
            <w:tcW w:w="2076" w:type="dxa"/>
            <w:vMerge/>
          </w:tcPr>
          <w:p w14:paraId="55D12CE6" w14:textId="77777777" w:rsidR="009C31D4" w:rsidRPr="00A41B49" w:rsidRDefault="009C31D4" w:rsidP="00BE06D6">
            <w:pPr>
              <w:rPr>
                <w:rFonts w:ascii="Times New Roman" w:hAnsi="Times New Roman" w:cs="Times New Roman"/>
                <w:sz w:val="24"/>
                <w:szCs w:val="24"/>
                <w:lang w:val="uk-UA"/>
              </w:rPr>
            </w:pPr>
          </w:p>
        </w:tc>
        <w:tc>
          <w:tcPr>
            <w:tcW w:w="876" w:type="dxa"/>
          </w:tcPr>
          <w:p w14:paraId="54B45EDA"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млн дол</w:t>
            </w:r>
          </w:p>
        </w:tc>
        <w:tc>
          <w:tcPr>
            <w:tcW w:w="636" w:type="dxa"/>
          </w:tcPr>
          <w:p w14:paraId="26A7AF3B"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w:t>
            </w:r>
          </w:p>
        </w:tc>
        <w:tc>
          <w:tcPr>
            <w:tcW w:w="996" w:type="dxa"/>
          </w:tcPr>
          <w:p w14:paraId="09FA42B4"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млн дол</w:t>
            </w:r>
          </w:p>
        </w:tc>
        <w:tc>
          <w:tcPr>
            <w:tcW w:w="960" w:type="dxa"/>
          </w:tcPr>
          <w:p w14:paraId="60DDA5D1"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w:t>
            </w:r>
          </w:p>
        </w:tc>
        <w:tc>
          <w:tcPr>
            <w:tcW w:w="1116" w:type="dxa"/>
          </w:tcPr>
          <w:p w14:paraId="322F2622"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млн дол</w:t>
            </w:r>
          </w:p>
        </w:tc>
        <w:tc>
          <w:tcPr>
            <w:tcW w:w="960" w:type="dxa"/>
          </w:tcPr>
          <w:p w14:paraId="55D6ACB5"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w:t>
            </w:r>
          </w:p>
        </w:tc>
        <w:tc>
          <w:tcPr>
            <w:tcW w:w="991" w:type="dxa"/>
          </w:tcPr>
          <w:p w14:paraId="27AC8B19"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млн дол</w:t>
            </w:r>
          </w:p>
        </w:tc>
        <w:tc>
          <w:tcPr>
            <w:tcW w:w="960" w:type="dxa"/>
          </w:tcPr>
          <w:p w14:paraId="216114C7"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w:t>
            </w:r>
          </w:p>
        </w:tc>
      </w:tr>
      <w:tr w:rsidR="00A41B49" w:rsidRPr="00A41B49" w14:paraId="51CF9F06" w14:textId="77777777" w:rsidTr="009C31D4">
        <w:trPr>
          <w:trHeight w:val="223"/>
          <w:jc w:val="center"/>
        </w:trPr>
        <w:tc>
          <w:tcPr>
            <w:tcW w:w="2076" w:type="dxa"/>
            <w:vAlign w:val="center"/>
          </w:tcPr>
          <w:p w14:paraId="174031C4" w14:textId="77777777" w:rsidR="009C31D4" w:rsidRPr="00A41B49" w:rsidRDefault="009C31D4" w:rsidP="009C31D4">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1</w:t>
            </w:r>
          </w:p>
        </w:tc>
        <w:tc>
          <w:tcPr>
            <w:tcW w:w="876" w:type="dxa"/>
            <w:vAlign w:val="center"/>
          </w:tcPr>
          <w:p w14:paraId="14C1EAB2" w14:textId="77777777" w:rsidR="009C31D4" w:rsidRPr="00A41B49" w:rsidRDefault="009C31D4" w:rsidP="009C31D4">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2</w:t>
            </w:r>
          </w:p>
        </w:tc>
        <w:tc>
          <w:tcPr>
            <w:tcW w:w="636" w:type="dxa"/>
            <w:vAlign w:val="center"/>
          </w:tcPr>
          <w:p w14:paraId="6E5574DF" w14:textId="77777777" w:rsidR="009C31D4" w:rsidRPr="00A41B49" w:rsidRDefault="009C31D4" w:rsidP="009C31D4">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3</w:t>
            </w:r>
          </w:p>
        </w:tc>
        <w:tc>
          <w:tcPr>
            <w:tcW w:w="996" w:type="dxa"/>
            <w:vAlign w:val="center"/>
          </w:tcPr>
          <w:p w14:paraId="5F71706B" w14:textId="77777777" w:rsidR="009C31D4" w:rsidRPr="00A41B49" w:rsidRDefault="009C31D4" w:rsidP="009C31D4">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4</w:t>
            </w:r>
          </w:p>
        </w:tc>
        <w:tc>
          <w:tcPr>
            <w:tcW w:w="960" w:type="dxa"/>
            <w:vAlign w:val="center"/>
          </w:tcPr>
          <w:p w14:paraId="1DF297CF" w14:textId="77777777" w:rsidR="009C31D4" w:rsidRPr="00A41B49" w:rsidRDefault="009C31D4" w:rsidP="009C31D4">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5</w:t>
            </w:r>
          </w:p>
        </w:tc>
        <w:tc>
          <w:tcPr>
            <w:tcW w:w="1116" w:type="dxa"/>
            <w:vAlign w:val="center"/>
          </w:tcPr>
          <w:p w14:paraId="7EB698FE" w14:textId="77777777" w:rsidR="009C31D4" w:rsidRPr="00A41B49" w:rsidRDefault="009C31D4" w:rsidP="009C31D4">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6</w:t>
            </w:r>
          </w:p>
        </w:tc>
        <w:tc>
          <w:tcPr>
            <w:tcW w:w="960" w:type="dxa"/>
            <w:vAlign w:val="center"/>
          </w:tcPr>
          <w:p w14:paraId="3E183C56" w14:textId="77777777" w:rsidR="009C31D4" w:rsidRPr="00A41B49" w:rsidRDefault="009C31D4" w:rsidP="009C31D4">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7</w:t>
            </w:r>
          </w:p>
        </w:tc>
        <w:tc>
          <w:tcPr>
            <w:tcW w:w="991" w:type="dxa"/>
            <w:vAlign w:val="center"/>
          </w:tcPr>
          <w:p w14:paraId="42CF9705" w14:textId="77777777" w:rsidR="009C31D4" w:rsidRPr="00A41B49" w:rsidRDefault="009C31D4" w:rsidP="009C31D4">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8</w:t>
            </w:r>
          </w:p>
        </w:tc>
        <w:tc>
          <w:tcPr>
            <w:tcW w:w="960" w:type="dxa"/>
            <w:vAlign w:val="center"/>
          </w:tcPr>
          <w:p w14:paraId="30E1643F" w14:textId="77777777" w:rsidR="009C31D4" w:rsidRPr="00A41B49" w:rsidRDefault="009C31D4" w:rsidP="009C31D4">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9</w:t>
            </w:r>
          </w:p>
        </w:tc>
      </w:tr>
      <w:tr w:rsidR="00A41B49" w:rsidRPr="00A41B49" w14:paraId="4FB63705" w14:textId="77777777" w:rsidTr="009C31D4">
        <w:trPr>
          <w:jc w:val="center"/>
        </w:trPr>
        <w:tc>
          <w:tcPr>
            <w:tcW w:w="2076" w:type="dxa"/>
          </w:tcPr>
          <w:p w14:paraId="251496BA" w14:textId="77777777" w:rsidR="00BE06D6" w:rsidRPr="00A41B49" w:rsidRDefault="00BE06D6" w:rsidP="00BE06D6">
            <w:pPr>
              <w:rPr>
                <w:rFonts w:ascii="Times New Roman" w:hAnsi="Times New Roman" w:cs="Times New Roman"/>
                <w:sz w:val="24"/>
                <w:szCs w:val="24"/>
                <w:lang w:val="uk-UA"/>
              </w:rPr>
            </w:pPr>
            <w:r w:rsidRPr="00A41B49">
              <w:rPr>
                <w:rFonts w:ascii="Times New Roman" w:hAnsi="Times New Roman" w:cs="Times New Roman"/>
                <w:sz w:val="24"/>
                <w:szCs w:val="24"/>
                <w:lang w:val="uk-UA"/>
              </w:rPr>
              <w:t>Усього країна</w:t>
            </w:r>
          </w:p>
        </w:tc>
        <w:tc>
          <w:tcPr>
            <w:tcW w:w="876" w:type="dxa"/>
            <w:vAlign w:val="center"/>
          </w:tcPr>
          <w:p w14:paraId="21E7267A" w14:textId="77777777" w:rsidR="00BE06D6" w:rsidRPr="00A41B49" w:rsidRDefault="00BE06D6" w:rsidP="009C31D4">
            <w:pPr>
              <w:jc w:val="center"/>
              <w:rPr>
                <w:rFonts w:ascii="Times New Roman" w:hAnsi="Times New Roman" w:cs="Times New Roman"/>
                <w:bCs/>
                <w:sz w:val="24"/>
                <w:szCs w:val="24"/>
                <w:lang w:val="uk-UA"/>
              </w:rPr>
            </w:pPr>
            <w:r w:rsidRPr="00A41B49">
              <w:rPr>
                <w:rFonts w:ascii="Times New Roman" w:hAnsi="Times New Roman" w:cs="Times New Roman"/>
                <w:bCs/>
                <w:sz w:val="24"/>
                <w:szCs w:val="24"/>
                <w:lang w:val="uk-UA"/>
              </w:rPr>
              <w:t>14491</w:t>
            </w:r>
          </w:p>
        </w:tc>
        <w:tc>
          <w:tcPr>
            <w:tcW w:w="636" w:type="dxa"/>
            <w:vAlign w:val="center"/>
          </w:tcPr>
          <w:p w14:paraId="3BBBE60B"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27,8</w:t>
            </w:r>
          </w:p>
        </w:tc>
        <w:tc>
          <w:tcPr>
            <w:tcW w:w="996" w:type="dxa"/>
            <w:vAlign w:val="center"/>
          </w:tcPr>
          <w:p w14:paraId="32751807" w14:textId="77777777" w:rsidR="00BE06D6" w:rsidRPr="00A41B49" w:rsidRDefault="00BE06D6" w:rsidP="009C31D4">
            <w:pPr>
              <w:jc w:val="center"/>
              <w:rPr>
                <w:rFonts w:ascii="Times New Roman" w:hAnsi="Times New Roman" w:cs="Times New Roman"/>
                <w:bCs/>
                <w:sz w:val="24"/>
                <w:szCs w:val="24"/>
                <w:lang w:val="uk-UA"/>
              </w:rPr>
            </w:pPr>
            <w:r w:rsidRPr="00A41B49">
              <w:rPr>
                <w:rFonts w:ascii="Times New Roman" w:hAnsi="Times New Roman" w:cs="Times New Roman"/>
                <w:bCs/>
                <w:sz w:val="24"/>
                <w:szCs w:val="24"/>
                <w:lang w:val="uk-UA"/>
              </w:rPr>
              <w:t>16874,7</w:t>
            </w:r>
          </w:p>
        </w:tc>
        <w:tc>
          <w:tcPr>
            <w:tcW w:w="960" w:type="dxa"/>
            <w:vAlign w:val="center"/>
          </w:tcPr>
          <w:p w14:paraId="51278AD3"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33,1</w:t>
            </w:r>
          </w:p>
        </w:tc>
        <w:tc>
          <w:tcPr>
            <w:tcW w:w="1116" w:type="dxa"/>
            <w:vAlign w:val="bottom"/>
          </w:tcPr>
          <w:p w14:paraId="7505A906"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15682,85</w:t>
            </w:r>
          </w:p>
        </w:tc>
        <w:tc>
          <w:tcPr>
            <w:tcW w:w="960" w:type="dxa"/>
            <w:vAlign w:val="bottom"/>
          </w:tcPr>
          <w:p w14:paraId="75324C5A"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30,5</w:t>
            </w:r>
          </w:p>
        </w:tc>
        <w:tc>
          <w:tcPr>
            <w:tcW w:w="991" w:type="dxa"/>
            <w:vAlign w:val="bottom"/>
          </w:tcPr>
          <w:p w14:paraId="25A81E98"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2383,7</w:t>
            </w:r>
          </w:p>
        </w:tc>
        <w:tc>
          <w:tcPr>
            <w:tcW w:w="960" w:type="dxa"/>
            <w:vAlign w:val="bottom"/>
          </w:tcPr>
          <w:p w14:paraId="3DAA7779"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5,3</w:t>
            </w:r>
          </w:p>
        </w:tc>
      </w:tr>
      <w:tr w:rsidR="00A41B49" w:rsidRPr="00A41B49" w14:paraId="5DBE4AE5" w14:textId="77777777" w:rsidTr="009C31D4">
        <w:trPr>
          <w:jc w:val="center"/>
        </w:trPr>
        <w:tc>
          <w:tcPr>
            <w:tcW w:w="2076" w:type="dxa"/>
            <w:vAlign w:val="center"/>
          </w:tcPr>
          <w:p w14:paraId="1C69A165" w14:textId="77777777" w:rsidR="00BE06D6" w:rsidRPr="00A41B49" w:rsidRDefault="00BE06D6"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Вінницька</w:t>
            </w:r>
          </w:p>
        </w:tc>
        <w:tc>
          <w:tcPr>
            <w:tcW w:w="876" w:type="dxa"/>
            <w:vAlign w:val="center"/>
          </w:tcPr>
          <w:p w14:paraId="1B616CB8"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353,7</w:t>
            </w:r>
          </w:p>
        </w:tc>
        <w:tc>
          <w:tcPr>
            <w:tcW w:w="636" w:type="dxa"/>
            <w:vAlign w:val="center"/>
          </w:tcPr>
          <w:p w14:paraId="03949E32"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47,9</w:t>
            </w:r>
          </w:p>
        </w:tc>
        <w:tc>
          <w:tcPr>
            <w:tcW w:w="996" w:type="dxa"/>
            <w:vAlign w:val="center"/>
          </w:tcPr>
          <w:p w14:paraId="7785A559"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422,8</w:t>
            </w:r>
          </w:p>
        </w:tc>
        <w:tc>
          <w:tcPr>
            <w:tcW w:w="960" w:type="dxa"/>
            <w:vAlign w:val="center"/>
          </w:tcPr>
          <w:p w14:paraId="5D254895"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45,7</w:t>
            </w:r>
          </w:p>
        </w:tc>
        <w:tc>
          <w:tcPr>
            <w:tcW w:w="1116" w:type="dxa"/>
            <w:vAlign w:val="bottom"/>
          </w:tcPr>
          <w:p w14:paraId="7A5E62B4"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388,25</w:t>
            </w:r>
          </w:p>
        </w:tc>
        <w:tc>
          <w:tcPr>
            <w:tcW w:w="960" w:type="dxa"/>
            <w:vAlign w:val="bottom"/>
          </w:tcPr>
          <w:p w14:paraId="11FD86C9"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46,8</w:t>
            </w:r>
          </w:p>
        </w:tc>
        <w:tc>
          <w:tcPr>
            <w:tcW w:w="991" w:type="dxa"/>
            <w:vAlign w:val="bottom"/>
          </w:tcPr>
          <w:p w14:paraId="46287601"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69,1</w:t>
            </w:r>
          </w:p>
        </w:tc>
        <w:tc>
          <w:tcPr>
            <w:tcW w:w="960" w:type="dxa"/>
            <w:vAlign w:val="bottom"/>
          </w:tcPr>
          <w:p w14:paraId="1943EBEB"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-2,2</w:t>
            </w:r>
          </w:p>
        </w:tc>
      </w:tr>
      <w:tr w:rsidR="00A41B49" w:rsidRPr="00A41B49" w14:paraId="68FC41B5" w14:textId="77777777" w:rsidTr="009C31D4">
        <w:trPr>
          <w:jc w:val="center"/>
        </w:trPr>
        <w:tc>
          <w:tcPr>
            <w:tcW w:w="2076" w:type="dxa"/>
            <w:vAlign w:val="center"/>
          </w:tcPr>
          <w:p w14:paraId="684C19B1" w14:textId="77777777" w:rsidR="00BE06D6" w:rsidRPr="00A41B49" w:rsidRDefault="00BE06D6"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Волинська</w:t>
            </w:r>
          </w:p>
        </w:tc>
        <w:tc>
          <w:tcPr>
            <w:tcW w:w="876" w:type="dxa"/>
            <w:vAlign w:val="center"/>
          </w:tcPr>
          <w:p w14:paraId="4A8287B9"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83,3</w:t>
            </w:r>
          </w:p>
        </w:tc>
        <w:tc>
          <w:tcPr>
            <w:tcW w:w="636" w:type="dxa"/>
            <w:vAlign w:val="center"/>
          </w:tcPr>
          <w:p w14:paraId="0C9D97AE"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25,2</w:t>
            </w:r>
          </w:p>
        </w:tc>
        <w:tc>
          <w:tcPr>
            <w:tcW w:w="996" w:type="dxa"/>
            <w:vAlign w:val="center"/>
          </w:tcPr>
          <w:p w14:paraId="14D0AF07"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107,5</w:t>
            </w:r>
          </w:p>
        </w:tc>
        <w:tc>
          <w:tcPr>
            <w:tcW w:w="960" w:type="dxa"/>
            <w:vAlign w:val="center"/>
          </w:tcPr>
          <w:p w14:paraId="24D75797"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29,2</w:t>
            </w:r>
          </w:p>
        </w:tc>
        <w:tc>
          <w:tcPr>
            <w:tcW w:w="1116" w:type="dxa"/>
            <w:vAlign w:val="bottom"/>
          </w:tcPr>
          <w:p w14:paraId="74481099"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95,4</w:t>
            </w:r>
          </w:p>
        </w:tc>
        <w:tc>
          <w:tcPr>
            <w:tcW w:w="960" w:type="dxa"/>
            <w:vAlign w:val="bottom"/>
          </w:tcPr>
          <w:p w14:paraId="0BB1A822"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27,2</w:t>
            </w:r>
          </w:p>
        </w:tc>
        <w:tc>
          <w:tcPr>
            <w:tcW w:w="991" w:type="dxa"/>
            <w:vAlign w:val="bottom"/>
          </w:tcPr>
          <w:p w14:paraId="398BDF38"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24,2</w:t>
            </w:r>
          </w:p>
        </w:tc>
        <w:tc>
          <w:tcPr>
            <w:tcW w:w="960" w:type="dxa"/>
            <w:vAlign w:val="bottom"/>
          </w:tcPr>
          <w:p w14:paraId="45FF2A08"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4,1</w:t>
            </w:r>
          </w:p>
        </w:tc>
      </w:tr>
      <w:tr w:rsidR="00A41B49" w:rsidRPr="00A41B49" w14:paraId="1060651C" w14:textId="77777777" w:rsidTr="009C31D4">
        <w:trPr>
          <w:jc w:val="center"/>
        </w:trPr>
        <w:tc>
          <w:tcPr>
            <w:tcW w:w="2076" w:type="dxa"/>
            <w:vAlign w:val="center"/>
          </w:tcPr>
          <w:p w14:paraId="30719D90" w14:textId="77777777" w:rsidR="00BE06D6" w:rsidRPr="00A41B49" w:rsidRDefault="00BE06D6"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Дніпропетровська</w:t>
            </w:r>
          </w:p>
        </w:tc>
        <w:tc>
          <w:tcPr>
            <w:tcW w:w="876" w:type="dxa"/>
            <w:vAlign w:val="center"/>
          </w:tcPr>
          <w:p w14:paraId="11B66ADE"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1111</w:t>
            </w:r>
          </w:p>
        </w:tc>
        <w:tc>
          <w:tcPr>
            <w:tcW w:w="636" w:type="dxa"/>
            <w:vAlign w:val="center"/>
          </w:tcPr>
          <w:p w14:paraId="1E2E7A0D"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19,2</w:t>
            </w:r>
          </w:p>
        </w:tc>
        <w:tc>
          <w:tcPr>
            <w:tcW w:w="996" w:type="dxa"/>
            <w:vAlign w:val="center"/>
          </w:tcPr>
          <w:p w14:paraId="780D0F6C"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1450,8</w:t>
            </w:r>
          </w:p>
        </w:tc>
        <w:tc>
          <w:tcPr>
            <w:tcW w:w="960" w:type="dxa"/>
            <w:vAlign w:val="center"/>
          </w:tcPr>
          <w:p w14:paraId="2815A61C"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19,0</w:t>
            </w:r>
          </w:p>
        </w:tc>
        <w:tc>
          <w:tcPr>
            <w:tcW w:w="1116" w:type="dxa"/>
            <w:vAlign w:val="bottom"/>
          </w:tcPr>
          <w:p w14:paraId="61924E05"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1280,9</w:t>
            </w:r>
          </w:p>
        </w:tc>
        <w:tc>
          <w:tcPr>
            <w:tcW w:w="960" w:type="dxa"/>
            <w:vAlign w:val="bottom"/>
          </w:tcPr>
          <w:p w14:paraId="44C80B74"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19,1</w:t>
            </w:r>
          </w:p>
        </w:tc>
        <w:tc>
          <w:tcPr>
            <w:tcW w:w="991" w:type="dxa"/>
            <w:vAlign w:val="bottom"/>
          </w:tcPr>
          <w:p w14:paraId="496C41B9"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339,8</w:t>
            </w:r>
          </w:p>
        </w:tc>
        <w:tc>
          <w:tcPr>
            <w:tcW w:w="960" w:type="dxa"/>
            <w:vAlign w:val="bottom"/>
          </w:tcPr>
          <w:p w14:paraId="59223537"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-0,3</w:t>
            </w:r>
          </w:p>
        </w:tc>
      </w:tr>
      <w:tr w:rsidR="00A41B49" w:rsidRPr="00A41B49" w14:paraId="000C1421" w14:textId="77777777" w:rsidTr="009C31D4">
        <w:trPr>
          <w:jc w:val="center"/>
        </w:trPr>
        <w:tc>
          <w:tcPr>
            <w:tcW w:w="2076" w:type="dxa"/>
            <w:vAlign w:val="center"/>
          </w:tcPr>
          <w:p w14:paraId="5D13ACC0" w14:textId="77777777" w:rsidR="00BE06D6" w:rsidRPr="00A41B49" w:rsidRDefault="00BE06D6"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Донецька</w:t>
            </w:r>
          </w:p>
        </w:tc>
        <w:tc>
          <w:tcPr>
            <w:tcW w:w="876" w:type="dxa"/>
            <w:vAlign w:val="center"/>
          </w:tcPr>
          <w:p w14:paraId="56D729D3"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692,8</w:t>
            </w:r>
          </w:p>
        </w:tc>
        <w:tc>
          <w:tcPr>
            <w:tcW w:w="636" w:type="dxa"/>
            <w:vAlign w:val="center"/>
          </w:tcPr>
          <w:p w14:paraId="176C68F5"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28,4</w:t>
            </w:r>
          </w:p>
        </w:tc>
        <w:tc>
          <w:tcPr>
            <w:tcW w:w="996" w:type="dxa"/>
            <w:vAlign w:val="center"/>
          </w:tcPr>
          <w:p w14:paraId="350348A9" w14:textId="77777777" w:rsidR="00BE06D6" w:rsidRPr="00A41B49" w:rsidRDefault="00BE06D6" w:rsidP="009C31D4">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60" w:type="dxa"/>
            <w:vAlign w:val="center"/>
          </w:tcPr>
          <w:p w14:paraId="5A074413" w14:textId="77777777" w:rsidR="00BE06D6" w:rsidRPr="00A41B49" w:rsidRDefault="00BE06D6" w:rsidP="009C31D4">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1116" w:type="dxa"/>
            <w:vAlign w:val="center"/>
          </w:tcPr>
          <w:p w14:paraId="63CB6E15" w14:textId="77777777" w:rsidR="00BE06D6" w:rsidRPr="00A41B49" w:rsidRDefault="00BE06D6" w:rsidP="009C31D4">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60" w:type="dxa"/>
            <w:vAlign w:val="center"/>
          </w:tcPr>
          <w:p w14:paraId="0E4B0C06" w14:textId="77777777" w:rsidR="00BE06D6" w:rsidRPr="00A41B49" w:rsidRDefault="00BE06D6" w:rsidP="009C31D4">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91" w:type="dxa"/>
            <w:vAlign w:val="center"/>
          </w:tcPr>
          <w:p w14:paraId="70190756" w14:textId="77777777" w:rsidR="00BE06D6" w:rsidRPr="00A41B49" w:rsidRDefault="00BE06D6" w:rsidP="009C31D4">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60" w:type="dxa"/>
            <w:vAlign w:val="center"/>
          </w:tcPr>
          <w:p w14:paraId="0B3B6130" w14:textId="77777777" w:rsidR="00BE06D6" w:rsidRPr="00A41B49" w:rsidRDefault="00BE06D6" w:rsidP="009C31D4">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r>
      <w:tr w:rsidR="00A41B49" w:rsidRPr="00A41B49" w14:paraId="026677BD" w14:textId="77777777" w:rsidTr="009C31D4">
        <w:trPr>
          <w:jc w:val="center"/>
        </w:trPr>
        <w:tc>
          <w:tcPr>
            <w:tcW w:w="2076" w:type="dxa"/>
            <w:vAlign w:val="center"/>
          </w:tcPr>
          <w:p w14:paraId="6A6CF779" w14:textId="77777777" w:rsidR="00BE06D6" w:rsidRPr="00A41B49" w:rsidRDefault="00BE06D6"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Житомирська</w:t>
            </w:r>
          </w:p>
        </w:tc>
        <w:tc>
          <w:tcPr>
            <w:tcW w:w="876" w:type="dxa"/>
            <w:vAlign w:val="center"/>
          </w:tcPr>
          <w:p w14:paraId="715ED3B8"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372,1</w:t>
            </w:r>
          </w:p>
        </w:tc>
        <w:tc>
          <w:tcPr>
            <w:tcW w:w="636" w:type="dxa"/>
            <w:vAlign w:val="center"/>
          </w:tcPr>
          <w:p w14:paraId="5DED1D7F"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53,7</w:t>
            </w:r>
          </w:p>
        </w:tc>
        <w:tc>
          <w:tcPr>
            <w:tcW w:w="996" w:type="dxa"/>
            <w:vAlign w:val="center"/>
          </w:tcPr>
          <w:p w14:paraId="6C918174"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398,7</w:t>
            </w:r>
          </w:p>
        </w:tc>
        <w:tc>
          <w:tcPr>
            <w:tcW w:w="960" w:type="dxa"/>
            <w:vAlign w:val="center"/>
          </w:tcPr>
          <w:p w14:paraId="252023B2"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58,4</w:t>
            </w:r>
          </w:p>
        </w:tc>
        <w:tc>
          <w:tcPr>
            <w:tcW w:w="1116" w:type="dxa"/>
            <w:vAlign w:val="bottom"/>
          </w:tcPr>
          <w:p w14:paraId="5D063483"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385,4</w:t>
            </w:r>
          </w:p>
        </w:tc>
        <w:tc>
          <w:tcPr>
            <w:tcW w:w="960" w:type="dxa"/>
            <w:vAlign w:val="bottom"/>
          </w:tcPr>
          <w:p w14:paraId="52195F0E"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56,1</w:t>
            </w:r>
          </w:p>
        </w:tc>
        <w:tc>
          <w:tcPr>
            <w:tcW w:w="991" w:type="dxa"/>
            <w:vAlign w:val="bottom"/>
          </w:tcPr>
          <w:p w14:paraId="32607148"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26,6</w:t>
            </w:r>
          </w:p>
        </w:tc>
        <w:tc>
          <w:tcPr>
            <w:tcW w:w="960" w:type="dxa"/>
            <w:vAlign w:val="bottom"/>
          </w:tcPr>
          <w:p w14:paraId="38E69ECA"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4,7</w:t>
            </w:r>
          </w:p>
        </w:tc>
      </w:tr>
      <w:tr w:rsidR="00A41B49" w:rsidRPr="00A41B49" w14:paraId="75AED480" w14:textId="77777777" w:rsidTr="009C31D4">
        <w:trPr>
          <w:jc w:val="center"/>
        </w:trPr>
        <w:tc>
          <w:tcPr>
            <w:tcW w:w="2076" w:type="dxa"/>
            <w:vAlign w:val="center"/>
          </w:tcPr>
          <w:p w14:paraId="300C44A9" w14:textId="77777777" w:rsidR="00BE06D6" w:rsidRPr="00A41B49" w:rsidRDefault="00BE06D6"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Закарпатська</w:t>
            </w:r>
          </w:p>
        </w:tc>
        <w:tc>
          <w:tcPr>
            <w:tcW w:w="876" w:type="dxa"/>
            <w:vAlign w:val="center"/>
          </w:tcPr>
          <w:p w14:paraId="61B2C74F"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166</w:t>
            </w:r>
          </w:p>
        </w:tc>
        <w:tc>
          <w:tcPr>
            <w:tcW w:w="636" w:type="dxa"/>
            <w:vAlign w:val="center"/>
          </w:tcPr>
          <w:p w14:paraId="22951038"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40,7</w:t>
            </w:r>
          </w:p>
        </w:tc>
        <w:tc>
          <w:tcPr>
            <w:tcW w:w="996" w:type="dxa"/>
            <w:vAlign w:val="center"/>
          </w:tcPr>
          <w:p w14:paraId="4B9C0B1C"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184,8</w:t>
            </w:r>
          </w:p>
        </w:tc>
        <w:tc>
          <w:tcPr>
            <w:tcW w:w="960" w:type="dxa"/>
            <w:vAlign w:val="center"/>
          </w:tcPr>
          <w:p w14:paraId="3C63180D"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31,3</w:t>
            </w:r>
          </w:p>
        </w:tc>
        <w:tc>
          <w:tcPr>
            <w:tcW w:w="1116" w:type="dxa"/>
            <w:vAlign w:val="bottom"/>
          </w:tcPr>
          <w:p w14:paraId="409E6D42"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175,4</w:t>
            </w:r>
          </w:p>
        </w:tc>
        <w:tc>
          <w:tcPr>
            <w:tcW w:w="960" w:type="dxa"/>
            <w:vAlign w:val="bottom"/>
          </w:tcPr>
          <w:p w14:paraId="18D26235"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36,0</w:t>
            </w:r>
          </w:p>
        </w:tc>
        <w:tc>
          <w:tcPr>
            <w:tcW w:w="991" w:type="dxa"/>
            <w:vAlign w:val="bottom"/>
          </w:tcPr>
          <w:p w14:paraId="5A0E4DF0"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18,8</w:t>
            </w:r>
          </w:p>
        </w:tc>
        <w:tc>
          <w:tcPr>
            <w:tcW w:w="960" w:type="dxa"/>
            <w:vAlign w:val="bottom"/>
          </w:tcPr>
          <w:p w14:paraId="71D0E359"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-9,4</w:t>
            </w:r>
          </w:p>
        </w:tc>
      </w:tr>
      <w:tr w:rsidR="00A41B49" w:rsidRPr="00A41B49" w14:paraId="60172E99" w14:textId="77777777" w:rsidTr="009C31D4">
        <w:trPr>
          <w:jc w:val="center"/>
        </w:trPr>
        <w:tc>
          <w:tcPr>
            <w:tcW w:w="2076" w:type="dxa"/>
            <w:vAlign w:val="center"/>
          </w:tcPr>
          <w:p w14:paraId="4F1B266A" w14:textId="77777777" w:rsidR="00BE06D6" w:rsidRPr="00A41B49" w:rsidRDefault="00BE06D6"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Запорізька</w:t>
            </w:r>
          </w:p>
        </w:tc>
        <w:tc>
          <w:tcPr>
            <w:tcW w:w="876" w:type="dxa"/>
            <w:vAlign w:val="center"/>
          </w:tcPr>
          <w:p w14:paraId="5F9D8A58"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130,3</w:t>
            </w:r>
          </w:p>
        </w:tc>
        <w:tc>
          <w:tcPr>
            <w:tcW w:w="636" w:type="dxa"/>
            <w:vAlign w:val="center"/>
          </w:tcPr>
          <w:p w14:paraId="39D14A01"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8,4</w:t>
            </w:r>
          </w:p>
        </w:tc>
        <w:tc>
          <w:tcPr>
            <w:tcW w:w="996" w:type="dxa"/>
            <w:vAlign w:val="center"/>
          </w:tcPr>
          <w:p w14:paraId="2D10E1C1"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333,3</w:t>
            </w:r>
          </w:p>
        </w:tc>
        <w:tc>
          <w:tcPr>
            <w:tcW w:w="960" w:type="dxa"/>
            <w:vAlign w:val="center"/>
          </w:tcPr>
          <w:p w14:paraId="7BB17756"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19,7</w:t>
            </w:r>
          </w:p>
        </w:tc>
        <w:tc>
          <w:tcPr>
            <w:tcW w:w="1116" w:type="dxa"/>
            <w:vAlign w:val="bottom"/>
          </w:tcPr>
          <w:p w14:paraId="623C105B"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231,8</w:t>
            </w:r>
          </w:p>
        </w:tc>
        <w:tc>
          <w:tcPr>
            <w:tcW w:w="960" w:type="dxa"/>
            <w:vAlign w:val="bottom"/>
          </w:tcPr>
          <w:p w14:paraId="354C657A"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14,1</w:t>
            </w:r>
          </w:p>
        </w:tc>
        <w:tc>
          <w:tcPr>
            <w:tcW w:w="991" w:type="dxa"/>
            <w:vAlign w:val="bottom"/>
          </w:tcPr>
          <w:p w14:paraId="4EDDBACF"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203</w:t>
            </w:r>
          </w:p>
        </w:tc>
        <w:tc>
          <w:tcPr>
            <w:tcW w:w="960" w:type="dxa"/>
            <w:vAlign w:val="bottom"/>
          </w:tcPr>
          <w:p w14:paraId="2B546799"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11,4</w:t>
            </w:r>
          </w:p>
        </w:tc>
      </w:tr>
      <w:tr w:rsidR="00A41B49" w:rsidRPr="00A41B49" w14:paraId="360DDB69" w14:textId="77777777" w:rsidTr="009C31D4">
        <w:trPr>
          <w:jc w:val="center"/>
        </w:trPr>
        <w:tc>
          <w:tcPr>
            <w:tcW w:w="2076" w:type="dxa"/>
            <w:vAlign w:val="center"/>
          </w:tcPr>
          <w:p w14:paraId="74639180" w14:textId="77777777" w:rsidR="00BE06D6" w:rsidRPr="00A41B49" w:rsidRDefault="00BE06D6"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Івано-Франківська</w:t>
            </w:r>
          </w:p>
        </w:tc>
        <w:tc>
          <w:tcPr>
            <w:tcW w:w="876" w:type="dxa"/>
            <w:vAlign w:val="center"/>
          </w:tcPr>
          <w:p w14:paraId="2AD1C740"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130,8</w:t>
            </w:r>
          </w:p>
        </w:tc>
        <w:tc>
          <w:tcPr>
            <w:tcW w:w="636" w:type="dxa"/>
            <w:vAlign w:val="center"/>
          </w:tcPr>
          <w:p w14:paraId="4CD59D85"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19,2</w:t>
            </w:r>
          </w:p>
        </w:tc>
        <w:tc>
          <w:tcPr>
            <w:tcW w:w="996" w:type="dxa"/>
            <w:vAlign w:val="center"/>
          </w:tcPr>
          <w:p w14:paraId="3A08C4CB"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899,6</w:t>
            </w:r>
          </w:p>
        </w:tc>
        <w:tc>
          <w:tcPr>
            <w:tcW w:w="960" w:type="dxa"/>
            <w:vAlign w:val="center"/>
          </w:tcPr>
          <w:p w14:paraId="7D72728A"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68,1</w:t>
            </w:r>
          </w:p>
        </w:tc>
        <w:tc>
          <w:tcPr>
            <w:tcW w:w="1116" w:type="dxa"/>
            <w:vAlign w:val="bottom"/>
          </w:tcPr>
          <w:p w14:paraId="2AA10D53"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515,2</w:t>
            </w:r>
          </w:p>
        </w:tc>
        <w:tc>
          <w:tcPr>
            <w:tcW w:w="960" w:type="dxa"/>
            <w:vAlign w:val="bottom"/>
          </w:tcPr>
          <w:p w14:paraId="7F88DFEC"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43,7</w:t>
            </w:r>
          </w:p>
        </w:tc>
        <w:tc>
          <w:tcPr>
            <w:tcW w:w="991" w:type="dxa"/>
            <w:vAlign w:val="bottom"/>
          </w:tcPr>
          <w:p w14:paraId="41035878"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768,8</w:t>
            </w:r>
          </w:p>
        </w:tc>
        <w:tc>
          <w:tcPr>
            <w:tcW w:w="960" w:type="dxa"/>
            <w:vAlign w:val="bottom"/>
          </w:tcPr>
          <w:p w14:paraId="3865D7A0"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48,8</w:t>
            </w:r>
          </w:p>
        </w:tc>
      </w:tr>
      <w:tr w:rsidR="00A41B49" w:rsidRPr="00A41B49" w14:paraId="55E7EA80" w14:textId="77777777" w:rsidTr="009C31D4">
        <w:trPr>
          <w:jc w:val="center"/>
        </w:trPr>
        <w:tc>
          <w:tcPr>
            <w:tcW w:w="2076" w:type="dxa"/>
            <w:vAlign w:val="center"/>
          </w:tcPr>
          <w:p w14:paraId="4CA70D28" w14:textId="77777777" w:rsidR="00BE06D6" w:rsidRPr="00A41B49" w:rsidRDefault="00BE06D6"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Київська</w:t>
            </w:r>
          </w:p>
        </w:tc>
        <w:tc>
          <w:tcPr>
            <w:tcW w:w="876" w:type="dxa"/>
            <w:vAlign w:val="center"/>
          </w:tcPr>
          <w:p w14:paraId="3FB09258"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876,4</w:t>
            </w:r>
          </w:p>
        </w:tc>
        <w:tc>
          <w:tcPr>
            <w:tcW w:w="636" w:type="dxa"/>
            <w:vAlign w:val="center"/>
          </w:tcPr>
          <w:p w14:paraId="73EB1980"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40,0</w:t>
            </w:r>
          </w:p>
        </w:tc>
        <w:tc>
          <w:tcPr>
            <w:tcW w:w="996" w:type="dxa"/>
            <w:vAlign w:val="center"/>
          </w:tcPr>
          <w:p w14:paraId="1D3E340B"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825,8</w:t>
            </w:r>
          </w:p>
        </w:tc>
        <w:tc>
          <w:tcPr>
            <w:tcW w:w="960" w:type="dxa"/>
            <w:vAlign w:val="center"/>
          </w:tcPr>
          <w:p w14:paraId="765F5D3D"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36,2</w:t>
            </w:r>
          </w:p>
        </w:tc>
        <w:tc>
          <w:tcPr>
            <w:tcW w:w="1116" w:type="dxa"/>
            <w:vAlign w:val="bottom"/>
          </w:tcPr>
          <w:p w14:paraId="4388E5CB"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851,1</w:t>
            </w:r>
          </w:p>
        </w:tc>
        <w:tc>
          <w:tcPr>
            <w:tcW w:w="960" w:type="dxa"/>
            <w:vAlign w:val="bottom"/>
          </w:tcPr>
          <w:p w14:paraId="75E487AA"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38,1</w:t>
            </w:r>
          </w:p>
        </w:tc>
        <w:tc>
          <w:tcPr>
            <w:tcW w:w="991" w:type="dxa"/>
            <w:vAlign w:val="bottom"/>
          </w:tcPr>
          <w:p w14:paraId="5B358CAD"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-50,6</w:t>
            </w:r>
          </w:p>
        </w:tc>
        <w:tc>
          <w:tcPr>
            <w:tcW w:w="960" w:type="dxa"/>
            <w:vAlign w:val="bottom"/>
          </w:tcPr>
          <w:p w14:paraId="3062B5DF"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-3,8</w:t>
            </w:r>
          </w:p>
        </w:tc>
      </w:tr>
      <w:tr w:rsidR="00A41B49" w:rsidRPr="00A41B49" w14:paraId="3CAA7850" w14:textId="77777777" w:rsidTr="009C31D4">
        <w:trPr>
          <w:jc w:val="center"/>
        </w:trPr>
        <w:tc>
          <w:tcPr>
            <w:tcW w:w="2076" w:type="dxa"/>
            <w:vAlign w:val="center"/>
          </w:tcPr>
          <w:p w14:paraId="3D1C1D12" w14:textId="77777777" w:rsidR="00BE06D6" w:rsidRPr="00A41B49" w:rsidRDefault="00BE06D6"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Кіровоградська</w:t>
            </w:r>
          </w:p>
        </w:tc>
        <w:tc>
          <w:tcPr>
            <w:tcW w:w="876" w:type="dxa"/>
            <w:vAlign w:val="center"/>
          </w:tcPr>
          <w:p w14:paraId="7A941CF1"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19,4</w:t>
            </w:r>
          </w:p>
        </w:tc>
        <w:tc>
          <w:tcPr>
            <w:tcW w:w="636" w:type="dxa"/>
            <w:vAlign w:val="center"/>
          </w:tcPr>
          <w:p w14:paraId="1F274EDA"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10,0</w:t>
            </w:r>
          </w:p>
        </w:tc>
        <w:tc>
          <w:tcPr>
            <w:tcW w:w="996" w:type="dxa"/>
            <w:vAlign w:val="center"/>
          </w:tcPr>
          <w:p w14:paraId="4208BA11"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31,8</w:t>
            </w:r>
          </w:p>
        </w:tc>
        <w:tc>
          <w:tcPr>
            <w:tcW w:w="960" w:type="dxa"/>
            <w:vAlign w:val="center"/>
          </w:tcPr>
          <w:p w14:paraId="63D6F2D8"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15,0</w:t>
            </w:r>
          </w:p>
        </w:tc>
        <w:tc>
          <w:tcPr>
            <w:tcW w:w="1116" w:type="dxa"/>
            <w:vAlign w:val="bottom"/>
          </w:tcPr>
          <w:p w14:paraId="482F2C0C"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25,6</w:t>
            </w:r>
          </w:p>
        </w:tc>
        <w:tc>
          <w:tcPr>
            <w:tcW w:w="960" w:type="dxa"/>
            <w:vAlign w:val="bottom"/>
          </w:tcPr>
          <w:p w14:paraId="54B9B18F"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12,5</w:t>
            </w:r>
          </w:p>
        </w:tc>
        <w:tc>
          <w:tcPr>
            <w:tcW w:w="991" w:type="dxa"/>
            <w:vAlign w:val="bottom"/>
          </w:tcPr>
          <w:p w14:paraId="72DD95AF"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12,4</w:t>
            </w:r>
          </w:p>
        </w:tc>
        <w:tc>
          <w:tcPr>
            <w:tcW w:w="960" w:type="dxa"/>
            <w:vAlign w:val="bottom"/>
          </w:tcPr>
          <w:p w14:paraId="39C45981"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5,0</w:t>
            </w:r>
          </w:p>
        </w:tc>
      </w:tr>
      <w:tr w:rsidR="00A41B49" w:rsidRPr="00A41B49" w14:paraId="6B50698B" w14:textId="77777777" w:rsidTr="009C31D4">
        <w:trPr>
          <w:jc w:val="center"/>
        </w:trPr>
        <w:tc>
          <w:tcPr>
            <w:tcW w:w="2076" w:type="dxa"/>
            <w:vAlign w:val="center"/>
          </w:tcPr>
          <w:p w14:paraId="72D675B8" w14:textId="77777777" w:rsidR="00BE06D6" w:rsidRPr="00A41B49" w:rsidRDefault="00BE06D6"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Луганська</w:t>
            </w:r>
          </w:p>
        </w:tc>
        <w:tc>
          <w:tcPr>
            <w:tcW w:w="876" w:type="dxa"/>
            <w:vAlign w:val="center"/>
          </w:tcPr>
          <w:p w14:paraId="286EF9D3"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226,8</w:t>
            </w:r>
          </w:p>
        </w:tc>
        <w:tc>
          <w:tcPr>
            <w:tcW w:w="636" w:type="dxa"/>
            <w:vAlign w:val="center"/>
          </w:tcPr>
          <w:p w14:paraId="4472CF5F"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58,9</w:t>
            </w:r>
          </w:p>
        </w:tc>
        <w:tc>
          <w:tcPr>
            <w:tcW w:w="996" w:type="dxa"/>
            <w:vAlign w:val="center"/>
          </w:tcPr>
          <w:p w14:paraId="038A4070"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н/д</w:t>
            </w:r>
          </w:p>
        </w:tc>
        <w:tc>
          <w:tcPr>
            <w:tcW w:w="960" w:type="dxa"/>
            <w:vAlign w:val="center"/>
          </w:tcPr>
          <w:p w14:paraId="69D6C2C1" w14:textId="77777777" w:rsidR="00BE06D6" w:rsidRPr="00A41B49" w:rsidRDefault="00BE06D6" w:rsidP="009C31D4">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1116" w:type="dxa"/>
            <w:vAlign w:val="center"/>
          </w:tcPr>
          <w:p w14:paraId="6EFA5D8C" w14:textId="77777777" w:rsidR="00BE06D6" w:rsidRPr="00A41B49" w:rsidRDefault="00BE06D6" w:rsidP="009C31D4">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60" w:type="dxa"/>
            <w:vAlign w:val="center"/>
          </w:tcPr>
          <w:p w14:paraId="15E3B23B" w14:textId="77777777" w:rsidR="00BE06D6" w:rsidRPr="00A41B49" w:rsidRDefault="00BE06D6" w:rsidP="009C31D4">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91" w:type="dxa"/>
            <w:vAlign w:val="center"/>
          </w:tcPr>
          <w:p w14:paraId="5B394A56" w14:textId="77777777" w:rsidR="00BE06D6" w:rsidRPr="00A41B49" w:rsidRDefault="00BE06D6" w:rsidP="009C31D4">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60" w:type="dxa"/>
            <w:vAlign w:val="center"/>
          </w:tcPr>
          <w:p w14:paraId="3FE5BB54" w14:textId="77777777" w:rsidR="00BE06D6" w:rsidRPr="00A41B49" w:rsidRDefault="00BE06D6" w:rsidP="009C31D4">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r>
      <w:tr w:rsidR="00A41B49" w:rsidRPr="00A41B49" w14:paraId="50505CE6" w14:textId="77777777" w:rsidTr="009C31D4">
        <w:trPr>
          <w:jc w:val="center"/>
        </w:trPr>
        <w:tc>
          <w:tcPr>
            <w:tcW w:w="2076" w:type="dxa"/>
            <w:vAlign w:val="center"/>
          </w:tcPr>
          <w:p w14:paraId="06EDE625" w14:textId="77777777" w:rsidR="00BE06D6" w:rsidRPr="00A41B49" w:rsidRDefault="00BE06D6"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Львівська</w:t>
            </w:r>
          </w:p>
        </w:tc>
        <w:tc>
          <w:tcPr>
            <w:tcW w:w="876" w:type="dxa"/>
            <w:vAlign w:val="center"/>
          </w:tcPr>
          <w:p w14:paraId="6FA2DB9A"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442,1</w:t>
            </w:r>
          </w:p>
        </w:tc>
        <w:tc>
          <w:tcPr>
            <w:tcW w:w="636" w:type="dxa"/>
            <w:vAlign w:val="center"/>
          </w:tcPr>
          <w:p w14:paraId="55CF8BB2"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21,6</w:t>
            </w:r>
          </w:p>
        </w:tc>
        <w:tc>
          <w:tcPr>
            <w:tcW w:w="996" w:type="dxa"/>
            <w:vAlign w:val="center"/>
          </w:tcPr>
          <w:p w14:paraId="162F031C"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501</w:t>
            </w:r>
          </w:p>
        </w:tc>
        <w:tc>
          <w:tcPr>
            <w:tcW w:w="960" w:type="dxa"/>
            <w:vAlign w:val="center"/>
          </w:tcPr>
          <w:p w14:paraId="2496FBAD"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22,8</w:t>
            </w:r>
          </w:p>
        </w:tc>
        <w:tc>
          <w:tcPr>
            <w:tcW w:w="1116" w:type="dxa"/>
            <w:vAlign w:val="bottom"/>
          </w:tcPr>
          <w:p w14:paraId="4F41DFA8"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471,55</w:t>
            </w:r>
          </w:p>
        </w:tc>
        <w:tc>
          <w:tcPr>
            <w:tcW w:w="960" w:type="dxa"/>
            <w:vAlign w:val="bottom"/>
          </w:tcPr>
          <w:p w14:paraId="2D2E18A2"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22,2</w:t>
            </w:r>
          </w:p>
        </w:tc>
        <w:tc>
          <w:tcPr>
            <w:tcW w:w="991" w:type="dxa"/>
            <w:vAlign w:val="bottom"/>
          </w:tcPr>
          <w:p w14:paraId="5C73C834"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58,9</w:t>
            </w:r>
          </w:p>
        </w:tc>
        <w:tc>
          <w:tcPr>
            <w:tcW w:w="960" w:type="dxa"/>
            <w:vAlign w:val="bottom"/>
          </w:tcPr>
          <w:p w14:paraId="60D46C6C"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1,2</w:t>
            </w:r>
          </w:p>
        </w:tc>
      </w:tr>
      <w:tr w:rsidR="00A41B49" w:rsidRPr="00A41B49" w14:paraId="49313895" w14:textId="77777777" w:rsidTr="009C31D4">
        <w:trPr>
          <w:jc w:val="center"/>
        </w:trPr>
        <w:tc>
          <w:tcPr>
            <w:tcW w:w="2076" w:type="dxa"/>
            <w:vAlign w:val="center"/>
          </w:tcPr>
          <w:p w14:paraId="3608D273" w14:textId="77777777" w:rsidR="00BE06D6" w:rsidRPr="00A41B49" w:rsidRDefault="00BE06D6"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Миколаївська</w:t>
            </w:r>
          </w:p>
        </w:tc>
        <w:tc>
          <w:tcPr>
            <w:tcW w:w="876" w:type="dxa"/>
            <w:vAlign w:val="center"/>
          </w:tcPr>
          <w:p w14:paraId="0B7E5907"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394,8</w:t>
            </w:r>
          </w:p>
        </w:tc>
        <w:tc>
          <w:tcPr>
            <w:tcW w:w="636" w:type="dxa"/>
            <w:vAlign w:val="center"/>
          </w:tcPr>
          <w:p w14:paraId="092A0D74"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52,6</w:t>
            </w:r>
          </w:p>
        </w:tc>
        <w:tc>
          <w:tcPr>
            <w:tcW w:w="996" w:type="dxa"/>
            <w:vAlign w:val="center"/>
          </w:tcPr>
          <w:p w14:paraId="2D52DF8D"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592,6</w:t>
            </w:r>
          </w:p>
        </w:tc>
        <w:tc>
          <w:tcPr>
            <w:tcW w:w="960" w:type="dxa"/>
            <w:vAlign w:val="center"/>
          </w:tcPr>
          <w:p w14:paraId="5F56F7D7"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71,6</w:t>
            </w:r>
          </w:p>
        </w:tc>
        <w:tc>
          <w:tcPr>
            <w:tcW w:w="1116" w:type="dxa"/>
            <w:vAlign w:val="bottom"/>
          </w:tcPr>
          <w:p w14:paraId="266EE838"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493,7</w:t>
            </w:r>
          </w:p>
        </w:tc>
        <w:tc>
          <w:tcPr>
            <w:tcW w:w="960" w:type="dxa"/>
            <w:vAlign w:val="bottom"/>
          </w:tcPr>
          <w:p w14:paraId="07CF8284"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62,1</w:t>
            </w:r>
          </w:p>
        </w:tc>
        <w:tc>
          <w:tcPr>
            <w:tcW w:w="991" w:type="dxa"/>
            <w:vAlign w:val="bottom"/>
          </w:tcPr>
          <w:p w14:paraId="3ECEB115"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197,8</w:t>
            </w:r>
          </w:p>
        </w:tc>
        <w:tc>
          <w:tcPr>
            <w:tcW w:w="960" w:type="dxa"/>
            <w:vAlign w:val="bottom"/>
          </w:tcPr>
          <w:p w14:paraId="1A6C5623"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18,9</w:t>
            </w:r>
          </w:p>
        </w:tc>
      </w:tr>
      <w:tr w:rsidR="00A41B49" w:rsidRPr="00A41B49" w14:paraId="2CADA048" w14:textId="77777777" w:rsidTr="009C31D4">
        <w:trPr>
          <w:jc w:val="center"/>
        </w:trPr>
        <w:tc>
          <w:tcPr>
            <w:tcW w:w="2076" w:type="dxa"/>
            <w:vAlign w:val="center"/>
          </w:tcPr>
          <w:p w14:paraId="00548AFE" w14:textId="77777777" w:rsidR="00BE06D6" w:rsidRPr="00A41B49" w:rsidRDefault="00BE06D6"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Одеська</w:t>
            </w:r>
          </w:p>
        </w:tc>
        <w:tc>
          <w:tcPr>
            <w:tcW w:w="876" w:type="dxa"/>
            <w:vAlign w:val="center"/>
          </w:tcPr>
          <w:p w14:paraId="4664E41A"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699,2</w:t>
            </w:r>
          </w:p>
        </w:tc>
        <w:tc>
          <w:tcPr>
            <w:tcW w:w="636" w:type="dxa"/>
            <w:vAlign w:val="center"/>
          </w:tcPr>
          <w:p w14:paraId="278F8B45"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38,5</w:t>
            </w:r>
          </w:p>
        </w:tc>
        <w:tc>
          <w:tcPr>
            <w:tcW w:w="996" w:type="dxa"/>
            <w:vAlign w:val="center"/>
          </w:tcPr>
          <w:p w14:paraId="48DEA56A"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423,5</w:t>
            </w:r>
          </w:p>
        </w:tc>
        <w:tc>
          <w:tcPr>
            <w:tcW w:w="960" w:type="dxa"/>
            <w:vAlign w:val="center"/>
          </w:tcPr>
          <w:p w14:paraId="207CBB10"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33,2</w:t>
            </w:r>
          </w:p>
        </w:tc>
        <w:tc>
          <w:tcPr>
            <w:tcW w:w="1116" w:type="dxa"/>
            <w:vAlign w:val="bottom"/>
          </w:tcPr>
          <w:p w14:paraId="6C210956"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561,35</w:t>
            </w:r>
          </w:p>
        </w:tc>
        <w:tc>
          <w:tcPr>
            <w:tcW w:w="960" w:type="dxa"/>
            <w:vAlign w:val="bottom"/>
          </w:tcPr>
          <w:p w14:paraId="4A700EBE"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35,8</w:t>
            </w:r>
          </w:p>
        </w:tc>
        <w:tc>
          <w:tcPr>
            <w:tcW w:w="991" w:type="dxa"/>
            <w:vAlign w:val="bottom"/>
          </w:tcPr>
          <w:p w14:paraId="47F27B72"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-275,7</w:t>
            </w:r>
          </w:p>
        </w:tc>
        <w:tc>
          <w:tcPr>
            <w:tcW w:w="960" w:type="dxa"/>
            <w:vAlign w:val="bottom"/>
          </w:tcPr>
          <w:p w14:paraId="3C7697E2"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-5,3</w:t>
            </w:r>
          </w:p>
        </w:tc>
      </w:tr>
      <w:tr w:rsidR="00A41B49" w:rsidRPr="00A41B49" w14:paraId="3A1B35C7" w14:textId="77777777" w:rsidTr="009C31D4">
        <w:trPr>
          <w:jc w:val="center"/>
        </w:trPr>
        <w:tc>
          <w:tcPr>
            <w:tcW w:w="2076" w:type="dxa"/>
            <w:vAlign w:val="center"/>
          </w:tcPr>
          <w:p w14:paraId="1BEAA235" w14:textId="77777777" w:rsidR="00BE06D6" w:rsidRPr="00A41B49" w:rsidRDefault="00BE06D6"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Полтавська</w:t>
            </w:r>
          </w:p>
        </w:tc>
        <w:tc>
          <w:tcPr>
            <w:tcW w:w="876" w:type="dxa"/>
            <w:vAlign w:val="center"/>
          </w:tcPr>
          <w:p w14:paraId="135D79A3"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-170,6</w:t>
            </w:r>
          </w:p>
        </w:tc>
        <w:tc>
          <w:tcPr>
            <w:tcW w:w="636" w:type="dxa"/>
            <w:vAlign w:val="center"/>
          </w:tcPr>
          <w:p w14:paraId="04102667"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-9,6</w:t>
            </w:r>
          </w:p>
        </w:tc>
        <w:tc>
          <w:tcPr>
            <w:tcW w:w="996" w:type="dxa"/>
            <w:vAlign w:val="center"/>
          </w:tcPr>
          <w:p w14:paraId="7A9DFC21"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-178,3</w:t>
            </w:r>
          </w:p>
        </w:tc>
        <w:tc>
          <w:tcPr>
            <w:tcW w:w="960" w:type="dxa"/>
            <w:vAlign w:val="center"/>
          </w:tcPr>
          <w:p w14:paraId="19DE7F78"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-12,0</w:t>
            </w:r>
          </w:p>
        </w:tc>
        <w:tc>
          <w:tcPr>
            <w:tcW w:w="1116" w:type="dxa"/>
            <w:vAlign w:val="bottom"/>
          </w:tcPr>
          <w:p w14:paraId="07CCCD47"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-174,45</w:t>
            </w:r>
          </w:p>
        </w:tc>
        <w:tc>
          <w:tcPr>
            <w:tcW w:w="960" w:type="dxa"/>
            <w:vAlign w:val="bottom"/>
          </w:tcPr>
          <w:p w14:paraId="56EBD67D"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-10,8</w:t>
            </w:r>
          </w:p>
        </w:tc>
        <w:tc>
          <w:tcPr>
            <w:tcW w:w="991" w:type="dxa"/>
            <w:vAlign w:val="bottom"/>
          </w:tcPr>
          <w:p w14:paraId="30904E01"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-7,7</w:t>
            </w:r>
          </w:p>
        </w:tc>
        <w:tc>
          <w:tcPr>
            <w:tcW w:w="960" w:type="dxa"/>
            <w:vAlign w:val="bottom"/>
          </w:tcPr>
          <w:p w14:paraId="2B0D58FA" w14:textId="77777777" w:rsidR="00BE06D6" w:rsidRPr="00A41B49" w:rsidRDefault="00BE06D6"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-2,4</w:t>
            </w:r>
          </w:p>
        </w:tc>
      </w:tr>
      <w:tr w:rsidR="00A41B49" w:rsidRPr="00A41B49" w14:paraId="7498E59A" w14:textId="77777777" w:rsidTr="009C31D4">
        <w:trPr>
          <w:jc w:val="center"/>
        </w:trPr>
        <w:tc>
          <w:tcPr>
            <w:tcW w:w="2076" w:type="dxa"/>
            <w:vAlign w:val="center"/>
          </w:tcPr>
          <w:p w14:paraId="40EAEDA8" w14:textId="77777777" w:rsidR="009C31D4" w:rsidRPr="00A41B49" w:rsidRDefault="009C31D4"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Рівненська</w:t>
            </w:r>
          </w:p>
        </w:tc>
        <w:tc>
          <w:tcPr>
            <w:tcW w:w="876" w:type="dxa"/>
            <w:vAlign w:val="center"/>
          </w:tcPr>
          <w:p w14:paraId="0FAC221F"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181</w:t>
            </w:r>
          </w:p>
        </w:tc>
        <w:tc>
          <w:tcPr>
            <w:tcW w:w="636" w:type="dxa"/>
            <w:vAlign w:val="center"/>
          </w:tcPr>
          <w:p w14:paraId="59A5BBCD"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40,7</w:t>
            </w:r>
          </w:p>
        </w:tc>
        <w:tc>
          <w:tcPr>
            <w:tcW w:w="996" w:type="dxa"/>
            <w:vAlign w:val="center"/>
          </w:tcPr>
          <w:p w14:paraId="46229EAF"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174,9</w:t>
            </w:r>
          </w:p>
        </w:tc>
        <w:tc>
          <w:tcPr>
            <w:tcW w:w="960" w:type="dxa"/>
            <w:vAlign w:val="center"/>
          </w:tcPr>
          <w:p w14:paraId="392E790A"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41,5</w:t>
            </w:r>
          </w:p>
        </w:tc>
        <w:tc>
          <w:tcPr>
            <w:tcW w:w="1116" w:type="dxa"/>
            <w:vAlign w:val="bottom"/>
          </w:tcPr>
          <w:p w14:paraId="46E649D4"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177,95</w:t>
            </w:r>
          </w:p>
        </w:tc>
        <w:tc>
          <w:tcPr>
            <w:tcW w:w="960" w:type="dxa"/>
            <w:vAlign w:val="bottom"/>
          </w:tcPr>
          <w:p w14:paraId="0BAB11A7"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41,1</w:t>
            </w:r>
          </w:p>
        </w:tc>
        <w:tc>
          <w:tcPr>
            <w:tcW w:w="991" w:type="dxa"/>
            <w:vAlign w:val="bottom"/>
          </w:tcPr>
          <w:p w14:paraId="3CD0D9A8"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-6,1</w:t>
            </w:r>
          </w:p>
        </w:tc>
        <w:tc>
          <w:tcPr>
            <w:tcW w:w="960" w:type="dxa"/>
            <w:vAlign w:val="bottom"/>
          </w:tcPr>
          <w:p w14:paraId="333ADF65"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0,8</w:t>
            </w:r>
          </w:p>
        </w:tc>
      </w:tr>
      <w:tr w:rsidR="00A41B49" w:rsidRPr="00A41B49" w14:paraId="5F4BE57E" w14:textId="77777777" w:rsidTr="009C31D4">
        <w:trPr>
          <w:jc w:val="center"/>
        </w:trPr>
        <w:tc>
          <w:tcPr>
            <w:tcW w:w="2076" w:type="dxa"/>
            <w:vAlign w:val="center"/>
          </w:tcPr>
          <w:p w14:paraId="28AD42D4" w14:textId="77777777" w:rsidR="009C31D4" w:rsidRPr="00A41B49" w:rsidRDefault="009C31D4"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Сумська</w:t>
            </w:r>
          </w:p>
        </w:tc>
        <w:tc>
          <w:tcPr>
            <w:tcW w:w="876" w:type="dxa"/>
            <w:vAlign w:val="center"/>
          </w:tcPr>
          <w:p w14:paraId="19E9787D"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236,8</w:t>
            </w:r>
          </w:p>
        </w:tc>
        <w:tc>
          <w:tcPr>
            <w:tcW w:w="636" w:type="dxa"/>
            <w:vAlign w:val="center"/>
          </w:tcPr>
          <w:p w14:paraId="2CC0131A"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40,9</w:t>
            </w:r>
          </w:p>
        </w:tc>
        <w:tc>
          <w:tcPr>
            <w:tcW w:w="996" w:type="dxa"/>
            <w:vAlign w:val="center"/>
          </w:tcPr>
          <w:p w14:paraId="5FA98F0E"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204,1</w:t>
            </w:r>
          </w:p>
        </w:tc>
        <w:tc>
          <w:tcPr>
            <w:tcW w:w="960" w:type="dxa"/>
            <w:vAlign w:val="center"/>
          </w:tcPr>
          <w:p w14:paraId="06E1F849"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39,4</w:t>
            </w:r>
          </w:p>
        </w:tc>
        <w:tc>
          <w:tcPr>
            <w:tcW w:w="1116" w:type="dxa"/>
            <w:vAlign w:val="bottom"/>
          </w:tcPr>
          <w:p w14:paraId="25FEC716"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220,45</w:t>
            </w:r>
          </w:p>
        </w:tc>
        <w:tc>
          <w:tcPr>
            <w:tcW w:w="960" w:type="dxa"/>
            <w:vAlign w:val="bottom"/>
          </w:tcPr>
          <w:p w14:paraId="3A28642B"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40,2</w:t>
            </w:r>
          </w:p>
        </w:tc>
        <w:tc>
          <w:tcPr>
            <w:tcW w:w="991" w:type="dxa"/>
            <w:vAlign w:val="bottom"/>
          </w:tcPr>
          <w:p w14:paraId="3A97A2E8"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-32,7</w:t>
            </w:r>
          </w:p>
        </w:tc>
        <w:tc>
          <w:tcPr>
            <w:tcW w:w="960" w:type="dxa"/>
            <w:vAlign w:val="bottom"/>
          </w:tcPr>
          <w:p w14:paraId="66517D97"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-1,6</w:t>
            </w:r>
          </w:p>
        </w:tc>
      </w:tr>
      <w:tr w:rsidR="00A41B49" w:rsidRPr="00A41B49" w14:paraId="6A0E55D2" w14:textId="77777777" w:rsidTr="009C31D4">
        <w:trPr>
          <w:jc w:val="center"/>
        </w:trPr>
        <w:tc>
          <w:tcPr>
            <w:tcW w:w="2076" w:type="dxa"/>
            <w:vAlign w:val="center"/>
          </w:tcPr>
          <w:p w14:paraId="7DAFF23B" w14:textId="77777777" w:rsidR="009C31D4" w:rsidRPr="00A41B49" w:rsidRDefault="009C31D4"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Тернопільська</w:t>
            </w:r>
          </w:p>
        </w:tc>
        <w:tc>
          <w:tcPr>
            <w:tcW w:w="876" w:type="dxa"/>
            <w:vAlign w:val="center"/>
          </w:tcPr>
          <w:p w14:paraId="61ECAB01"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216,3</w:t>
            </w:r>
          </w:p>
        </w:tc>
        <w:tc>
          <w:tcPr>
            <w:tcW w:w="636" w:type="dxa"/>
            <w:vAlign w:val="center"/>
          </w:tcPr>
          <w:p w14:paraId="4F694304"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81,5</w:t>
            </w:r>
          </w:p>
        </w:tc>
        <w:tc>
          <w:tcPr>
            <w:tcW w:w="996" w:type="dxa"/>
            <w:vAlign w:val="center"/>
          </w:tcPr>
          <w:p w14:paraId="143CE1BF"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335,9</w:t>
            </w:r>
          </w:p>
        </w:tc>
        <w:tc>
          <w:tcPr>
            <w:tcW w:w="960" w:type="dxa"/>
            <w:vAlign w:val="center"/>
          </w:tcPr>
          <w:p w14:paraId="7EAD286F"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83,1</w:t>
            </w:r>
          </w:p>
        </w:tc>
        <w:tc>
          <w:tcPr>
            <w:tcW w:w="1116" w:type="dxa"/>
            <w:vAlign w:val="bottom"/>
          </w:tcPr>
          <w:p w14:paraId="53F5388A"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276,1</w:t>
            </w:r>
          </w:p>
        </w:tc>
        <w:tc>
          <w:tcPr>
            <w:tcW w:w="960" w:type="dxa"/>
            <w:vAlign w:val="bottom"/>
          </w:tcPr>
          <w:p w14:paraId="0186D6AF"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82,3</w:t>
            </w:r>
          </w:p>
        </w:tc>
        <w:tc>
          <w:tcPr>
            <w:tcW w:w="991" w:type="dxa"/>
            <w:vAlign w:val="bottom"/>
          </w:tcPr>
          <w:p w14:paraId="2CE6B52B"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119,6</w:t>
            </w:r>
          </w:p>
        </w:tc>
        <w:tc>
          <w:tcPr>
            <w:tcW w:w="960" w:type="dxa"/>
            <w:vAlign w:val="bottom"/>
          </w:tcPr>
          <w:p w14:paraId="29C0F1F0"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1,6</w:t>
            </w:r>
          </w:p>
        </w:tc>
      </w:tr>
      <w:tr w:rsidR="00A41B49" w:rsidRPr="00A41B49" w14:paraId="0AEECB54" w14:textId="77777777" w:rsidTr="009C31D4">
        <w:trPr>
          <w:jc w:val="center"/>
        </w:trPr>
        <w:tc>
          <w:tcPr>
            <w:tcW w:w="2076" w:type="dxa"/>
            <w:vAlign w:val="center"/>
          </w:tcPr>
          <w:p w14:paraId="42FF4260" w14:textId="77777777" w:rsidR="009C31D4" w:rsidRPr="00A41B49" w:rsidRDefault="009C31D4"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Харківська</w:t>
            </w:r>
          </w:p>
        </w:tc>
        <w:tc>
          <w:tcPr>
            <w:tcW w:w="876" w:type="dxa"/>
            <w:vAlign w:val="center"/>
          </w:tcPr>
          <w:p w14:paraId="55A24061"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190</w:t>
            </w:r>
          </w:p>
        </w:tc>
        <w:tc>
          <w:tcPr>
            <w:tcW w:w="636" w:type="dxa"/>
            <w:vAlign w:val="center"/>
          </w:tcPr>
          <w:p w14:paraId="4C8CAB78"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17,3</w:t>
            </w:r>
          </w:p>
        </w:tc>
        <w:tc>
          <w:tcPr>
            <w:tcW w:w="996" w:type="dxa"/>
            <w:vAlign w:val="center"/>
          </w:tcPr>
          <w:p w14:paraId="4B9AF974"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319,2</w:t>
            </w:r>
          </w:p>
        </w:tc>
        <w:tc>
          <w:tcPr>
            <w:tcW w:w="960" w:type="dxa"/>
            <w:vAlign w:val="center"/>
          </w:tcPr>
          <w:p w14:paraId="1360AF56"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33,5</w:t>
            </w:r>
          </w:p>
        </w:tc>
        <w:tc>
          <w:tcPr>
            <w:tcW w:w="1116" w:type="dxa"/>
            <w:vAlign w:val="bottom"/>
          </w:tcPr>
          <w:p w14:paraId="7F3321B2"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254,6</w:t>
            </w:r>
          </w:p>
        </w:tc>
        <w:tc>
          <w:tcPr>
            <w:tcW w:w="960" w:type="dxa"/>
            <w:vAlign w:val="bottom"/>
          </w:tcPr>
          <w:p w14:paraId="67A0B75A"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25,4</w:t>
            </w:r>
          </w:p>
        </w:tc>
        <w:tc>
          <w:tcPr>
            <w:tcW w:w="991" w:type="dxa"/>
            <w:vAlign w:val="bottom"/>
          </w:tcPr>
          <w:p w14:paraId="1BA6E41E"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129,2</w:t>
            </w:r>
          </w:p>
        </w:tc>
        <w:tc>
          <w:tcPr>
            <w:tcW w:w="960" w:type="dxa"/>
            <w:vAlign w:val="bottom"/>
          </w:tcPr>
          <w:p w14:paraId="6C8A265E"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16,2</w:t>
            </w:r>
          </w:p>
        </w:tc>
      </w:tr>
      <w:tr w:rsidR="00A41B49" w:rsidRPr="00A41B49" w14:paraId="05AE0E2E" w14:textId="77777777" w:rsidTr="009C31D4">
        <w:trPr>
          <w:jc w:val="center"/>
        </w:trPr>
        <w:tc>
          <w:tcPr>
            <w:tcW w:w="2076" w:type="dxa"/>
            <w:vAlign w:val="center"/>
          </w:tcPr>
          <w:p w14:paraId="05FB0DA4" w14:textId="77777777" w:rsidR="009C31D4" w:rsidRPr="00A41B49" w:rsidRDefault="009C31D4"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Херсонська</w:t>
            </w:r>
          </w:p>
        </w:tc>
        <w:tc>
          <w:tcPr>
            <w:tcW w:w="876" w:type="dxa"/>
            <w:vAlign w:val="center"/>
          </w:tcPr>
          <w:p w14:paraId="0B4701EE"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279,9</w:t>
            </w:r>
          </w:p>
        </w:tc>
        <w:tc>
          <w:tcPr>
            <w:tcW w:w="636" w:type="dxa"/>
            <w:vAlign w:val="center"/>
          </w:tcPr>
          <w:p w14:paraId="3E21C786"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63,8</w:t>
            </w:r>
          </w:p>
        </w:tc>
        <w:tc>
          <w:tcPr>
            <w:tcW w:w="996" w:type="dxa"/>
            <w:vAlign w:val="center"/>
          </w:tcPr>
          <w:p w14:paraId="30F04522"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н/д</w:t>
            </w:r>
          </w:p>
        </w:tc>
        <w:tc>
          <w:tcPr>
            <w:tcW w:w="960" w:type="dxa"/>
            <w:vAlign w:val="center"/>
          </w:tcPr>
          <w:p w14:paraId="0C9900F2" w14:textId="77777777" w:rsidR="009C31D4" w:rsidRPr="00A41B49" w:rsidRDefault="009C31D4" w:rsidP="009C31D4">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1116" w:type="dxa"/>
            <w:vAlign w:val="center"/>
          </w:tcPr>
          <w:p w14:paraId="64C6045A" w14:textId="77777777" w:rsidR="009C31D4" w:rsidRPr="00A41B49" w:rsidRDefault="009C31D4" w:rsidP="009C31D4">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60" w:type="dxa"/>
            <w:vAlign w:val="center"/>
          </w:tcPr>
          <w:p w14:paraId="1BA1D2A1" w14:textId="77777777" w:rsidR="009C31D4" w:rsidRPr="00A41B49" w:rsidRDefault="009C31D4" w:rsidP="009C31D4">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91" w:type="dxa"/>
            <w:vAlign w:val="center"/>
          </w:tcPr>
          <w:p w14:paraId="2A1A2D7A" w14:textId="77777777" w:rsidR="009C31D4" w:rsidRPr="00A41B49" w:rsidRDefault="009C31D4" w:rsidP="009C31D4">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c>
          <w:tcPr>
            <w:tcW w:w="960" w:type="dxa"/>
            <w:vAlign w:val="center"/>
          </w:tcPr>
          <w:p w14:paraId="494F63A2" w14:textId="77777777" w:rsidR="009C31D4" w:rsidRPr="00A41B49" w:rsidRDefault="009C31D4" w:rsidP="009C31D4">
            <w:pPr>
              <w:jc w:val="center"/>
              <w:rPr>
                <w:rFonts w:ascii="Times New Roman" w:hAnsi="Times New Roman" w:cs="Times New Roman"/>
                <w:spacing w:val="-6"/>
                <w:sz w:val="24"/>
                <w:szCs w:val="24"/>
                <w:lang w:val="uk-UA"/>
              </w:rPr>
            </w:pPr>
            <w:r w:rsidRPr="00A41B49">
              <w:rPr>
                <w:rFonts w:ascii="Times New Roman" w:hAnsi="Times New Roman" w:cs="Times New Roman"/>
                <w:spacing w:val="-6"/>
                <w:sz w:val="24"/>
                <w:szCs w:val="24"/>
                <w:lang w:val="uk-UA"/>
              </w:rPr>
              <w:t>н/д</w:t>
            </w:r>
          </w:p>
        </w:tc>
      </w:tr>
      <w:tr w:rsidR="00A41B49" w:rsidRPr="00A41B49" w14:paraId="2690953C" w14:textId="77777777" w:rsidTr="009C31D4">
        <w:trPr>
          <w:jc w:val="center"/>
        </w:trPr>
        <w:tc>
          <w:tcPr>
            <w:tcW w:w="2076" w:type="dxa"/>
            <w:vAlign w:val="center"/>
          </w:tcPr>
          <w:p w14:paraId="0162A367" w14:textId="77777777" w:rsidR="009C31D4" w:rsidRPr="00A41B49" w:rsidRDefault="009C31D4"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Хмельницька</w:t>
            </w:r>
          </w:p>
        </w:tc>
        <w:tc>
          <w:tcPr>
            <w:tcW w:w="876" w:type="dxa"/>
            <w:vAlign w:val="center"/>
          </w:tcPr>
          <w:p w14:paraId="40234BBC"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763</w:t>
            </w:r>
          </w:p>
        </w:tc>
        <w:tc>
          <w:tcPr>
            <w:tcW w:w="636" w:type="dxa"/>
            <w:vAlign w:val="center"/>
          </w:tcPr>
          <w:p w14:paraId="251D304F"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86,6</w:t>
            </w:r>
          </w:p>
        </w:tc>
        <w:tc>
          <w:tcPr>
            <w:tcW w:w="996" w:type="dxa"/>
            <w:vAlign w:val="center"/>
          </w:tcPr>
          <w:p w14:paraId="6BD310CD"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740,1</w:t>
            </w:r>
          </w:p>
        </w:tc>
        <w:tc>
          <w:tcPr>
            <w:tcW w:w="960" w:type="dxa"/>
            <w:vAlign w:val="center"/>
          </w:tcPr>
          <w:p w14:paraId="1B387AF7"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74,0</w:t>
            </w:r>
          </w:p>
        </w:tc>
        <w:tc>
          <w:tcPr>
            <w:tcW w:w="1116" w:type="dxa"/>
            <w:vAlign w:val="bottom"/>
          </w:tcPr>
          <w:p w14:paraId="60D21E2F"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751,55</w:t>
            </w:r>
          </w:p>
        </w:tc>
        <w:tc>
          <w:tcPr>
            <w:tcW w:w="960" w:type="dxa"/>
            <w:vAlign w:val="bottom"/>
          </w:tcPr>
          <w:p w14:paraId="77DCE3B6"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80,3</w:t>
            </w:r>
          </w:p>
        </w:tc>
        <w:tc>
          <w:tcPr>
            <w:tcW w:w="991" w:type="dxa"/>
            <w:vAlign w:val="bottom"/>
          </w:tcPr>
          <w:p w14:paraId="7018B9DF"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-22,9</w:t>
            </w:r>
          </w:p>
        </w:tc>
        <w:tc>
          <w:tcPr>
            <w:tcW w:w="960" w:type="dxa"/>
            <w:vAlign w:val="bottom"/>
          </w:tcPr>
          <w:p w14:paraId="7F9F8A7B"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-12,6</w:t>
            </w:r>
          </w:p>
        </w:tc>
      </w:tr>
      <w:tr w:rsidR="00A41B49" w:rsidRPr="00A41B49" w14:paraId="38BC27C6" w14:textId="77777777" w:rsidTr="009C31D4">
        <w:trPr>
          <w:jc w:val="center"/>
        </w:trPr>
        <w:tc>
          <w:tcPr>
            <w:tcW w:w="2076" w:type="dxa"/>
            <w:vAlign w:val="center"/>
          </w:tcPr>
          <w:p w14:paraId="13B9DEB7" w14:textId="77777777" w:rsidR="009C31D4" w:rsidRPr="00A41B49" w:rsidRDefault="009C31D4"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Черкаська</w:t>
            </w:r>
          </w:p>
        </w:tc>
        <w:tc>
          <w:tcPr>
            <w:tcW w:w="876" w:type="dxa"/>
            <w:vAlign w:val="center"/>
          </w:tcPr>
          <w:p w14:paraId="5CA1C3A2"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93,9</w:t>
            </w:r>
          </w:p>
        </w:tc>
        <w:tc>
          <w:tcPr>
            <w:tcW w:w="636" w:type="dxa"/>
            <w:vAlign w:val="center"/>
          </w:tcPr>
          <w:p w14:paraId="44DAFDAF"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31,0</w:t>
            </w:r>
          </w:p>
        </w:tc>
        <w:tc>
          <w:tcPr>
            <w:tcW w:w="996" w:type="dxa"/>
            <w:vAlign w:val="center"/>
          </w:tcPr>
          <w:p w14:paraId="204308A1"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160,3</w:t>
            </w:r>
          </w:p>
        </w:tc>
        <w:tc>
          <w:tcPr>
            <w:tcW w:w="960" w:type="dxa"/>
            <w:vAlign w:val="center"/>
          </w:tcPr>
          <w:p w14:paraId="46AECB19"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34,5</w:t>
            </w:r>
          </w:p>
        </w:tc>
        <w:tc>
          <w:tcPr>
            <w:tcW w:w="1116" w:type="dxa"/>
            <w:vAlign w:val="bottom"/>
          </w:tcPr>
          <w:p w14:paraId="3AB26A47"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127,1</w:t>
            </w:r>
          </w:p>
        </w:tc>
        <w:tc>
          <w:tcPr>
            <w:tcW w:w="960" w:type="dxa"/>
            <w:vAlign w:val="bottom"/>
          </w:tcPr>
          <w:p w14:paraId="69A40AB8"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32,7</w:t>
            </w:r>
          </w:p>
        </w:tc>
        <w:tc>
          <w:tcPr>
            <w:tcW w:w="991" w:type="dxa"/>
            <w:vAlign w:val="bottom"/>
          </w:tcPr>
          <w:p w14:paraId="553C2862"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66,4</w:t>
            </w:r>
          </w:p>
        </w:tc>
        <w:tc>
          <w:tcPr>
            <w:tcW w:w="960" w:type="dxa"/>
            <w:vAlign w:val="bottom"/>
          </w:tcPr>
          <w:p w14:paraId="7FE614E2"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3,6</w:t>
            </w:r>
          </w:p>
        </w:tc>
      </w:tr>
      <w:tr w:rsidR="00A41B49" w:rsidRPr="00A41B49" w14:paraId="0451C848" w14:textId="77777777" w:rsidTr="009C31D4">
        <w:trPr>
          <w:jc w:val="center"/>
        </w:trPr>
        <w:tc>
          <w:tcPr>
            <w:tcW w:w="2076" w:type="dxa"/>
            <w:vAlign w:val="center"/>
          </w:tcPr>
          <w:p w14:paraId="254EB292" w14:textId="77777777" w:rsidR="009C31D4" w:rsidRPr="00A41B49" w:rsidRDefault="009C31D4"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Чернівецька</w:t>
            </w:r>
          </w:p>
        </w:tc>
        <w:tc>
          <w:tcPr>
            <w:tcW w:w="876" w:type="dxa"/>
            <w:vAlign w:val="center"/>
          </w:tcPr>
          <w:p w14:paraId="57254422"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7,8</w:t>
            </w:r>
          </w:p>
        </w:tc>
        <w:tc>
          <w:tcPr>
            <w:tcW w:w="636" w:type="dxa"/>
            <w:vAlign w:val="center"/>
          </w:tcPr>
          <w:p w14:paraId="4BB3B5ED"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12,3</w:t>
            </w:r>
          </w:p>
        </w:tc>
        <w:tc>
          <w:tcPr>
            <w:tcW w:w="996" w:type="dxa"/>
            <w:vAlign w:val="center"/>
          </w:tcPr>
          <w:p w14:paraId="48571C50"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12,3</w:t>
            </w:r>
          </w:p>
        </w:tc>
        <w:tc>
          <w:tcPr>
            <w:tcW w:w="960" w:type="dxa"/>
            <w:vAlign w:val="center"/>
          </w:tcPr>
          <w:p w14:paraId="50E61363"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18,5</w:t>
            </w:r>
          </w:p>
        </w:tc>
        <w:tc>
          <w:tcPr>
            <w:tcW w:w="1116" w:type="dxa"/>
            <w:vAlign w:val="bottom"/>
          </w:tcPr>
          <w:p w14:paraId="25828D24"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10,05</w:t>
            </w:r>
          </w:p>
        </w:tc>
        <w:tc>
          <w:tcPr>
            <w:tcW w:w="960" w:type="dxa"/>
            <w:vAlign w:val="bottom"/>
          </w:tcPr>
          <w:p w14:paraId="1C6D5F31"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15,4</w:t>
            </w:r>
          </w:p>
        </w:tc>
        <w:tc>
          <w:tcPr>
            <w:tcW w:w="991" w:type="dxa"/>
            <w:vAlign w:val="bottom"/>
          </w:tcPr>
          <w:p w14:paraId="2AE9AEB9"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4,5</w:t>
            </w:r>
          </w:p>
        </w:tc>
        <w:tc>
          <w:tcPr>
            <w:tcW w:w="960" w:type="dxa"/>
            <w:vAlign w:val="bottom"/>
          </w:tcPr>
          <w:p w14:paraId="61E0B377"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6,2</w:t>
            </w:r>
          </w:p>
        </w:tc>
      </w:tr>
      <w:tr w:rsidR="00A41B49" w:rsidRPr="00A41B49" w14:paraId="5B7C4ADD" w14:textId="77777777" w:rsidTr="009C31D4">
        <w:trPr>
          <w:jc w:val="center"/>
        </w:trPr>
        <w:tc>
          <w:tcPr>
            <w:tcW w:w="2076" w:type="dxa"/>
            <w:vAlign w:val="center"/>
          </w:tcPr>
          <w:p w14:paraId="507D22C9" w14:textId="77777777" w:rsidR="009C31D4" w:rsidRPr="00A41B49" w:rsidRDefault="009C31D4"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Чернігівська</w:t>
            </w:r>
          </w:p>
        </w:tc>
        <w:tc>
          <w:tcPr>
            <w:tcW w:w="876" w:type="dxa"/>
            <w:vAlign w:val="center"/>
          </w:tcPr>
          <w:p w14:paraId="6BAC4E6F"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89,8</w:t>
            </w:r>
          </w:p>
        </w:tc>
        <w:tc>
          <w:tcPr>
            <w:tcW w:w="636" w:type="dxa"/>
            <w:vAlign w:val="center"/>
          </w:tcPr>
          <w:p w14:paraId="4C49FB39"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16,7</w:t>
            </w:r>
          </w:p>
        </w:tc>
        <w:tc>
          <w:tcPr>
            <w:tcW w:w="996" w:type="dxa"/>
            <w:vAlign w:val="center"/>
          </w:tcPr>
          <w:p w14:paraId="4D37A022"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78,5</w:t>
            </w:r>
          </w:p>
        </w:tc>
        <w:tc>
          <w:tcPr>
            <w:tcW w:w="960" w:type="dxa"/>
            <w:vAlign w:val="center"/>
          </w:tcPr>
          <w:p w14:paraId="6A071DCD"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12,1</w:t>
            </w:r>
          </w:p>
        </w:tc>
        <w:tc>
          <w:tcPr>
            <w:tcW w:w="1116" w:type="dxa"/>
            <w:vAlign w:val="bottom"/>
          </w:tcPr>
          <w:p w14:paraId="2E0F3F6E"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84,15</w:t>
            </w:r>
          </w:p>
        </w:tc>
        <w:tc>
          <w:tcPr>
            <w:tcW w:w="960" w:type="dxa"/>
            <w:vAlign w:val="bottom"/>
          </w:tcPr>
          <w:p w14:paraId="1A011F67"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14,4</w:t>
            </w:r>
          </w:p>
        </w:tc>
        <w:tc>
          <w:tcPr>
            <w:tcW w:w="991" w:type="dxa"/>
            <w:vAlign w:val="bottom"/>
          </w:tcPr>
          <w:p w14:paraId="381E6DFD"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-11,3</w:t>
            </w:r>
          </w:p>
        </w:tc>
        <w:tc>
          <w:tcPr>
            <w:tcW w:w="960" w:type="dxa"/>
            <w:vAlign w:val="bottom"/>
          </w:tcPr>
          <w:p w14:paraId="026E45E6"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-4,6</w:t>
            </w:r>
          </w:p>
        </w:tc>
      </w:tr>
    </w:tbl>
    <w:p w14:paraId="4A50F6F9" w14:textId="77777777" w:rsidR="004F75D0" w:rsidRPr="00A41B49" w:rsidRDefault="004F75D0" w:rsidP="004F75D0">
      <w:pPr>
        <w:spacing w:after="0" w:line="240" w:lineRule="auto"/>
        <w:rPr>
          <w:rFonts w:ascii="Times New Roman" w:hAnsi="Times New Roman" w:cs="Times New Roman"/>
          <w:sz w:val="28"/>
          <w:szCs w:val="28"/>
          <w:lang w:val="uk-UA"/>
        </w:rPr>
      </w:pPr>
      <w:r w:rsidRPr="00A41B49">
        <w:rPr>
          <w:rFonts w:ascii="Times New Roman" w:hAnsi="Times New Roman" w:cs="Times New Roman"/>
          <w:sz w:val="28"/>
          <w:szCs w:val="28"/>
          <w:lang w:val="uk-UA"/>
        </w:rPr>
        <w:lastRenderedPageBreak/>
        <w:t xml:space="preserve">Продовження таблиці </w:t>
      </w:r>
      <w:r w:rsidR="00CE06C3" w:rsidRPr="00A41B49">
        <w:rPr>
          <w:rFonts w:ascii="Times New Roman" w:hAnsi="Times New Roman" w:cs="Times New Roman"/>
          <w:sz w:val="28"/>
          <w:szCs w:val="28"/>
          <w:lang w:val="uk-UA"/>
        </w:rPr>
        <w:t>3.</w:t>
      </w:r>
      <w:r w:rsidRPr="00A41B49">
        <w:rPr>
          <w:rFonts w:ascii="Times New Roman" w:hAnsi="Times New Roman" w:cs="Times New Roman"/>
          <w:sz w:val="28"/>
          <w:szCs w:val="28"/>
          <w:lang w:val="uk-UA"/>
        </w:rPr>
        <w:t>5</w:t>
      </w:r>
    </w:p>
    <w:tbl>
      <w:tblPr>
        <w:tblStyle w:val="a3"/>
        <w:tblW w:w="0" w:type="auto"/>
        <w:jc w:val="center"/>
        <w:tblLook w:val="04A0" w:firstRow="1" w:lastRow="0" w:firstColumn="1" w:lastColumn="0" w:noHBand="0" w:noVBand="1"/>
      </w:tblPr>
      <w:tblGrid>
        <w:gridCol w:w="2076"/>
        <w:gridCol w:w="876"/>
        <w:gridCol w:w="636"/>
        <w:gridCol w:w="996"/>
        <w:gridCol w:w="960"/>
        <w:gridCol w:w="1116"/>
        <w:gridCol w:w="960"/>
        <w:gridCol w:w="991"/>
        <w:gridCol w:w="960"/>
      </w:tblGrid>
      <w:tr w:rsidR="00A41B49" w:rsidRPr="00A41B49" w14:paraId="370E81A6" w14:textId="77777777" w:rsidTr="003E0B06">
        <w:trPr>
          <w:jc w:val="center"/>
        </w:trPr>
        <w:tc>
          <w:tcPr>
            <w:tcW w:w="2076" w:type="dxa"/>
            <w:vAlign w:val="center"/>
          </w:tcPr>
          <w:p w14:paraId="1F1F9483" w14:textId="77777777" w:rsidR="004F75D0" w:rsidRPr="00A41B49" w:rsidRDefault="004F75D0"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1</w:t>
            </w:r>
          </w:p>
        </w:tc>
        <w:tc>
          <w:tcPr>
            <w:tcW w:w="876" w:type="dxa"/>
            <w:vAlign w:val="center"/>
          </w:tcPr>
          <w:p w14:paraId="19912834" w14:textId="77777777" w:rsidR="004F75D0" w:rsidRPr="00A41B49" w:rsidRDefault="004F75D0"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2</w:t>
            </w:r>
          </w:p>
        </w:tc>
        <w:tc>
          <w:tcPr>
            <w:tcW w:w="636" w:type="dxa"/>
            <w:vAlign w:val="center"/>
          </w:tcPr>
          <w:p w14:paraId="70C018B9" w14:textId="77777777" w:rsidR="004F75D0" w:rsidRPr="00A41B49" w:rsidRDefault="004F75D0"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3</w:t>
            </w:r>
          </w:p>
        </w:tc>
        <w:tc>
          <w:tcPr>
            <w:tcW w:w="996" w:type="dxa"/>
            <w:vAlign w:val="center"/>
          </w:tcPr>
          <w:p w14:paraId="14815623" w14:textId="77777777" w:rsidR="004F75D0" w:rsidRPr="00A41B49" w:rsidRDefault="004F75D0"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4</w:t>
            </w:r>
          </w:p>
        </w:tc>
        <w:tc>
          <w:tcPr>
            <w:tcW w:w="960" w:type="dxa"/>
            <w:vAlign w:val="center"/>
          </w:tcPr>
          <w:p w14:paraId="40D249F7" w14:textId="77777777" w:rsidR="004F75D0" w:rsidRPr="00A41B49" w:rsidRDefault="004F75D0"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5</w:t>
            </w:r>
          </w:p>
        </w:tc>
        <w:tc>
          <w:tcPr>
            <w:tcW w:w="1116" w:type="dxa"/>
            <w:vAlign w:val="center"/>
          </w:tcPr>
          <w:p w14:paraId="5E6C6CFC" w14:textId="77777777" w:rsidR="004F75D0" w:rsidRPr="00A41B49" w:rsidRDefault="004F75D0"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6</w:t>
            </w:r>
          </w:p>
        </w:tc>
        <w:tc>
          <w:tcPr>
            <w:tcW w:w="960" w:type="dxa"/>
            <w:vAlign w:val="center"/>
          </w:tcPr>
          <w:p w14:paraId="009DDABD" w14:textId="77777777" w:rsidR="004F75D0" w:rsidRPr="00A41B49" w:rsidRDefault="004F75D0"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7</w:t>
            </w:r>
          </w:p>
        </w:tc>
        <w:tc>
          <w:tcPr>
            <w:tcW w:w="991" w:type="dxa"/>
            <w:vAlign w:val="center"/>
          </w:tcPr>
          <w:p w14:paraId="42DD3A4F" w14:textId="77777777" w:rsidR="004F75D0" w:rsidRPr="00A41B49" w:rsidRDefault="004F75D0"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8</w:t>
            </w:r>
          </w:p>
        </w:tc>
        <w:tc>
          <w:tcPr>
            <w:tcW w:w="960" w:type="dxa"/>
            <w:vAlign w:val="center"/>
          </w:tcPr>
          <w:p w14:paraId="3C12C4A3" w14:textId="77777777" w:rsidR="004F75D0" w:rsidRPr="00A41B49" w:rsidRDefault="004F75D0" w:rsidP="003E0B06">
            <w:pPr>
              <w:jc w:val="center"/>
              <w:rPr>
                <w:rFonts w:ascii="Times New Roman" w:hAnsi="Times New Roman" w:cs="Times New Roman"/>
                <w:i/>
                <w:sz w:val="24"/>
                <w:szCs w:val="24"/>
                <w:lang w:val="uk-UA"/>
              </w:rPr>
            </w:pPr>
            <w:r w:rsidRPr="00A41B49">
              <w:rPr>
                <w:rFonts w:ascii="Times New Roman" w:hAnsi="Times New Roman" w:cs="Times New Roman"/>
                <w:i/>
                <w:sz w:val="24"/>
                <w:szCs w:val="24"/>
                <w:lang w:val="uk-UA"/>
              </w:rPr>
              <w:t>9</w:t>
            </w:r>
          </w:p>
        </w:tc>
      </w:tr>
      <w:tr w:rsidR="00A41B49" w:rsidRPr="00A41B49" w14:paraId="04BEE908" w14:textId="77777777" w:rsidTr="009C31D4">
        <w:trPr>
          <w:jc w:val="center"/>
        </w:trPr>
        <w:tc>
          <w:tcPr>
            <w:tcW w:w="2076" w:type="dxa"/>
            <w:vAlign w:val="center"/>
          </w:tcPr>
          <w:p w14:paraId="42908E61" w14:textId="77777777" w:rsidR="009C31D4" w:rsidRPr="00A41B49" w:rsidRDefault="009C31D4"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м. Київ</w:t>
            </w:r>
          </w:p>
        </w:tc>
        <w:tc>
          <w:tcPr>
            <w:tcW w:w="876" w:type="dxa"/>
            <w:vAlign w:val="center"/>
          </w:tcPr>
          <w:p w14:paraId="3EB2E73F"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6899,7</w:t>
            </w:r>
          </w:p>
        </w:tc>
        <w:tc>
          <w:tcPr>
            <w:tcW w:w="636" w:type="dxa"/>
            <w:vAlign w:val="center"/>
          </w:tcPr>
          <w:p w14:paraId="705E24B7"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30,2</w:t>
            </w:r>
          </w:p>
        </w:tc>
        <w:tc>
          <w:tcPr>
            <w:tcW w:w="996" w:type="dxa"/>
            <w:vAlign w:val="center"/>
          </w:tcPr>
          <w:p w14:paraId="66B36F99"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7014,6</w:t>
            </w:r>
          </w:p>
        </w:tc>
        <w:tc>
          <w:tcPr>
            <w:tcW w:w="960" w:type="dxa"/>
            <w:vAlign w:val="center"/>
          </w:tcPr>
          <w:p w14:paraId="0CCD28D0"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36,3</w:t>
            </w:r>
          </w:p>
        </w:tc>
        <w:tc>
          <w:tcPr>
            <w:tcW w:w="1116" w:type="dxa"/>
            <w:vAlign w:val="bottom"/>
          </w:tcPr>
          <w:p w14:paraId="35A35A14"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6957,15</w:t>
            </w:r>
          </w:p>
        </w:tc>
        <w:tc>
          <w:tcPr>
            <w:tcW w:w="960" w:type="dxa"/>
            <w:vAlign w:val="bottom"/>
          </w:tcPr>
          <w:p w14:paraId="56C372AD"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33,3</w:t>
            </w:r>
          </w:p>
        </w:tc>
        <w:tc>
          <w:tcPr>
            <w:tcW w:w="991" w:type="dxa"/>
            <w:vAlign w:val="bottom"/>
          </w:tcPr>
          <w:p w14:paraId="231346A5"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114,9</w:t>
            </w:r>
          </w:p>
        </w:tc>
        <w:tc>
          <w:tcPr>
            <w:tcW w:w="960" w:type="dxa"/>
            <w:vAlign w:val="bottom"/>
          </w:tcPr>
          <w:p w14:paraId="3589DBB8"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6,1</w:t>
            </w:r>
          </w:p>
        </w:tc>
      </w:tr>
      <w:tr w:rsidR="00A41B49" w:rsidRPr="00A41B49" w14:paraId="7AEAD03C" w14:textId="77777777" w:rsidTr="009C31D4">
        <w:trPr>
          <w:jc w:val="center"/>
        </w:trPr>
        <w:tc>
          <w:tcPr>
            <w:tcW w:w="2076" w:type="dxa"/>
            <w:vAlign w:val="center"/>
          </w:tcPr>
          <w:p w14:paraId="2AFE7A73" w14:textId="77777777" w:rsidR="009C31D4" w:rsidRPr="00A41B49" w:rsidRDefault="009C31D4" w:rsidP="00BE06D6">
            <w:pPr>
              <w:rPr>
                <w:rFonts w:ascii="Times New Roman" w:hAnsi="Times New Roman" w:cs="Times New Roman"/>
                <w:iCs/>
                <w:sz w:val="24"/>
                <w:szCs w:val="24"/>
                <w:lang w:val="uk-UA"/>
              </w:rPr>
            </w:pPr>
            <w:r w:rsidRPr="00A41B49">
              <w:rPr>
                <w:rFonts w:ascii="Times New Roman" w:hAnsi="Times New Roman" w:cs="Times New Roman"/>
                <w:iCs/>
                <w:sz w:val="24"/>
                <w:szCs w:val="24"/>
                <w:lang w:val="uk-UA"/>
              </w:rPr>
              <w:t>Нерозподілено за регіонами</w:t>
            </w:r>
          </w:p>
        </w:tc>
        <w:tc>
          <w:tcPr>
            <w:tcW w:w="876" w:type="dxa"/>
            <w:vAlign w:val="center"/>
          </w:tcPr>
          <w:p w14:paraId="7FAC5D7F"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w:t>
            </w:r>
          </w:p>
        </w:tc>
        <w:tc>
          <w:tcPr>
            <w:tcW w:w="636" w:type="dxa"/>
            <w:vAlign w:val="center"/>
          </w:tcPr>
          <w:p w14:paraId="128BDB88"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0,2</w:t>
            </w:r>
          </w:p>
        </w:tc>
        <w:tc>
          <w:tcPr>
            <w:tcW w:w="996" w:type="dxa"/>
            <w:vAlign w:val="center"/>
          </w:tcPr>
          <w:p w14:paraId="1A71B6C4"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18,2</w:t>
            </w:r>
          </w:p>
        </w:tc>
        <w:tc>
          <w:tcPr>
            <w:tcW w:w="960" w:type="dxa"/>
            <w:vAlign w:val="center"/>
          </w:tcPr>
          <w:p w14:paraId="177D4630"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0,6</w:t>
            </w:r>
          </w:p>
        </w:tc>
        <w:tc>
          <w:tcPr>
            <w:tcW w:w="1116" w:type="dxa"/>
            <w:vAlign w:val="bottom"/>
          </w:tcPr>
          <w:p w14:paraId="3BFA4FC4"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11,6</w:t>
            </w:r>
          </w:p>
        </w:tc>
        <w:tc>
          <w:tcPr>
            <w:tcW w:w="960" w:type="dxa"/>
            <w:vAlign w:val="bottom"/>
          </w:tcPr>
          <w:p w14:paraId="0CD2F21D"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0,4</w:t>
            </w:r>
          </w:p>
        </w:tc>
        <w:tc>
          <w:tcPr>
            <w:tcW w:w="991" w:type="dxa"/>
            <w:vAlign w:val="bottom"/>
          </w:tcPr>
          <w:p w14:paraId="139F0932"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13,2</w:t>
            </w:r>
          </w:p>
        </w:tc>
        <w:tc>
          <w:tcPr>
            <w:tcW w:w="960" w:type="dxa"/>
            <w:vAlign w:val="bottom"/>
          </w:tcPr>
          <w:p w14:paraId="573081A7" w14:textId="77777777" w:rsidR="009C31D4" w:rsidRPr="00A41B49" w:rsidRDefault="009C31D4" w:rsidP="009C31D4">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0,4</w:t>
            </w:r>
          </w:p>
        </w:tc>
      </w:tr>
    </w:tbl>
    <w:p w14:paraId="1D439592" w14:textId="77777777" w:rsidR="00434210" w:rsidRPr="00A41B49" w:rsidRDefault="00434210" w:rsidP="00434210">
      <w:pPr>
        <w:spacing w:after="0" w:line="240" w:lineRule="auto"/>
        <w:rPr>
          <w:rFonts w:ascii="Times New Roman" w:hAnsi="Times New Roman" w:cs="Times New Roman"/>
          <w:i/>
          <w:sz w:val="24"/>
          <w:szCs w:val="24"/>
          <w:lang w:val="uk-UA"/>
        </w:rPr>
      </w:pPr>
      <w:r w:rsidRPr="00A41B49">
        <w:rPr>
          <w:rFonts w:ascii="Times New Roman" w:hAnsi="Times New Roman" w:cs="Times New Roman"/>
          <w:i/>
          <w:sz w:val="24"/>
          <w:szCs w:val="24"/>
          <w:lang w:val="uk-UA"/>
        </w:rPr>
        <w:t>Джерело: складено та розраховано автором на основі даних джерела [18]</w:t>
      </w:r>
    </w:p>
    <w:p w14:paraId="44CDBA9C" w14:textId="77777777" w:rsidR="00434210" w:rsidRPr="00A41B49" w:rsidRDefault="00434210" w:rsidP="00434210">
      <w:pPr>
        <w:spacing w:after="0" w:line="240" w:lineRule="auto"/>
        <w:rPr>
          <w:rFonts w:ascii="Times New Roman" w:hAnsi="Times New Roman" w:cs="Times New Roman"/>
          <w:sz w:val="28"/>
          <w:szCs w:val="28"/>
          <w:lang w:val="uk-UA"/>
        </w:rPr>
      </w:pPr>
    </w:p>
    <w:p w14:paraId="237CD1D5" w14:textId="77777777" w:rsidR="00BD42D2" w:rsidRPr="00A41B49" w:rsidRDefault="001D18DD" w:rsidP="00CE58B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Як видно з таблиці </w:t>
      </w:r>
      <w:r w:rsidR="0012064A" w:rsidRPr="00A41B49">
        <w:rPr>
          <w:rFonts w:ascii="Times New Roman" w:hAnsi="Times New Roman" w:cs="Times New Roman"/>
          <w:sz w:val="28"/>
          <w:szCs w:val="28"/>
          <w:lang w:val="uk-UA"/>
        </w:rPr>
        <w:t>3.</w:t>
      </w:r>
      <w:r w:rsidR="00AA4952" w:rsidRPr="00A41B49">
        <w:rPr>
          <w:rFonts w:ascii="Times New Roman" w:hAnsi="Times New Roman" w:cs="Times New Roman"/>
          <w:sz w:val="28"/>
          <w:szCs w:val="28"/>
          <w:lang w:val="uk-UA"/>
        </w:rPr>
        <w:t>5</w:t>
      </w:r>
      <w:r w:rsidRPr="00A41B49">
        <w:rPr>
          <w:rFonts w:ascii="Times New Roman" w:hAnsi="Times New Roman" w:cs="Times New Roman"/>
          <w:sz w:val="28"/>
          <w:szCs w:val="28"/>
          <w:lang w:val="uk-UA"/>
        </w:rPr>
        <w:t xml:space="preserve">, протягом 2020-2022 рр. спостерігалося нарощення обсягів ПІІ </w:t>
      </w:r>
      <w:r w:rsidR="00BB19F2" w:rsidRPr="00A41B49">
        <w:rPr>
          <w:rFonts w:ascii="Times New Roman" w:hAnsi="Times New Roman" w:cs="Times New Roman"/>
          <w:sz w:val="28"/>
          <w:szCs w:val="28"/>
          <w:lang w:val="uk-UA"/>
        </w:rPr>
        <w:t xml:space="preserve">(боргові інструменти) </w:t>
      </w:r>
      <w:r w:rsidR="00BD42D2" w:rsidRPr="00A41B49">
        <w:rPr>
          <w:rFonts w:ascii="Times New Roman" w:hAnsi="Times New Roman" w:cs="Times New Roman"/>
          <w:sz w:val="28"/>
          <w:szCs w:val="28"/>
          <w:lang w:val="uk-UA"/>
        </w:rPr>
        <w:t xml:space="preserve">практично у всіх регіонах України, за виключенням </w:t>
      </w:r>
      <w:r w:rsidR="0042629C" w:rsidRPr="00A41B49">
        <w:rPr>
          <w:rFonts w:ascii="Times New Roman" w:hAnsi="Times New Roman" w:cs="Times New Roman"/>
          <w:sz w:val="28"/>
          <w:szCs w:val="28"/>
          <w:lang w:val="uk-UA"/>
        </w:rPr>
        <w:t xml:space="preserve">Київської, </w:t>
      </w:r>
      <w:r w:rsidR="00BD42D2" w:rsidRPr="00A41B49">
        <w:rPr>
          <w:rFonts w:ascii="Times New Roman" w:hAnsi="Times New Roman" w:cs="Times New Roman"/>
          <w:sz w:val="28"/>
          <w:szCs w:val="28"/>
          <w:lang w:val="uk-UA"/>
        </w:rPr>
        <w:t>Одеськ</w:t>
      </w:r>
      <w:r w:rsidR="0042629C" w:rsidRPr="00A41B49">
        <w:rPr>
          <w:rFonts w:ascii="Times New Roman" w:hAnsi="Times New Roman" w:cs="Times New Roman"/>
          <w:sz w:val="28"/>
          <w:szCs w:val="28"/>
          <w:lang w:val="uk-UA"/>
        </w:rPr>
        <w:t xml:space="preserve">ої, </w:t>
      </w:r>
      <w:r w:rsidR="00BD42D2" w:rsidRPr="00A41B49">
        <w:rPr>
          <w:rFonts w:ascii="Times New Roman" w:hAnsi="Times New Roman" w:cs="Times New Roman"/>
          <w:sz w:val="28"/>
          <w:szCs w:val="28"/>
          <w:lang w:val="uk-UA"/>
        </w:rPr>
        <w:t>Полтавськ</w:t>
      </w:r>
      <w:r w:rsidR="0042629C" w:rsidRPr="00A41B49">
        <w:rPr>
          <w:rFonts w:ascii="Times New Roman" w:hAnsi="Times New Roman" w:cs="Times New Roman"/>
          <w:sz w:val="28"/>
          <w:szCs w:val="28"/>
          <w:lang w:val="uk-UA"/>
        </w:rPr>
        <w:t xml:space="preserve">ої, </w:t>
      </w:r>
      <w:r w:rsidR="00BD42D2" w:rsidRPr="00A41B49">
        <w:rPr>
          <w:rFonts w:ascii="Times New Roman" w:hAnsi="Times New Roman" w:cs="Times New Roman"/>
          <w:sz w:val="28"/>
          <w:szCs w:val="28"/>
          <w:lang w:val="uk-UA"/>
        </w:rPr>
        <w:t>Рівненськ</w:t>
      </w:r>
      <w:r w:rsidR="0042629C" w:rsidRPr="00A41B49">
        <w:rPr>
          <w:rFonts w:ascii="Times New Roman" w:hAnsi="Times New Roman" w:cs="Times New Roman"/>
          <w:sz w:val="28"/>
          <w:szCs w:val="28"/>
          <w:lang w:val="uk-UA"/>
        </w:rPr>
        <w:t xml:space="preserve">ої, </w:t>
      </w:r>
      <w:r w:rsidR="00BD42D2" w:rsidRPr="00A41B49">
        <w:rPr>
          <w:rFonts w:ascii="Times New Roman" w:hAnsi="Times New Roman" w:cs="Times New Roman"/>
          <w:sz w:val="28"/>
          <w:szCs w:val="28"/>
          <w:lang w:val="uk-UA"/>
        </w:rPr>
        <w:t>Сумськ</w:t>
      </w:r>
      <w:r w:rsidR="0042629C" w:rsidRPr="00A41B49">
        <w:rPr>
          <w:rFonts w:ascii="Times New Roman" w:hAnsi="Times New Roman" w:cs="Times New Roman"/>
          <w:sz w:val="28"/>
          <w:szCs w:val="28"/>
          <w:lang w:val="uk-UA"/>
        </w:rPr>
        <w:t>ої, Хмельницької, Чернігівської областей, де протягом періоду, що аналізується, спостерігалося зменшення ПІІ у вигляді боргових інструментів</w:t>
      </w:r>
      <w:r w:rsidR="00B763CA" w:rsidRPr="00A41B49">
        <w:rPr>
          <w:rFonts w:ascii="Times New Roman" w:hAnsi="Times New Roman" w:cs="Times New Roman"/>
          <w:sz w:val="28"/>
          <w:szCs w:val="28"/>
          <w:lang w:val="uk-UA"/>
        </w:rPr>
        <w:t>.</w:t>
      </w:r>
      <w:r w:rsidR="0042629C" w:rsidRPr="00A41B49">
        <w:rPr>
          <w:rFonts w:ascii="Times New Roman" w:hAnsi="Times New Roman" w:cs="Times New Roman"/>
          <w:sz w:val="28"/>
          <w:szCs w:val="28"/>
          <w:lang w:val="uk-UA"/>
        </w:rPr>
        <w:t xml:space="preserve"> </w:t>
      </w:r>
    </w:p>
    <w:p w14:paraId="068AA615" w14:textId="77777777" w:rsidR="00CE58B8" w:rsidRPr="00A41B49" w:rsidRDefault="00B763CA" w:rsidP="00F95766">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У 2020-2022 рр. спостерігалося зменшення частки ПІІ у вигляді боргових інструментів в</w:t>
      </w:r>
      <w:r w:rsidR="000E40A1" w:rsidRPr="00A41B49">
        <w:rPr>
          <w:rFonts w:ascii="Times New Roman" w:hAnsi="Times New Roman" w:cs="Times New Roman"/>
          <w:sz w:val="28"/>
          <w:szCs w:val="28"/>
          <w:lang w:val="uk-UA"/>
        </w:rPr>
        <w:t xml:space="preserve"> структурі ПІІ </w:t>
      </w:r>
      <w:r w:rsidRPr="00A41B49">
        <w:rPr>
          <w:rFonts w:ascii="Times New Roman" w:hAnsi="Times New Roman" w:cs="Times New Roman"/>
          <w:sz w:val="28"/>
          <w:szCs w:val="28"/>
          <w:lang w:val="uk-UA"/>
        </w:rPr>
        <w:t xml:space="preserve"> таких регіон</w:t>
      </w:r>
      <w:r w:rsidR="000E40A1" w:rsidRPr="00A41B49">
        <w:rPr>
          <w:rFonts w:ascii="Times New Roman" w:hAnsi="Times New Roman" w:cs="Times New Roman"/>
          <w:sz w:val="28"/>
          <w:szCs w:val="28"/>
          <w:lang w:val="uk-UA"/>
        </w:rPr>
        <w:t>ів</w:t>
      </w:r>
      <w:r w:rsidRPr="00A41B49">
        <w:rPr>
          <w:rFonts w:ascii="Times New Roman" w:hAnsi="Times New Roman" w:cs="Times New Roman"/>
          <w:sz w:val="28"/>
          <w:szCs w:val="28"/>
          <w:lang w:val="uk-UA"/>
        </w:rPr>
        <w:t xml:space="preserve"> України: </w:t>
      </w:r>
      <w:r w:rsidR="000E40A1" w:rsidRPr="00A41B49">
        <w:rPr>
          <w:rFonts w:ascii="Times New Roman" w:hAnsi="Times New Roman" w:cs="Times New Roman"/>
          <w:sz w:val="28"/>
          <w:szCs w:val="28"/>
          <w:lang w:val="uk-UA"/>
        </w:rPr>
        <w:t xml:space="preserve">Вінницька, </w:t>
      </w:r>
      <w:r w:rsidR="000E40A1" w:rsidRPr="00A41B49">
        <w:rPr>
          <w:rFonts w:ascii="Times New Roman" w:hAnsi="Times New Roman" w:cs="Times New Roman"/>
          <w:iCs/>
          <w:sz w:val="28"/>
          <w:szCs w:val="28"/>
          <w:lang w:val="uk-UA"/>
        </w:rPr>
        <w:t xml:space="preserve">Дніпропетровська, Закарпатська, Київська, Одеська, Полтавська, Сумська, Хмельницька, </w:t>
      </w:r>
      <w:r w:rsidR="00FA4960" w:rsidRPr="00A41B49">
        <w:rPr>
          <w:rFonts w:ascii="Times New Roman" w:hAnsi="Times New Roman" w:cs="Times New Roman"/>
          <w:iCs/>
          <w:sz w:val="28"/>
          <w:szCs w:val="28"/>
          <w:lang w:val="uk-UA"/>
        </w:rPr>
        <w:t xml:space="preserve">Чернігівська області; збільшення: </w:t>
      </w:r>
      <w:r w:rsidR="00BB19F2" w:rsidRPr="00A41B49">
        <w:rPr>
          <w:rFonts w:ascii="Times New Roman" w:hAnsi="Times New Roman" w:cs="Times New Roman"/>
          <w:sz w:val="28"/>
          <w:szCs w:val="28"/>
          <w:lang w:val="uk-UA"/>
        </w:rPr>
        <w:t>Волинськ</w:t>
      </w:r>
      <w:r w:rsidRPr="00A41B49">
        <w:rPr>
          <w:rFonts w:ascii="Times New Roman" w:hAnsi="Times New Roman" w:cs="Times New Roman"/>
          <w:sz w:val="28"/>
          <w:szCs w:val="28"/>
          <w:lang w:val="uk-UA"/>
        </w:rPr>
        <w:t>а</w:t>
      </w:r>
      <w:r w:rsidR="00BB19F2" w:rsidRPr="00A41B49">
        <w:rPr>
          <w:rFonts w:ascii="Times New Roman" w:hAnsi="Times New Roman" w:cs="Times New Roman"/>
          <w:sz w:val="28"/>
          <w:szCs w:val="28"/>
          <w:lang w:val="uk-UA"/>
        </w:rPr>
        <w:t>, Житомирськ</w:t>
      </w:r>
      <w:r w:rsidRPr="00A41B49">
        <w:rPr>
          <w:rFonts w:ascii="Times New Roman" w:hAnsi="Times New Roman" w:cs="Times New Roman"/>
          <w:sz w:val="28"/>
          <w:szCs w:val="28"/>
          <w:lang w:val="uk-UA"/>
        </w:rPr>
        <w:t>а</w:t>
      </w:r>
      <w:r w:rsidR="00CE58B8" w:rsidRPr="00A41B49">
        <w:rPr>
          <w:rFonts w:ascii="Times New Roman" w:hAnsi="Times New Roman" w:cs="Times New Roman"/>
          <w:sz w:val="28"/>
          <w:szCs w:val="28"/>
          <w:lang w:val="uk-UA"/>
        </w:rPr>
        <w:t xml:space="preserve">, </w:t>
      </w:r>
      <w:r w:rsidR="00BB19F2" w:rsidRPr="00A41B49">
        <w:rPr>
          <w:rFonts w:ascii="Times New Roman" w:hAnsi="Times New Roman" w:cs="Times New Roman"/>
          <w:sz w:val="28"/>
          <w:szCs w:val="28"/>
          <w:lang w:val="uk-UA"/>
        </w:rPr>
        <w:t>Запорізьк</w:t>
      </w:r>
      <w:r w:rsidRPr="00A41B49">
        <w:rPr>
          <w:rFonts w:ascii="Times New Roman" w:hAnsi="Times New Roman" w:cs="Times New Roman"/>
          <w:sz w:val="28"/>
          <w:szCs w:val="28"/>
          <w:lang w:val="uk-UA"/>
        </w:rPr>
        <w:t>а</w:t>
      </w:r>
      <w:r w:rsidR="00CE58B8" w:rsidRPr="00A41B49">
        <w:rPr>
          <w:rFonts w:ascii="Times New Roman" w:hAnsi="Times New Roman" w:cs="Times New Roman"/>
          <w:sz w:val="28"/>
          <w:szCs w:val="28"/>
          <w:lang w:val="uk-UA"/>
        </w:rPr>
        <w:t xml:space="preserve">, </w:t>
      </w:r>
      <w:r w:rsidR="00BB19F2" w:rsidRPr="00A41B49">
        <w:rPr>
          <w:rFonts w:ascii="Times New Roman" w:hAnsi="Times New Roman" w:cs="Times New Roman"/>
          <w:sz w:val="28"/>
          <w:szCs w:val="28"/>
          <w:lang w:val="uk-UA"/>
        </w:rPr>
        <w:t>Івано-Франківськ</w:t>
      </w:r>
      <w:r w:rsidRPr="00A41B49">
        <w:rPr>
          <w:rFonts w:ascii="Times New Roman" w:hAnsi="Times New Roman" w:cs="Times New Roman"/>
          <w:sz w:val="28"/>
          <w:szCs w:val="28"/>
          <w:lang w:val="uk-UA"/>
        </w:rPr>
        <w:t>а</w:t>
      </w:r>
      <w:r w:rsidR="00CE58B8" w:rsidRPr="00A41B49">
        <w:rPr>
          <w:rFonts w:ascii="Times New Roman" w:hAnsi="Times New Roman" w:cs="Times New Roman"/>
          <w:sz w:val="28"/>
          <w:szCs w:val="28"/>
          <w:lang w:val="uk-UA"/>
        </w:rPr>
        <w:t>, Кіровоградськ</w:t>
      </w:r>
      <w:r w:rsidRPr="00A41B49">
        <w:rPr>
          <w:rFonts w:ascii="Times New Roman" w:hAnsi="Times New Roman" w:cs="Times New Roman"/>
          <w:sz w:val="28"/>
          <w:szCs w:val="28"/>
          <w:lang w:val="uk-UA"/>
        </w:rPr>
        <w:t>а</w:t>
      </w:r>
      <w:r w:rsidR="00CE58B8" w:rsidRPr="00A41B49">
        <w:rPr>
          <w:rFonts w:ascii="Times New Roman" w:hAnsi="Times New Roman" w:cs="Times New Roman"/>
          <w:sz w:val="28"/>
          <w:szCs w:val="28"/>
          <w:lang w:val="uk-UA"/>
        </w:rPr>
        <w:t>, Львівськ</w:t>
      </w:r>
      <w:r w:rsidRPr="00A41B49">
        <w:rPr>
          <w:rFonts w:ascii="Times New Roman" w:hAnsi="Times New Roman" w:cs="Times New Roman"/>
          <w:sz w:val="28"/>
          <w:szCs w:val="28"/>
          <w:lang w:val="uk-UA"/>
        </w:rPr>
        <w:t>а</w:t>
      </w:r>
      <w:r w:rsidR="00CE58B8" w:rsidRPr="00A41B49">
        <w:rPr>
          <w:rFonts w:ascii="Times New Roman" w:hAnsi="Times New Roman" w:cs="Times New Roman"/>
          <w:sz w:val="28"/>
          <w:szCs w:val="28"/>
          <w:lang w:val="uk-UA"/>
        </w:rPr>
        <w:t>, Миколаївськ</w:t>
      </w:r>
      <w:r w:rsidRPr="00A41B49">
        <w:rPr>
          <w:rFonts w:ascii="Times New Roman" w:hAnsi="Times New Roman" w:cs="Times New Roman"/>
          <w:sz w:val="28"/>
          <w:szCs w:val="28"/>
          <w:lang w:val="uk-UA"/>
        </w:rPr>
        <w:t>а</w:t>
      </w:r>
      <w:r w:rsidR="00CE58B8" w:rsidRPr="00A41B49">
        <w:rPr>
          <w:rFonts w:ascii="Times New Roman" w:hAnsi="Times New Roman" w:cs="Times New Roman"/>
          <w:sz w:val="28"/>
          <w:szCs w:val="28"/>
          <w:lang w:val="uk-UA"/>
        </w:rPr>
        <w:t>, Рівненськ</w:t>
      </w:r>
      <w:r w:rsidRPr="00A41B49">
        <w:rPr>
          <w:rFonts w:ascii="Times New Roman" w:hAnsi="Times New Roman" w:cs="Times New Roman"/>
          <w:sz w:val="28"/>
          <w:szCs w:val="28"/>
          <w:lang w:val="uk-UA"/>
        </w:rPr>
        <w:t>а</w:t>
      </w:r>
      <w:r w:rsidR="00CE58B8" w:rsidRPr="00A41B49">
        <w:rPr>
          <w:rFonts w:ascii="Times New Roman" w:hAnsi="Times New Roman" w:cs="Times New Roman"/>
          <w:sz w:val="28"/>
          <w:szCs w:val="28"/>
          <w:lang w:val="uk-UA"/>
        </w:rPr>
        <w:t>, Тернопільськ</w:t>
      </w:r>
      <w:r w:rsidRPr="00A41B49">
        <w:rPr>
          <w:rFonts w:ascii="Times New Roman" w:hAnsi="Times New Roman" w:cs="Times New Roman"/>
          <w:sz w:val="28"/>
          <w:szCs w:val="28"/>
          <w:lang w:val="uk-UA"/>
        </w:rPr>
        <w:t>а</w:t>
      </w:r>
      <w:r w:rsidR="00CE58B8" w:rsidRPr="00A41B49">
        <w:rPr>
          <w:rFonts w:ascii="Times New Roman" w:hAnsi="Times New Roman" w:cs="Times New Roman"/>
          <w:sz w:val="28"/>
          <w:szCs w:val="28"/>
          <w:lang w:val="uk-UA"/>
        </w:rPr>
        <w:t>, Харківськ</w:t>
      </w:r>
      <w:r w:rsidRPr="00A41B49">
        <w:rPr>
          <w:rFonts w:ascii="Times New Roman" w:hAnsi="Times New Roman" w:cs="Times New Roman"/>
          <w:sz w:val="28"/>
          <w:szCs w:val="28"/>
          <w:lang w:val="uk-UA"/>
        </w:rPr>
        <w:t>а</w:t>
      </w:r>
      <w:r w:rsidR="00CE58B8" w:rsidRPr="00A41B49">
        <w:rPr>
          <w:rFonts w:ascii="Times New Roman" w:hAnsi="Times New Roman" w:cs="Times New Roman"/>
          <w:sz w:val="28"/>
          <w:szCs w:val="28"/>
          <w:lang w:val="uk-UA"/>
        </w:rPr>
        <w:t>, Черкаськ</w:t>
      </w:r>
      <w:r w:rsidRPr="00A41B49">
        <w:rPr>
          <w:rFonts w:ascii="Times New Roman" w:hAnsi="Times New Roman" w:cs="Times New Roman"/>
          <w:sz w:val="28"/>
          <w:szCs w:val="28"/>
          <w:lang w:val="uk-UA"/>
        </w:rPr>
        <w:t>а</w:t>
      </w:r>
      <w:r w:rsidR="00CE58B8" w:rsidRPr="00A41B49">
        <w:rPr>
          <w:rFonts w:ascii="Times New Roman" w:hAnsi="Times New Roman" w:cs="Times New Roman"/>
          <w:sz w:val="28"/>
          <w:szCs w:val="28"/>
          <w:lang w:val="uk-UA"/>
        </w:rPr>
        <w:t>, Чернівецьк</w:t>
      </w:r>
      <w:r w:rsidRPr="00A41B49">
        <w:rPr>
          <w:rFonts w:ascii="Times New Roman" w:hAnsi="Times New Roman" w:cs="Times New Roman"/>
          <w:sz w:val="28"/>
          <w:szCs w:val="28"/>
          <w:lang w:val="uk-UA"/>
        </w:rPr>
        <w:t>а</w:t>
      </w:r>
      <w:r w:rsidR="00CE58B8" w:rsidRPr="00A41B49">
        <w:rPr>
          <w:rFonts w:ascii="Times New Roman" w:hAnsi="Times New Roman" w:cs="Times New Roman"/>
          <w:sz w:val="28"/>
          <w:szCs w:val="28"/>
          <w:lang w:val="uk-UA"/>
        </w:rPr>
        <w:t xml:space="preserve"> област</w:t>
      </w:r>
      <w:r w:rsidRPr="00A41B49">
        <w:rPr>
          <w:rFonts w:ascii="Times New Roman" w:hAnsi="Times New Roman" w:cs="Times New Roman"/>
          <w:sz w:val="28"/>
          <w:szCs w:val="28"/>
          <w:lang w:val="uk-UA"/>
        </w:rPr>
        <w:t>і</w:t>
      </w:r>
      <w:r w:rsidR="00CE58B8"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м. </w:t>
      </w:r>
      <w:r w:rsidR="00CE58B8" w:rsidRPr="00A41B49">
        <w:rPr>
          <w:rFonts w:ascii="Times New Roman" w:hAnsi="Times New Roman" w:cs="Times New Roman"/>
          <w:sz w:val="28"/>
          <w:szCs w:val="28"/>
          <w:lang w:val="uk-UA"/>
        </w:rPr>
        <w:t>Київ</w:t>
      </w:r>
      <w:r w:rsidR="00867DBE" w:rsidRPr="00A41B49">
        <w:rPr>
          <w:rFonts w:ascii="Times New Roman" w:hAnsi="Times New Roman" w:cs="Times New Roman"/>
          <w:sz w:val="28"/>
          <w:szCs w:val="28"/>
          <w:lang w:val="uk-UA"/>
        </w:rPr>
        <w:t>. Найбіл</w:t>
      </w:r>
      <w:r w:rsidR="00BD42D2" w:rsidRPr="00A41B49">
        <w:rPr>
          <w:rFonts w:ascii="Times New Roman" w:hAnsi="Times New Roman" w:cs="Times New Roman"/>
          <w:sz w:val="28"/>
          <w:szCs w:val="28"/>
          <w:lang w:val="uk-UA"/>
        </w:rPr>
        <w:t>ьший прирі</w:t>
      </w:r>
      <w:r w:rsidRPr="00A41B49">
        <w:rPr>
          <w:rFonts w:ascii="Times New Roman" w:hAnsi="Times New Roman" w:cs="Times New Roman"/>
          <w:sz w:val="28"/>
          <w:szCs w:val="28"/>
          <w:lang w:val="uk-UA"/>
        </w:rPr>
        <w:t xml:space="preserve">ст обсягів </w:t>
      </w:r>
      <w:r w:rsidR="00BD42D2" w:rsidRPr="00A41B49">
        <w:rPr>
          <w:rFonts w:ascii="Times New Roman" w:hAnsi="Times New Roman" w:cs="Times New Roman"/>
          <w:sz w:val="28"/>
          <w:szCs w:val="28"/>
          <w:lang w:val="uk-UA"/>
        </w:rPr>
        <w:t xml:space="preserve">ПІІ спостерігався в </w:t>
      </w:r>
      <w:r w:rsidR="00FA4960" w:rsidRPr="00A41B49">
        <w:rPr>
          <w:rFonts w:ascii="Times New Roman" w:hAnsi="Times New Roman" w:cs="Times New Roman"/>
          <w:sz w:val="28"/>
          <w:szCs w:val="28"/>
          <w:lang w:val="uk-UA"/>
        </w:rPr>
        <w:t xml:space="preserve">Івано-Франківській області, найбільше скорочення – Хмельницькій області. Як зазначалося раніше, зростання частки ПІІ у вигляді боргових інструментів в структурі ряду регіонів України є </w:t>
      </w:r>
      <w:r w:rsidR="001E4EE9" w:rsidRPr="00A41B49">
        <w:rPr>
          <w:rFonts w:ascii="Times New Roman" w:hAnsi="Times New Roman" w:cs="Times New Roman"/>
          <w:sz w:val="28"/>
          <w:szCs w:val="28"/>
          <w:lang w:val="uk-UA"/>
        </w:rPr>
        <w:t xml:space="preserve">ознакою негативних тенденцій в цих регіонах, у стратегічній перспективі </w:t>
      </w:r>
      <w:r w:rsidR="00F95766" w:rsidRPr="00A41B49">
        <w:rPr>
          <w:rFonts w:ascii="Times New Roman" w:hAnsi="Times New Roman" w:cs="Times New Roman"/>
          <w:sz w:val="28"/>
          <w:szCs w:val="28"/>
          <w:lang w:val="uk-UA"/>
        </w:rPr>
        <w:t xml:space="preserve">є ризики того, що це негативно буде позначатися на їх розвитку, адже за цих умов регіони отримують фінансування в обмін на те що, беруть на себе боргові </w:t>
      </w:r>
      <w:r w:rsidR="00BF3018" w:rsidRPr="00A41B49">
        <w:rPr>
          <w:rFonts w:ascii="Times New Roman" w:hAnsi="Times New Roman" w:cs="Times New Roman"/>
          <w:sz w:val="28"/>
          <w:szCs w:val="28"/>
          <w:lang w:val="uk-UA"/>
        </w:rPr>
        <w:t>зобов’язання</w:t>
      </w:r>
      <w:r w:rsidR="00F95766" w:rsidRPr="00A41B49">
        <w:rPr>
          <w:rFonts w:ascii="Times New Roman" w:hAnsi="Times New Roman" w:cs="Times New Roman"/>
          <w:sz w:val="28"/>
          <w:szCs w:val="28"/>
          <w:lang w:val="uk-UA"/>
        </w:rPr>
        <w:t>, що треба буде повертати, скоріше за все, із від</w:t>
      </w:r>
      <w:r w:rsidR="00BF3018" w:rsidRPr="00A41B49">
        <w:rPr>
          <w:rFonts w:ascii="Times New Roman" w:hAnsi="Times New Roman" w:cs="Times New Roman"/>
          <w:sz w:val="28"/>
          <w:szCs w:val="28"/>
          <w:lang w:val="uk-UA"/>
        </w:rPr>
        <w:t xml:space="preserve">сотками, що залежать від рівня ризику, і, які, з огляду на ризики, скоріше за все є високими. </w:t>
      </w:r>
    </w:p>
    <w:p w14:paraId="101234F8" w14:textId="77777777" w:rsidR="006976FD" w:rsidRPr="00A41B49" w:rsidRDefault="006976FD" w:rsidP="00F95766">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Проведений вище аналіз дозволяє стверджувати, що на сучасному етапі розвитку регіони України</w:t>
      </w:r>
      <w:r w:rsidR="002845CD" w:rsidRPr="00A41B49">
        <w:rPr>
          <w:rFonts w:ascii="Times New Roman" w:hAnsi="Times New Roman" w:cs="Times New Roman"/>
          <w:sz w:val="28"/>
          <w:szCs w:val="28"/>
          <w:lang w:val="uk-UA"/>
        </w:rPr>
        <w:t xml:space="preserve"> економіка України в цілому</w:t>
      </w:r>
      <w:r w:rsidRPr="00A41B49">
        <w:rPr>
          <w:rFonts w:ascii="Times New Roman" w:hAnsi="Times New Roman" w:cs="Times New Roman"/>
          <w:sz w:val="28"/>
          <w:szCs w:val="28"/>
          <w:lang w:val="uk-UA"/>
        </w:rPr>
        <w:t xml:space="preserve">, попри війну та зростання </w:t>
      </w:r>
      <w:r w:rsidR="006E7CF8" w:rsidRPr="00A41B49">
        <w:rPr>
          <w:rFonts w:ascii="Times New Roman" w:hAnsi="Times New Roman" w:cs="Times New Roman"/>
          <w:sz w:val="28"/>
          <w:szCs w:val="28"/>
          <w:lang w:val="uk-UA"/>
        </w:rPr>
        <w:t>ризиків</w:t>
      </w:r>
      <w:r w:rsidRPr="00A41B49">
        <w:rPr>
          <w:rFonts w:ascii="Times New Roman" w:hAnsi="Times New Roman" w:cs="Times New Roman"/>
          <w:sz w:val="28"/>
          <w:szCs w:val="28"/>
          <w:lang w:val="uk-UA"/>
        </w:rPr>
        <w:t xml:space="preserve">, продовжують залучати інвестиції. Разом із тим, як свідчить проведений аналіз у 2020-2022 рр. обсяги залучених в регіони інвестицій скорочуються, що обумовлено зниженням інвестиційної привабливості та підвищенням ризикованості вкладень в Україну в </w:t>
      </w:r>
      <w:r w:rsidR="006E7CF8" w:rsidRPr="00A41B49">
        <w:rPr>
          <w:rFonts w:ascii="Times New Roman" w:hAnsi="Times New Roman" w:cs="Times New Roman"/>
          <w:sz w:val="28"/>
          <w:szCs w:val="28"/>
          <w:lang w:val="uk-UA"/>
        </w:rPr>
        <w:t>цілому</w:t>
      </w:r>
      <w:r w:rsidRPr="00A41B49">
        <w:rPr>
          <w:rFonts w:ascii="Times New Roman" w:hAnsi="Times New Roman" w:cs="Times New Roman"/>
          <w:sz w:val="28"/>
          <w:szCs w:val="28"/>
          <w:lang w:val="uk-UA"/>
        </w:rPr>
        <w:t>, її регіони зокрема, мають місце суттєві асиметрії та диспропорції інвестиційної привабливості</w:t>
      </w:r>
      <w:r w:rsidR="006E7CF8" w:rsidRPr="00A41B49">
        <w:rPr>
          <w:rFonts w:ascii="Times New Roman" w:hAnsi="Times New Roman" w:cs="Times New Roman"/>
          <w:sz w:val="28"/>
          <w:szCs w:val="28"/>
          <w:lang w:val="uk-UA"/>
        </w:rPr>
        <w:t xml:space="preserve"> регіонів, що знаходить відображення у різних обсягах ПІІ, залучених в регіони, специфіці та відмінностях у їх структурі – намітилася ціла низка регіонів України, де у 2020-2022 рр. фіксується нарощення частки боргових інструментів в структурі ПІІ. </w:t>
      </w:r>
    </w:p>
    <w:p w14:paraId="2586D08F" w14:textId="77777777" w:rsidR="002845CD" w:rsidRPr="00A41B49" w:rsidRDefault="002845CD" w:rsidP="00F95766">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Наявність суттєвих відмінностей у обсягах залучених у регіони ПІІ, їх структурі, необхідність проведення більш глибокого компаративного аналізу особливостей розвитку </w:t>
      </w:r>
      <w:r w:rsidR="00357A0F" w:rsidRPr="00A41B49">
        <w:rPr>
          <w:rFonts w:ascii="Times New Roman" w:hAnsi="Times New Roman" w:cs="Times New Roman"/>
          <w:sz w:val="28"/>
          <w:szCs w:val="28"/>
          <w:lang w:val="uk-UA"/>
        </w:rPr>
        <w:t>інвестиційної привабливості регіонів обумовили необхідність проведення кластерного аналізу.</w:t>
      </w:r>
    </w:p>
    <w:p w14:paraId="3FFBB5D9" w14:textId="77777777" w:rsidR="00CA1B0D" w:rsidRPr="00A41B49" w:rsidRDefault="004F6727" w:rsidP="00F95766">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На основі кластерного аналізу установлено (алгоритм кластеризації К-середніх), що регіони України можна розділити </w:t>
      </w:r>
      <w:r w:rsidR="00E233DB" w:rsidRPr="00A41B49">
        <w:rPr>
          <w:rFonts w:ascii="Times New Roman" w:hAnsi="Times New Roman" w:cs="Times New Roman"/>
          <w:sz w:val="28"/>
          <w:szCs w:val="28"/>
          <w:lang w:val="uk-UA"/>
        </w:rPr>
        <w:t xml:space="preserve">(на основі компаративного аналізу їх </w:t>
      </w:r>
      <w:r w:rsidR="00AD421C" w:rsidRPr="00A41B49">
        <w:rPr>
          <w:rFonts w:ascii="Times New Roman" w:hAnsi="Times New Roman" w:cs="Times New Roman"/>
          <w:sz w:val="28"/>
          <w:szCs w:val="28"/>
          <w:lang w:val="uk-UA"/>
        </w:rPr>
        <w:t xml:space="preserve">середньої </w:t>
      </w:r>
      <w:r w:rsidR="00E233DB" w:rsidRPr="00A41B49">
        <w:rPr>
          <w:rFonts w:ascii="Times New Roman" w:hAnsi="Times New Roman" w:cs="Times New Roman"/>
          <w:sz w:val="28"/>
          <w:szCs w:val="28"/>
          <w:lang w:val="uk-UA"/>
        </w:rPr>
        <w:t>частки в обсягах залучених в Україну ПІІ</w:t>
      </w:r>
      <w:r w:rsidR="00AD421C" w:rsidRPr="00A41B49">
        <w:rPr>
          <w:rFonts w:ascii="Times New Roman" w:hAnsi="Times New Roman" w:cs="Times New Roman"/>
          <w:sz w:val="28"/>
          <w:szCs w:val="28"/>
          <w:lang w:val="uk-UA"/>
        </w:rPr>
        <w:t xml:space="preserve"> в 2020-2022 </w:t>
      </w:r>
      <w:r w:rsidR="00AD421C" w:rsidRPr="00A41B49">
        <w:rPr>
          <w:rFonts w:ascii="Times New Roman" w:hAnsi="Times New Roman" w:cs="Times New Roman"/>
          <w:sz w:val="28"/>
          <w:szCs w:val="28"/>
          <w:lang w:val="uk-UA"/>
        </w:rPr>
        <w:lastRenderedPageBreak/>
        <w:t>рр.</w:t>
      </w:r>
      <w:r w:rsidR="00E233DB" w:rsidRPr="00A41B49">
        <w:rPr>
          <w:rFonts w:ascii="Times New Roman" w:hAnsi="Times New Roman" w:cs="Times New Roman"/>
          <w:sz w:val="28"/>
          <w:szCs w:val="28"/>
          <w:lang w:val="uk-UA"/>
        </w:rPr>
        <w:t xml:space="preserve">, </w:t>
      </w:r>
      <w:r w:rsidR="00AD421C" w:rsidRPr="00A41B49">
        <w:rPr>
          <w:rFonts w:ascii="Times New Roman" w:hAnsi="Times New Roman" w:cs="Times New Roman"/>
          <w:sz w:val="28"/>
          <w:szCs w:val="28"/>
          <w:lang w:val="uk-UA"/>
        </w:rPr>
        <w:t xml:space="preserve">середньої </w:t>
      </w:r>
      <w:r w:rsidR="00E233DB" w:rsidRPr="00A41B49">
        <w:rPr>
          <w:rFonts w:ascii="Times New Roman" w:hAnsi="Times New Roman" w:cs="Times New Roman"/>
          <w:sz w:val="28"/>
          <w:szCs w:val="28"/>
          <w:lang w:val="uk-UA"/>
        </w:rPr>
        <w:t>структури ПІІ, зокрема частки інструментів участі в капіталі та боргових інструментів у загальному обсязі ПІІ регіону та країни</w:t>
      </w:r>
      <w:r w:rsidR="00AD421C" w:rsidRPr="00A41B49">
        <w:rPr>
          <w:rFonts w:ascii="Times New Roman" w:hAnsi="Times New Roman" w:cs="Times New Roman"/>
          <w:sz w:val="28"/>
          <w:szCs w:val="28"/>
          <w:lang w:val="uk-UA"/>
        </w:rPr>
        <w:t xml:space="preserve"> у 2020-2022 рр.</w:t>
      </w:r>
      <w:r w:rsidR="00E233DB" w:rsidRPr="00A41B49">
        <w:rPr>
          <w:rFonts w:ascii="Times New Roman" w:hAnsi="Times New Roman" w:cs="Times New Roman"/>
          <w:sz w:val="28"/>
          <w:szCs w:val="28"/>
          <w:lang w:val="uk-UA"/>
        </w:rPr>
        <w:t xml:space="preserve">) на </w:t>
      </w:r>
      <w:r w:rsidR="00EB04E4" w:rsidRPr="00A41B49">
        <w:rPr>
          <w:rFonts w:ascii="Times New Roman" w:hAnsi="Times New Roman" w:cs="Times New Roman"/>
          <w:sz w:val="28"/>
          <w:szCs w:val="28"/>
          <w:lang w:val="uk-UA"/>
        </w:rPr>
        <w:t xml:space="preserve">3 групи за успішністю залучення </w:t>
      </w:r>
      <w:r w:rsidR="00AD421C" w:rsidRPr="00A41B49">
        <w:rPr>
          <w:rFonts w:ascii="Times New Roman" w:hAnsi="Times New Roman" w:cs="Times New Roman"/>
          <w:sz w:val="28"/>
          <w:szCs w:val="28"/>
          <w:lang w:val="uk-UA"/>
        </w:rPr>
        <w:t xml:space="preserve">інвестицій: </w:t>
      </w:r>
    </w:p>
    <w:p w14:paraId="367C0CA4" w14:textId="77777777" w:rsidR="00CA1B0D" w:rsidRPr="00A41B49" w:rsidRDefault="00AD421C" w:rsidP="00F95766">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регіони-лідери</w:t>
      </w:r>
      <w:r w:rsidR="00453198" w:rsidRPr="00A41B49">
        <w:rPr>
          <w:rFonts w:ascii="Times New Roman" w:hAnsi="Times New Roman" w:cs="Times New Roman"/>
          <w:sz w:val="28"/>
          <w:szCs w:val="28"/>
          <w:lang w:val="uk-UA"/>
        </w:rPr>
        <w:t xml:space="preserve"> </w:t>
      </w:r>
      <w:r w:rsidR="00CA1B0D" w:rsidRPr="00A41B49">
        <w:rPr>
          <w:rFonts w:ascii="Times New Roman" w:hAnsi="Times New Roman" w:cs="Times New Roman"/>
          <w:sz w:val="28"/>
          <w:szCs w:val="28"/>
          <w:lang w:val="uk-UA"/>
        </w:rPr>
        <w:t>(середня частка регіону у загальному обсязі залучених у країну ПІІ – 40,86%, середня частка ПІІ у вигляді інструментів участі у капіталі – 39,21%, у вигляді боргових інструментів – 44,59%)</w:t>
      </w:r>
      <w:r w:rsidR="009350C4" w:rsidRPr="00A41B49">
        <w:rPr>
          <w:rFonts w:ascii="Times New Roman" w:hAnsi="Times New Roman" w:cs="Times New Roman"/>
          <w:sz w:val="28"/>
          <w:szCs w:val="28"/>
          <w:lang w:val="uk-UA"/>
        </w:rPr>
        <w:t xml:space="preserve"> – кластер 1</w:t>
      </w:r>
      <w:r w:rsidR="00CA1B0D" w:rsidRPr="00A41B49">
        <w:rPr>
          <w:rFonts w:ascii="Times New Roman" w:hAnsi="Times New Roman" w:cs="Times New Roman"/>
          <w:sz w:val="28"/>
          <w:szCs w:val="28"/>
          <w:lang w:val="uk-UA"/>
        </w:rPr>
        <w:t>;</w:t>
      </w:r>
      <w:r w:rsidRPr="00A41B49">
        <w:rPr>
          <w:rFonts w:ascii="Times New Roman" w:hAnsi="Times New Roman" w:cs="Times New Roman"/>
          <w:sz w:val="28"/>
          <w:szCs w:val="28"/>
          <w:lang w:val="uk-UA"/>
        </w:rPr>
        <w:t xml:space="preserve"> </w:t>
      </w:r>
    </w:p>
    <w:p w14:paraId="4FFDBC01" w14:textId="77777777" w:rsidR="00CA1B0D" w:rsidRPr="00A41B49" w:rsidRDefault="00AD421C" w:rsidP="00F95766">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регіони-послідовники</w:t>
      </w:r>
      <w:r w:rsidR="00CA1B0D" w:rsidRPr="00A41B49">
        <w:rPr>
          <w:rFonts w:ascii="Times New Roman" w:hAnsi="Times New Roman" w:cs="Times New Roman"/>
          <w:sz w:val="28"/>
          <w:szCs w:val="28"/>
          <w:lang w:val="uk-UA"/>
        </w:rPr>
        <w:t xml:space="preserve"> (середня частка регіону у загальному обсязі залучених у країну ПІІ – </w:t>
      </w:r>
      <w:r w:rsidR="00E61A59" w:rsidRPr="00A41B49">
        <w:rPr>
          <w:rFonts w:ascii="Times New Roman" w:hAnsi="Times New Roman" w:cs="Times New Roman"/>
          <w:sz w:val="28"/>
          <w:szCs w:val="28"/>
          <w:lang w:val="uk-UA"/>
        </w:rPr>
        <w:t>13,04</w:t>
      </w:r>
      <w:r w:rsidR="00CA1B0D" w:rsidRPr="00A41B49">
        <w:rPr>
          <w:rFonts w:ascii="Times New Roman" w:hAnsi="Times New Roman" w:cs="Times New Roman"/>
          <w:sz w:val="28"/>
          <w:szCs w:val="28"/>
          <w:lang w:val="uk-UA"/>
        </w:rPr>
        <w:t>%, середня частка ПІІ у вигляді ін</w:t>
      </w:r>
      <w:r w:rsidR="00E61A59" w:rsidRPr="00A41B49">
        <w:rPr>
          <w:rFonts w:ascii="Times New Roman" w:hAnsi="Times New Roman" w:cs="Times New Roman"/>
          <w:sz w:val="28"/>
          <w:szCs w:val="28"/>
          <w:lang w:val="uk-UA"/>
        </w:rPr>
        <w:t>струментів участі у капіталі – 15</w:t>
      </w:r>
      <w:r w:rsidR="00CA1B0D" w:rsidRPr="00A41B49">
        <w:rPr>
          <w:rFonts w:ascii="Times New Roman" w:hAnsi="Times New Roman" w:cs="Times New Roman"/>
          <w:sz w:val="28"/>
          <w:szCs w:val="28"/>
          <w:lang w:val="uk-UA"/>
        </w:rPr>
        <w:t>,2</w:t>
      </w:r>
      <w:r w:rsidR="00E61A59" w:rsidRPr="00A41B49">
        <w:rPr>
          <w:rFonts w:ascii="Times New Roman" w:hAnsi="Times New Roman" w:cs="Times New Roman"/>
          <w:sz w:val="28"/>
          <w:szCs w:val="28"/>
          <w:lang w:val="uk-UA"/>
        </w:rPr>
        <w:t>9</w:t>
      </w:r>
      <w:r w:rsidR="00CA1B0D" w:rsidRPr="00A41B49">
        <w:rPr>
          <w:rFonts w:ascii="Times New Roman" w:hAnsi="Times New Roman" w:cs="Times New Roman"/>
          <w:sz w:val="28"/>
          <w:szCs w:val="28"/>
          <w:lang w:val="uk-UA"/>
        </w:rPr>
        <w:t xml:space="preserve">%, у вигляді боргових інструментів – </w:t>
      </w:r>
      <w:r w:rsidR="00E61A59" w:rsidRPr="00A41B49">
        <w:rPr>
          <w:rFonts w:ascii="Times New Roman" w:hAnsi="Times New Roman" w:cs="Times New Roman"/>
          <w:sz w:val="28"/>
          <w:szCs w:val="28"/>
          <w:lang w:val="uk-UA"/>
        </w:rPr>
        <w:t>8</w:t>
      </w:r>
      <w:r w:rsidR="00CA1B0D" w:rsidRPr="00A41B49">
        <w:rPr>
          <w:rFonts w:ascii="Times New Roman" w:hAnsi="Times New Roman" w:cs="Times New Roman"/>
          <w:sz w:val="28"/>
          <w:szCs w:val="28"/>
          <w:lang w:val="uk-UA"/>
        </w:rPr>
        <w:t>,</w:t>
      </w:r>
      <w:r w:rsidR="00E61A59" w:rsidRPr="00A41B49">
        <w:rPr>
          <w:rFonts w:ascii="Times New Roman" w:hAnsi="Times New Roman" w:cs="Times New Roman"/>
          <w:sz w:val="28"/>
          <w:szCs w:val="28"/>
          <w:lang w:val="uk-UA"/>
        </w:rPr>
        <w:t>13</w:t>
      </w:r>
      <w:r w:rsidR="00CA1B0D" w:rsidRPr="00A41B49">
        <w:rPr>
          <w:rFonts w:ascii="Times New Roman" w:hAnsi="Times New Roman" w:cs="Times New Roman"/>
          <w:sz w:val="28"/>
          <w:szCs w:val="28"/>
          <w:lang w:val="uk-UA"/>
        </w:rPr>
        <w:t>%)</w:t>
      </w:r>
      <w:r w:rsidR="009350C4" w:rsidRPr="00A41B49">
        <w:rPr>
          <w:rFonts w:ascii="Times New Roman" w:hAnsi="Times New Roman" w:cs="Times New Roman"/>
          <w:sz w:val="28"/>
          <w:szCs w:val="28"/>
          <w:lang w:val="uk-UA"/>
        </w:rPr>
        <w:t xml:space="preserve"> – кластер 2</w:t>
      </w:r>
      <w:r w:rsidR="00CA1B0D" w:rsidRPr="00A41B49">
        <w:rPr>
          <w:rFonts w:ascii="Times New Roman" w:hAnsi="Times New Roman" w:cs="Times New Roman"/>
          <w:sz w:val="28"/>
          <w:szCs w:val="28"/>
          <w:lang w:val="uk-UA"/>
        </w:rPr>
        <w:t>;</w:t>
      </w:r>
      <w:r w:rsidRPr="00A41B49">
        <w:rPr>
          <w:rFonts w:ascii="Times New Roman" w:hAnsi="Times New Roman" w:cs="Times New Roman"/>
          <w:sz w:val="28"/>
          <w:szCs w:val="28"/>
          <w:lang w:val="uk-UA"/>
        </w:rPr>
        <w:t xml:space="preserve"> </w:t>
      </w:r>
    </w:p>
    <w:p w14:paraId="542256B1" w14:textId="77777777" w:rsidR="004F6727" w:rsidRPr="00A41B49" w:rsidRDefault="00AD421C" w:rsidP="00F95766">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регіони-аутсайдери</w:t>
      </w:r>
      <w:r w:rsidR="00CA1B0D" w:rsidRPr="00A41B49">
        <w:rPr>
          <w:rFonts w:ascii="Times New Roman" w:hAnsi="Times New Roman" w:cs="Times New Roman"/>
          <w:sz w:val="28"/>
          <w:szCs w:val="28"/>
          <w:lang w:val="uk-UA"/>
        </w:rPr>
        <w:t xml:space="preserve"> (середня частка регіону у загальному обсязі залучених у країну ПІІ – </w:t>
      </w:r>
      <w:r w:rsidR="00E61A59" w:rsidRPr="00A41B49">
        <w:rPr>
          <w:rFonts w:ascii="Times New Roman" w:hAnsi="Times New Roman" w:cs="Times New Roman"/>
          <w:sz w:val="28"/>
          <w:szCs w:val="28"/>
          <w:lang w:val="uk-UA"/>
        </w:rPr>
        <w:t>1,84</w:t>
      </w:r>
      <w:r w:rsidR="00CA1B0D" w:rsidRPr="00A41B49">
        <w:rPr>
          <w:rFonts w:ascii="Times New Roman" w:hAnsi="Times New Roman" w:cs="Times New Roman"/>
          <w:sz w:val="28"/>
          <w:szCs w:val="28"/>
          <w:lang w:val="uk-UA"/>
        </w:rPr>
        <w:t xml:space="preserve">%, середня частка ПІІ у вигляді інструментів участі у капіталі – </w:t>
      </w:r>
      <w:r w:rsidR="00E61A59" w:rsidRPr="00A41B49">
        <w:rPr>
          <w:rFonts w:ascii="Times New Roman" w:hAnsi="Times New Roman" w:cs="Times New Roman"/>
          <w:sz w:val="28"/>
          <w:szCs w:val="28"/>
          <w:lang w:val="uk-UA"/>
        </w:rPr>
        <w:t>1,78</w:t>
      </w:r>
      <w:r w:rsidR="00CA1B0D" w:rsidRPr="00A41B49">
        <w:rPr>
          <w:rFonts w:ascii="Times New Roman" w:hAnsi="Times New Roman" w:cs="Times New Roman"/>
          <w:sz w:val="28"/>
          <w:szCs w:val="28"/>
          <w:lang w:val="uk-UA"/>
        </w:rPr>
        <w:t xml:space="preserve">%, у вигляді боргових інструментів – </w:t>
      </w:r>
      <w:r w:rsidR="00E61A59" w:rsidRPr="00A41B49">
        <w:rPr>
          <w:rFonts w:ascii="Times New Roman" w:hAnsi="Times New Roman" w:cs="Times New Roman"/>
          <w:sz w:val="28"/>
          <w:szCs w:val="28"/>
          <w:lang w:val="uk-UA"/>
        </w:rPr>
        <w:t>1,99</w:t>
      </w:r>
      <w:r w:rsidR="00CA1B0D" w:rsidRPr="00A41B49">
        <w:rPr>
          <w:rFonts w:ascii="Times New Roman" w:hAnsi="Times New Roman" w:cs="Times New Roman"/>
          <w:sz w:val="28"/>
          <w:szCs w:val="28"/>
          <w:lang w:val="uk-UA"/>
        </w:rPr>
        <w:t>%)</w:t>
      </w:r>
      <w:r w:rsidR="009350C4" w:rsidRPr="00A41B49">
        <w:rPr>
          <w:rFonts w:ascii="Times New Roman" w:hAnsi="Times New Roman" w:cs="Times New Roman"/>
          <w:sz w:val="28"/>
          <w:szCs w:val="28"/>
          <w:lang w:val="uk-UA"/>
        </w:rPr>
        <w:t xml:space="preserve"> – кластер 3 (табл.</w:t>
      </w:r>
      <w:r w:rsidR="00AA4952" w:rsidRPr="00A41B49">
        <w:rPr>
          <w:rFonts w:ascii="Times New Roman" w:hAnsi="Times New Roman" w:cs="Times New Roman"/>
          <w:sz w:val="28"/>
          <w:szCs w:val="28"/>
          <w:lang w:val="uk-UA"/>
        </w:rPr>
        <w:t xml:space="preserve"> </w:t>
      </w:r>
      <w:r w:rsidR="0012064A" w:rsidRPr="00A41B49">
        <w:rPr>
          <w:rFonts w:ascii="Times New Roman" w:hAnsi="Times New Roman" w:cs="Times New Roman"/>
          <w:sz w:val="28"/>
          <w:szCs w:val="28"/>
          <w:lang w:val="uk-UA"/>
        </w:rPr>
        <w:t>3.</w:t>
      </w:r>
      <w:r w:rsidR="00AA4952" w:rsidRPr="00A41B49">
        <w:rPr>
          <w:rFonts w:ascii="Times New Roman" w:hAnsi="Times New Roman" w:cs="Times New Roman"/>
          <w:sz w:val="28"/>
          <w:szCs w:val="28"/>
          <w:lang w:val="uk-UA"/>
        </w:rPr>
        <w:t>6</w:t>
      </w:r>
      <w:r w:rsidR="009350C4" w:rsidRPr="00A41B49">
        <w:rPr>
          <w:rFonts w:ascii="Times New Roman" w:hAnsi="Times New Roman" w:cs="Times New Roman"/>
          <w:sz w:val="28"/>
          <w:szCs w:val="28"/>
          <w:lang w:val="uk-UA"/>
        </w:rPr>
        <w:t>).</w:t>
      </w:r>
    </w:p>
    <w:p w14:paraId="4464A675" w14:textId="77777777" w:rsidR="0074584E" w:rsidRPr="00A41B49" w:rsidRDefault="0074584E" w:rsidP="0074584E">
      <w:pPr>
        <w:spacing w:after="0" w:line="240" w:lineRule="auto"/>
        <w:rPr>
          <w:rFonts w:ascii="Times New Roman" w:hAnsi="Times New Roman" w:cs="Times New Roman"/>
          <w:sz w:val="28"/>
          <w:szCs w:val="28"/>
          <w:lang w:val="uk-UA"/>
        </w:rPr>
      </w:pPr>
    </w:p>
    <w:p w14:paraId="6452AE65" w14:textId="77777777" w:rsidR="00BB19F2" w:rsidRPr="00A41B49" w:rsidRDefault="009350C4" w:rsidP="0012064A">
      <w:pPr>
        <w:spacing w:after="0" w:line="240" w:lineRule="auto"/>
        <w:ind w:firstLine="709"/>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Таблиця </w:t>
      </w:r>
      <w:r w:rsidR="0012064A" w:rsidRPr="00A41B49">
        <w:rPr>
          <w:rFonts w:ascii="Times New Roman" w:hAnsi="Times New Roman" w:cs="Times New Roman"/>
          <w:sz w:val="28"/>
          <w:szCs w:val="28"/>
          <w:lang w:val="uk-UA"/>
        </w:rPr>
        <w:t>3.</w:t>
      </w:r>
      <w:r w:rsidR="00AA4952" w:rsidRPr="00A41B49">
        <w:rPr>
          <w:rFonts w:ascii="Times New Roman" w:hAnsi="Times New Roman" w:cs="Times New Roman"/>
          <w:sz w:val="28"/>
          <w:szCs w:val="28"/>
          <w:lang w:val="uk-UA"/>
        </w:rPr>
        <w:t>6</w:t>
      </w:r>
      <w:r w:rsidRPr="00A41B49">
        <w:rPr>
          <w:rFonts w:ascii="Times New Roman" w:hAnsi="Times New Roman" w:cs="Times New Roman"/>
          <w:sz w:val="28"/>
          <w:szCs w:val="28"/>
          <w:lang w:val="uk-UA"/>
        </w:rPr>
        <w:t xml:space="preserve"> - </w:t>
      </w:r>
      <w:r w:rsidR="00BB19F2" w:rsidRPr="00A41B49">
        <w:rPr>
          <w:rFonts w:ascii="Times New Roman" w:hAnsi="Times New Roman" w:cs="Times New Roman"/>
          <w:sz w:val="28"/>
          <w:szCs w:val="28"/>
          <w:lang w:val="uk-UA"/>
        </w:rPr>
        <w:t>Кластер</w:t>
      </w:r>
      <w:r w:rsidR="00161629" w:rsidRPr="00A41B49">
        <w:rPr>
          <w:rFonts w:ascii="Times New Roman" w:hAnsi="Times New Roman" w:cs="Times New Roman"/>
          <w:sz w:val="28"/>
          <w:szCs w:val="28"/>
          <w:lang w:val="uk-UA"/>
        </w:rPr>
        <w:t>и</w:t>
      </w:r>
      <w:r w:rsidR="00BB19F2" w:rsidRPr="00A41B49">
        <w:rPr>
          <w:rFonts w:ascii="Times New Roman" w:hAnsi="Times New Roman" w:cs="Times New Roman"/>
          <w:sz w:val="28"/>
          <w:szCs w:val="28"/>
          <w:lang w:val="uk-UA"/>
        </w:rPr>
        <w:t>зація регіонів України за обсягами залучених інвестицій</w:t>
      </w:r>
    </w:p>
    <w:tbl>
      <w:tblPr>
        <w:tblStyle w:val="a3"/>
        <w:tblW w:w="5000" w:type="pct"/>
        <w:tblLook w:val="04A0" w:firstRow="1" w:lastRow="0" w:firstColumn="1" w:lastColumn="0" w:noHBand="0" w:noVBand="1"/>
      </w:tblPr>
      <w:tblGrid>
        <w:gridCol w:w="1568"/>
        <w:gridCol w:w="1631"/>
        <w:gridCol w:w="1713"/>
        <w:gridCol w:w="1765"/>
        <w:gridCol w:w="2894"/>
      </w:tblGrid>
      <w:tr w:rsidR="00A41B49" w:rsidRPr="00A41B49" w14:paraId="1773CEF3" w14:textId="77777777" w:rsidTr="00113C29">
        <w:tc>
          <w:tcPr>
            <w:tcW w:w="819" w:type="pct"/>
            <w:vMerge w:val="restart"/>
            <w:vAlign w:val="center"/>
          </w:tcPr>
          <w:p w14:paraId="52F93501" w14:textId="77777777" w:rsidR="00113C29" w:rsidRPr="00A41B49" w:rsidRDefault="00113C29"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Кластер</w:t>
            </w:r>
          </w:p>
        </w:tc>
        <w:tc>
          <w:tcPr>
            <w:tcW w:w="2669" w:type="pct"/>
            <w:gridSpan w:val="3"/>
            <w:vAlign w:val="center"/>
          </w:tcPr>
          <w:p w14:paraId="3D7338D0" w14:textId="77777777" w:rsidR="00113C29" w:rsidRPr="00A41B49" w:rsidRDefault="00113C29"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Параметри кластеризації</w:t>
            </w:r>
          </w:p>
        </w:tc>
        <w:tc>
          <w:tcPr>
            <w:tcW w:w="1512" w:type="pct"/>
            <w:vMerge w:val="restart"/>
            <w:vAlign w:val="center"/>
          </w:tcPr>
          <w:p w14:paraId="0857480D" w14:textId="77777777" w:rsidR="00113C29" w:rsidRPr="00A41B49" w:rsidRDefault="00113C29"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Склад кластеру</w:t>
            </w:r>
          </w:p>
        </w:tc>
      </w:tr>
      <w:tr w:rsidR="00A41B49" w:rsidRPr="00A41B49" w14:paraId="20FA1CC6" w14:textId="77777777" w:rsidTr="00113C29">
        <w:tc>
          <w:tcPr>
            <w:tcW w:w="819" w:type="pct"/>
            <w:vMerge/>
            <w:vAlign w:val="center"/>
          </w:tcPr>
          <w:p w14:paraId="50D70AE8" w14:textId="77777777" w:rsidR="00113C29" w:rsidRPr="00A41B49" w:rsidRDefault="00113C29" w:rsidP="00113C29">
            <w:pPr>
              <w:jc w:val="center"/>
              <w:rPr>
                <w:rFonts w:ascii="Times New Roman" w:hAnsi="Times New Roman" w:cs="Times New Roman"/>
                <w:sz w:val="24"/>
                <w:szCs w:val="24"/>
                <w:lang w:val="uk-UA"/>
              </w:rPr>
            </w:pPr>
          </w:p>
        </w:tc>
        <w:tc>
          <w:tcPr>
            <w:tcW w:w="852" w:type="pct"/>
            <w:vAlign w:val="center"/>
          </w:tcPr>
          <w:p w14:paraId="64CA3CD2" w14:textId="77777777" w:rsidR="00113C29" w:rsidRPr="00A41B49" w:rsidRDefault="00113C29"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Прямі інвестиції (усього), %</w:t>
            </w:r>
          </w:p>
        </w:tc>
        <w:tc>
          <w:tcPr>
            <w:tcW w:w="895" w:type="pct"/>
            <w:vAlign w:val="center"/>
          </w:tcPr>
          <w:p w14:paraId="3D8C3CA0" w14:textId="77777777" w:rsidR="00113C29" w:rsidRPr="00A41B49" w:rsidRDefault="00113C29"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Інструменти участі в капіталі, %</w:t>
            </w:r>
          </w:p>
        </w:tc>
        <w:tc>
          <w:tcPr>
            <w:tcW w:w="922" w:type="pct"/>
            <w:vAlign w:val="center"/>
          </w:tcPr>
          <w:p w14:paraId="47FE9506" w14:textId="77777777" w:rsidR="00113C29" w:rsidRPr="00A41B49" w:rsidRDefault="00113C29"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Боргові інструменти, %</w:t>
            </w:r>
          </w:p>
        </w:tc>
        <w:tc>
          <w:tcPr>
            <w:tcW w:w="1512" w:type="pct"/>
            <w:vMerge/>
            <w:vAlign w:val="center"/>
          </w:tcPr>
          <w:p w14:paraId="0CA7EB4A" w14:textId="77777777" w:rsidR="00113C29" w:rsidRPr="00A41B49" w:rsidRDefault="00113C29" w:rsidP="00113C29">
            <w:pPr>
              <w:jc w:val="center"/>
              <w:rPr>
                <w:rFonts w:ascii="Times New Roman" w:hAnsi="Times New Roman" w:cs="Times New Roman"/>
                <w:sz w:val="24"/>
                <w:szCs w:val="24"/>
                <w:lang w:val="uk-UA"/>
              </w:rPr>
            </w:pPr>
          </w:p>
        </w:tc>
      </w:tr>
      <w:tr w:rsidR="00A41B49" w:rsidRPr="00A41B49" w14:paraId="2D09B848" w14:textId="77777777" w:rsidTr="00113C29">
        <w:tc>
          <w:tcPr>
            <w:tcW w:w="819" w:type="pct"/>
          </w:tcPr>
          <w:p w14:paraId="362E95D2" w14:textId="77777777" w:rsidR="00BB19F2" w:rsidRPr="00A41B49" w:rsidRDefault="00BB19F2"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w:t>
            </w:r>
          </w:p>
        </w:tc>
        <w:tc>
          <w:tcPr>
            <w:tcW w:w="852" w:type="pct"/>
          </w:tcPr>
          <w:p w14:paraId="3436747A" w14:textId="77777777" w:rsidR="00BB19F2" w:rsidRPr="00A41B49" w:rsidRDefault="00BB19F2"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40,86</w:t>
            </w:r>
          </w:p>
        </w:tc>
        <w:tc>
          <w:tcPr>
            <w:tcW w:w="895" w:type="pct"/>
          </w:tcPr>
          <w:p w14:paraId="281F4856" w14:textId="77777777" w:rsidR="00BB19F2" w:rsidRPr="00A41B49" w:rsidRDefault="00BB19F2"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39,21</w:t>
            </w:r>
          </w:p>
        </w:tc>
        <w:tc>
          <w:tcPr>
            <w:tcW w:w="922" w:type="pct"/>
          </w:tcPr>
          <w:p w14:paraId="5326C0D1" w14:textId="77777777" w:rsidR="00BB19F2" w:rsidRPr="00A41B49" w:rsidRDefault="00BB19F2"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44,59</w:t>
            </w:r>
          </w:p>
        </w:tc>
        <w:tc>
          <w:tcPr>
            <w:tcW w:w="1512" w:type="pct"/>
          </w:tcPr>
          <w:p w14:paraId="10BFE6E6" w14:textId="77777777" w:rsidR="00BB19F2" w:rsidRPr="00A41B49" w:rsidRDefault="00BB19F2" w:rsidP="00AD421C">
            <w:pPr>
              <w:rPr>
                <w:rFonts w:ascii="Times New Roman" w:hAnsi="Times New Roman" w:cs="Times New Roman"/>
                <w:sz w:val="24"/>
                <w:szCs w:val="24"/>
                <w:lang w:val="uk-UA"/>
              </w:rPr>
            </w:pPr>
            <w:r w:rsidRPr="00A41B49">
              <w:rPr>
                <w:rFonts w:ascii="Times New Roman" w:hAnsi="Times New Roman" w:cs="Times New Roman"/>
                <w:sz w:val="24"/>
                <w:szCs w:val="24"/>
                <w:lang w:val="uk-UA"/>
              </w:rPr>
              <w:t>м.</w:t>
            </w:r>
            <w:r w:rsidR="006C4C02"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Київ</w:t>
            </w:r>
          </w:p>
        </w:tc>
      </w:tr>
      <w:tr w:rsidR="00A41B49" w:rsidRPr="00A41B49" w14:paraId="2A75187C" w14:textId="77777777" w:rsidTr="00113C29">
        <w:tc>
          <w:tcPr>
            <w:tcW w:w="819" w:type="pct"/>
          </w:tcPr>
          <w:p w14:paraId="68EF7ADF" w14:textId="77777777" w:rsidR="009350C4" w:rsidRPr="00A41B49" w:rsidRDefault="009350C4"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w:t>
            </w:r>
          </w:p>
        </w:tc>
        <w:tc>
          <w:tcPr>
            <w:tcW w:w="852" w:type="pct"/>
          </w:tcPr>
          <w:p w14:paraId="46499940" w14:textId="77777777" w:rsidR="009350C4" w:rsidRPr="00A41B49" w:rsidRDefault="009350C4"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13,04</w:t>
            </w:r>
          </w:p>
        </w:tc>
        <w:tc>
          <w:tcPr>
            <w:tcW w:w="895" w:type="pct"/>
          </w:tcPr>
          <w:p w14:paraId="1088F6BB" w14:textId="77777777" w:rsidR="009350C4" w:rsidRPr="00A41B49" w:rsidRDefault="009350C4"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15,29</w:t>
            </w:r>
          </w:p>
        </w:tc>
        <w:tc>
          <w:tcPr>
            <w:tcW w:w="922" w:type="pct"/>
          </w:tcPr>
          <w:p w14:paraId="716E2C89" w14:textId="77777777" w:rsidR="009350C4" w:rsidRPr="00A41B49" w:rsidRDefault="009350C4"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8,13</w:t>
            </w:r>
          </w:p>
        </w:tc>
        <w:tc>
          <w:tcPr>
            <w:tcW w:w="1512" w:type="pct"/>
          </w:tcPr>
          <w:p w14:paraId="2AAF8459" w14:textId="77777777" w:rsidR="009350C4" w:rsidRPr="00A41B49" w:rsidRDefault="009350C4" w:rsidP="00E72799">
            <w:pPr>
              <w:rPr>
                <w:rFonts w:ascii="Times New Roman" w:hAnsi="Times New Roman" w:cs="Times New Roman"/>
                <w:sz w:val="24"/>
                <w:szCs w:val="24"/>
                <w:lang w:val="uk-UA"/>
              </w:rPr>
            </w:pPr>
            <w:r w:rsidRPr="00A41B49">
              <w:rPr>
                <w:rFonts w:ascii="Times New Roman" w:hAnsi="Times New Roman" w:cs="Times New Roman"/>
                <w:sz w:val="24"/>
                <w:szCs w:val="24"/>
                <w:lang w:val="uk-UA"/>
              </w:rPr>
              <w:t>Дніпропетровська</w:t>
            </w:r>
          </w:p>
        </w:tc>
      </w:tr>
      <w:tr w:rsidR="00A41B49" w:rsidRPr="00A41B49" w14:paraId="58DE3872" w14:textId="77777777" w:rsidTr="00113C29">
        <w:tc>
          <w:tcPr>
            <w:tcW w:w="819" w:type="pct"/>
          </w:tcPr>
          <w:p w14:paraId="693911D4" w14:textId="77777777" w:rsidR="009350C4" w:rsidRPr="00A41B49" w:rsidRDefault="009350C4"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3</w:t>
            </w:r>
          </w:p>
        </w:tc>
        <w:tc>
          <w:tcPr>
            <w:tcW w:w="852" w:type="pct"/>
          </w:tcPr>
          <w:p w14:paraId="4D6DE87A" w14:textId="77777777" w:rsidR="009350C4" w:rsidRPr="00A41B49" w:rsidRDefault="009350C4"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1,84</w:t>
            </w:r>
          </w:p>
        </w:tc>
        <w:tc>
          <w:tcPr>
            <w:tcW w:w="895" w:type="pct"/>
          </w:tcPr>
          <w:p w14:paraId="0C7C70D5" w14:textId="77777777" w:rsidR="009350C4" w:rsidRPr="00A41B49" w:rsidRDefault="009350C4"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1,78</w:t>
            </w:r>
          </w:p>
        </w:tc>
        <w:tc>
          <w:tcPr>
            <w:tcW w:w="922" w:type="pct"/>
          </w:tcPr>
          <w:p w14:paraId="1D014D0F" w14:textId="77777777" w:rsidR="009350C4" w:rsidRPr="00A41B49" w:rsidRDefault="009350C4" w:rsidP="00113C29">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1,99</w:t>
            </w:r>
          </w:p>
        </w:tc>
        <w:tc>
          <w:tcPr>
            <w:tcW w:w="1512" w:type="pct"/>
          </w:tcPr>
          <w:p w14:paraId="55F5FC55" w14:textId="77777777" w:rsidR="009350C4" w:rsidRPr="00A41B49" w:rsidRDefault="009350C4" w:rsidP="00113C29">
            <w:pPr>
              <w:rPr>
                <w:rFonts w:ascii="Times New Roman" w:hAnsi="Times New Roman" w:cs="Times New Roman"/>
                <w:sz w:val="24"/>
                <w:szCs w:val="24"/>
                <w:lang w:val="uk-UA"/>
              </w:rPr>
            </w:pPr>
            <w:r w:rsidRPr="00A41B49">
              <w:rPr>
                <w:rFonts w:ascii="Times New Roman" w:hAnsi="Times New Roman" w:cs="Times New Roman"/>
                <w:sz w:val="24"/>
                <w:szCs w:val="24"/>
                <w:lang w:val="uk-UA"/>
              </w:rPr>
              <w:t>Вінницька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Волинська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Житомирська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Закарпатська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Запорізька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Івано-Франківська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Київська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Кіровоградська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Львівська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Миколаївська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Одеська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Полтавська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Рівненська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Сумська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Тернопільська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Харківська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Хмельницька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Черкаська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Чернівецька</w:t>
            </w:r>
            <w:r w:rsidR="00113C29"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Чернігівська</w:t>
            </w:r>
          </w:p>
        </w:tc>
      </w:tr>
    </w:tbl>
    <w:p w14:paraId="60285902" w14:textId="77777777" w:rsidR="00B670A9" w:rsidRPr="00A41B49" w:rsidRDefault="00BB19F2" w:rsidP="009350C4">
      <w:pPr>
        <w:spacing w:after="0" w:line="240" w:lineRule="auto"/>
        <w:jc w:val="both"/>
        <w:rPr>
          <w:rFonts w:ascii="Times New Roman" w:hAnsi="Times New Roman"/>
          <w:i/>
          <w:sz w:val="24"/>
          <w:szCs w:val="24"/>
          <w:lang w:val="uk-UA"/>
        </w:rPr>
      </w:pPr>
      <w:r w:rsidRPr="00A41B49">
        <w:rPr>
          <w:rFonts w:ascii="Times New Roman" w:hAnsi="Times New Roman" w:cs="Times New Roman"/>
          <w:i/>
          <w:sz w:val="24"/>
          <w:szCs w:val="24"/>
          <w:lang w:val="uk-UA"/>
        </w:rPr>
        <w:t>Джерело: складено та розраховано автором на основі даних джерела [18]</w:t>
      </w:r>
      <w:r w:rsidR="00B670A9" w:rsidRPr="00A41B49">
        <w:rPr>
          <w:rFonts w:ascii="Times New Roman" w:hAnsi="Times New Roman" w:cs="Times New Roman"/>
          <w:i/>
          <w:sz w:val="24"/>
          <w:szCs w:val="24"/>
          <w:lang w:val="uk-UA"/>
        </w:rPr>
        <w:t xml:space="preserve"> за допомогою </w:t>
      </w:r>
      <w:r w:rsidR="00B670A9" w:rsidRPr="00A41B49">
        <w:rPr>
          <w:rFonts w:ascii="Times New Roman" w:hAnsi="Times New Roman"/>
          <w:i/>
          <w:sz w:val="24"/>
          <w:szCs w:val="24"/>
          <w:lang w:val="uk-UA"/>
        </w:rPr>
        <w:t>за допомогою програми STATISTICA 12</w:t>
      </w:r>
    </w:p>
    <w:p w14:paraId="06EB9BA4" w14:textId="77777777" w:rsidR="00BB19F2" w:rsidRPr="00A41B49" w:rsidRDefault="00BB19F2" w:rsidP="00BB19F2">
      <w:pPr>
        <w:spacing w:after="0" w:line="240" w:lineRule="auto"/>
        <w:rPr>
          <w:rFonts w:ascii="Times New Roman" w:hAnsi="Times New Roman" w:cs="Times New Roman"/>
          <w:sz w:val="28"/>
          <w:szCs w:val="28"/>
          <w:lang w:val="uk-UA"/>
        </w:rPr>
      </w:pPr>
    </w:p>
    <w:p w14:paraId="17BE8400" w14:textId="77777777" w:rsidR="0074584E" w:rsidRPr="00A41B49" w:rsidRDefault="006C4C02" w:rsidP="006C4C02">
      <w:pPr>
        <w:spacing w:after="0" w:line="240"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 xml:space="preserve">За результатами кластерного аналізу встановлено, що на сучасному етапі розвитку найвищим рівнем інвестиційної привабливості і, як наслідок, залученими в економіку регіону інвестиціями характеризується м. Київ та Дніпропетровська область. </w:t>
      </w:r>
    </w:p>
    <w:p w14:paraId="02DAA7EE" w14:textId="77777777" w:rsidR="006C4C02" w:rsidRPr="00A41B49" w:rsidRDefault="006334C1" w:rsidP="006C4C02">
      <w:pPr>
        <w:spacing w:after="0" w:line="240"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t>У межах цієї кваліфікаційної роботи сфокусуємося на Дніпропетровській області, адже, з одного боку, це один із регіонів-лідерів за інвестиційною привабливістю</w:t>
      </w:r>
      <w:r w:rsidR="00A20EC9" w:rsidRPr="00A41B49">
        <w:rPr>
          <w:rFonts w:ascii="Times New Roman" w:hAnsi="Times New Roman" w:cs="Times New Roman"/>
          <w:spacing w:val="4"/>
          <w:sz w:val="28"/>
          <w:szCs w:val="28"/>
          <w:lang w:val="uk-UA"/>
        </w:rPr>
        <w:t xml:space="preserve"> і, як наслідок, залученими ПІІ</w:t>
      </w:r>
      <w:r w:rsidRPr="00A41B49">
        <w:rPr>
          <w:rFonts w:ascii="Times New Roman" w:hAnsi="Times New Roman" w:cs="Times New Roman"/>
          <w:spacing w:val="4"/>
          <w:sz w:val="28"/>
          <w:szCs w:val="28"/>
          <w:lang w:val="uk-UA"/>
        </w:rPr>
        <w:t>, як свідчить проведений аналіз, по-друге, до цього регіону належить місто Кривий Ріг, що є об’єктом нашого аналізу.</w:t>
      </w:r>
    </w:p>
    <w:p w14:paraId="19690438" w14:textId="77777777" w:rsidR="000F7F28" w:rsidRPr="00A41B49" w:rsidRDefault="000F7F28" w:rsidP="00683259">
      <w:pPr>
        <w:spacing w:after="0" w:line="240" w:lineRule="auto"/>
        <w:ind w:firstLine="709"/>
        <w:jc w:val="both"/>
        <w:rPr>
          <w:rFonts w:ascii="Times New Roman" w:hAnsi="Times New Roman" w:cs="Times New Roman"/>
          <w:spacing w:val="4"/>
          <w:sz w:val="28"/>
          <w:szCs w:val="28"/>
          <w:lang w:val="uk-UA"/>
        </w:rPr>
      </w:pPr>
      <w:r w:rsidRPr="00A41B49">
        <w:rPr>
          <w:rFonts w:ascii="Times New Roman" w:hAnsi="Times New Roman" w:cs="Times New Roman"/>
          <w:spacing w:val="4"/>
          <w:sz w:val="28"/>
          <w:szCs w:val="28"/>
          <w:lang w:val="uk-UA"/>
        </w:rPr>
        <w:lastRenderedPageBreak/>
        <w:t>Дніпропетровська область попри війну</w:t>
      </w:r>
      <w:r w:rsidR="001D73E3" w:rsidRPr="00A41B49">
        <w:rPr>
          <w:rFonts w:ascii="Times New Roman" w:hAnsi="Times New Roman" w:cs="Times New Roman"/>
          <w:spacing w:val="4"/>
          <w:sz w:val="28"/>
          <w:szCs w:val="28"/>
          <w:lang w:val="uk-UA"/>
        </w:rPr>
        <w:t xml:space="preserve">, той факт, що 10 громад області (10 із 86 територіальних громад) постійно перебувають під обстрілами </w:t>
      </w:r>
      <w:r w:rsidR="00796EA7" w:rsidRPr="00A41B49">
        <w:rPr>
          <w:rFonts w:ascii="Times New Roman" w:hAnsi="Times New Roman" w:cs="Times New Roman"/>
          <w:spacing w:val="4"/>
          <w:sz w:val="28"/>
          <w:szCs w:val="28"/>
          <w:lang w:val="uk-UA"/>
        </w:rPr>
        <w:t xml:space="preserve">з боку росії, </w:t>
      </w:r>
      <w:r w:rsidRPr="00A41B49">
        <w:rPr>
          <w:rFonts w:ascii="Times New Roman" w:hAnsi="Times New Roman" w:cs="Times New Roman"/>
          <w:spacing w:val="4"/>
          <w:sz w:val="28"/>
          <w:szCs w:val="28"/>
          <w:lang w:val="uk-UA"/>
        </w:rPr>
        <w:t>залишається привабливим для і</w:t>
      </w:r>
      <w:r w:rsidR="00796EA7" w:rsidRPr="00A41B49">
        <w:rPr>
          <w:rFonts w:ascii="Times New Roman" w:hAnsi="Times New Roman" w:cs="Times New Roman"/>
          <w:spacing w:val="4"/>
          <w:sz w:val="28"/>
          <w:szCs w:val="28"/>
          <w:lang w:val="uk-UA"/>
        </w:rPr>
        <w:t>нвесторів регіоном</w:t>
      </w:r>
      <w:r w:rsidRPr="00A41B49">
        <w:rPr>
          <w:rFonts w:ascii="Times New Roman" w:hAnsi="Times New Roman" w:cs="Times New Roman"/>
          <w:spacing w:val="4"/>
          <w:sz w:val="28"/>
          <w:szCs w:val="28"/>
          <w:lang w:val="uk-UA"/>
        </w:rPr>
        <w:t>, є лідером за обсягами залучених інвестицій, адже:</w:t>
      </w:r>
    </w:p>
    <w:p w14:paraId="6CD39902" w14:textId="77777777" w:rsidR="00D70CCB" w:rsidRPr="00A41B49" w:rsidRDefault="009425F4" w:rsidP="00D70CCB">
      <w:pPr>
        <w:spacing w:after="0" w:line="240" w:lineRule="auto"/>
        <w:ind w:firstLine="709"/>
        <w:jc w:val="both"/>
        <w:rPr>
          <w:rFonts w:ascii="Times New Roman" w:hAnsi="Times New Roman" w:cs="Times New Roman"/>
          <w:spacing w:val="6"/>
          <w:sz w:val="28"/>
          <w:szCs w:val="28"/>
          <w:lang w:val="uk-UA"/>
        </w:rPr>
      </w:pPr>
      <w:r w:rsidRPr="00A41B49">
        <w:rPr>
          <w:rFonts w:ascii="Times New Roman" w:hAnsi="Times New Roman" w:cs="Times New Roman"/>
          <w:spacing w:val="4"/>
          <w:sz w:val="28"/>
          <w:szCs w:val="28"/>
          <w:lang w:val="uk-UA"/>
        </w:rPr>
        <w:t>1. </w:t>
      </w:r>
      <w:r w:rsidR="000F7F28" w:rsidRPr="00A41B49">
        <w:rPr>
          <w:rFonts w:ascii="Times New Roman" w:hAnsi="Times New Roman" w:cs="Times New Roman"/>
          <w:spacing w:val="4"/>
          <w:sz w:val="28"/>
          <w:szCs w:val="28"/>
          <w:lang w:val="uk-UA"/>
        </w:rPr>
        <w:t>«</w:t>
      </w:r>
      <w:r w:rsidRPr="00A41B49">
        <w:rPr>
          <w:rFonts w:ascii="Times New Roman" w:hAnsi="Times New Roman" w:cs="Times New Roman"/>
          <w:spacing w:val="4"/>
          <w:sz w:val="28"/>
          <w:szCs w:val="28"/>
          <w:lang w:val="uk-UA"/>
        </w:rPr>
        <w:t>М</w:t>
      </w:r>
      <w:r w:rsidR="000F7F28" w:rsidRPr="00A41B49">
        <w:rPr>
          <w:rFonts w:ascii="Times New Roman" w:hAnsi="Times New Roman" w:cs="Times New Roman"/>
          <w:spacing w:val="4"/>
          <w:sz w:val="28"/>
          <w:szCs w:val="28"/>
          <w:lang w:val="uk-UA"/>
        </w:rPr>
        <w:t>ає вигідне географічне розташування та знаходиться на перехресті автомобільних, залізничних та водних маршрутів, що об’єднують схід-захід (європейський маршрут Е50) та північ-південь (європейський маршрут</w:t>
      </w:r>
      <w:r w:rsidR="000F7F28" w:rsidRPr="00A41B49">
        <w:rPr>
          <w:rFonts w:ascii="Times New Roman" w:hAnsi="Times New Roman" w:cs="Times New Roman"/>
          <w:spacing w:val="6"/>
          <w:sz w:val="28"/>
          <w:szCs w:val="28"/>
          <w:lang w:val="uk-UA"/>
        </w:rPr>
        <w:t xml:space="preserve"> Е105) європейського континенту» [</w:t>
      </w:r>
      <w:r w:rsidR="004215C7" w:rsidRPr="00A41B49">
        <w:rPr>
          <w:rFonts w:ascii="Times New Roman" w:hAnsi="Times New Roman" w:cs="Times New Roman"/>
          <w:spacing w:val="6"/>
          <w:sz w:val="28"/>
          <w:szCs w:val="28"/>
          <w:lang w:val="uk-UA"/>
        </w:rPr>
        <w:t>23</w:t>
      </w:r>
      <w:r w:rsidR="000F7F28" w:rsidRPr="00A41B49">
        <w:rPr>
          <w:rFonts w:ascii="Times New Roman" w:hAnsi="Times New Roman" w:cs="Times New Roman"/>
          <w:spacing w:val="6"/>
          <w:sz w:val="28"/>
          <w:szCs w:val="28"/>
          <w:lang w:val="uk-UA"/>
        </w:rPr>
        <w:t>]</w:t>
      </w:r>
      <w:r w:rsidR="00883459" w:rsidRPr="00A41B49">
        <w:rPr>
          <w:rFonts w:ascii="Times New Roman" w:hAnsi="Times New Roman" w:cs="Times New Roman"/>
          <w:spacing w:val="6"/>
          <w:sz w:val="28"/>
          <w:szCs w:val="28"/>
          <w:lang w:val="uk-UA"/>
        </w:rPr>
        <w:t xml:space="preserve"> (рис.</w:t>
      </w:r>
      <w:r w:rsidR="0012064A" w:rsidRPr="00A41B49">
        <w:rPr>
          <w:rFonts w:ascii="Times New Roman" w:hAnsi="Times New Roman" w:cs="Times New Roman"/>
          <w:spacing w:val="6"/>
          <w:sz w:val="28"/>
          <w:szCs w:val="28"/>
          <w:lang w:val="uk-UA"/>
        </w:rPr>
        <w:t>3.1</w:t>
      </w:r>
      <w:r w:rsidR="00883459" w:rsidRPr="00A41B49">
        <w:rPr>
          <w:rFonts w:ascii="Times New Roman" w:hAnsi="Times New Roman" w:cs="Times New Roman"/>
          <w:spacing w:val="6"/>
          <w:sz w:val="28"/>
          <w:szCs w:val="28"/>
          <w:lang w:val="uk-UA"/>
        </w:rPr>
        <w:t>)</w:t>
      </w:r>
      <w:r w:rsidR="00BB1C71" w:rsidRPr="00A41B49">
        <w:rPr>
          <w:rFonts w:ascii="Times New Roman" w:hAnsi="Times New Roman" w:cs="Times New Roman"/>
          <w:spacing w:val="6"/>
          <w:sz w:val="28"/>
          <w:szCs w:val="28"/>
          <w:lang w:val="uk-UA"/>
        </w:rPr>
        <w:t>.</w:t>
      </w:r>
    </w:p>
    <w:p w14:paraId="0CA1C935" w14:textId="77777777" w:rsidR="000F7F28" w:rsidRPr="00A41B49" w:rsidRDefault="000F7F28" w:rsidP="00683259">
      <w:pPr>
        <w:spacing w:after="0" w:line="240" w:lineRule="auto"/>
        <w:ind w:firstLine="709"/>
        <w:jc w:val="both"/>
        <w:rPr>
          <w:rFonts w:ascii="Times New Roman" w:hAnsi="Times New Roman" w:cs="Times New Roman"/>
          <w:spacing w:val="6"/>
          <w:sz w:val="28"/>
          <w:szCs w:val="28"/>
          <w:lang w:val="uk-UA"/>
        </w:rPr>
      </w:pPr>
    </w:p>
    <w:p w14:paraId="35B0A3E3" w14:textId="77777777" w:rsidR="000F7F28" w:rsidRPr="00A41B49" w:rsidRDefault="003A6D91" w:rsidP="003A6D91">
      <w:pPr>
        <w:spacing w:after="0" w:line="240" w:lineRule="auto"/>
        <w:jc w:val="both"/>
        <w:rPr>
          <w:rFonts w:ascii="Times New Roman" w:hAnsi="Times New Roman" w:cs="Times New Roman"/>
          <w:sz w:val="28"/>
          <w:szCs w:val="28"/>
          <w:lang w:val="uk-UA"/>
        </w:rPr>
      </w:pPr>
      <w:r w:rsidRPr="00A41B49">
        <w:rPr>
          <w:rFonts w:ascii="Times New Roman" w:hAnsi="Times New Roman" w:cs="Times New Roman"/>
          <w:noProof/>
          <w:sz w:val="28"/>
          <w:szCs w:val="28"/>
          <w:lang w:eastAsia="ru-RU"/>
        </w:rPr>
        <w:drawing>
          <wp:inline distT="0" distB="0" distL="0" distR="0" wp14:anchorId="40AB0BB1" wp14:editId="7CEC6C8C">
            <wp:extent cx="5921756" cy="348996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8840"/>
                    <a:stretch/>
                  </pic:blipFill>
                  <pic:spPr bwMode="auto">
                    <a:xfrm>
                      <a:off x="0" y="0"/>
                      <a:ext cx="5921756" cy="3489960"/>
                    </a:xfrm>
                    <a:prstGeom prst="rect">
                      <a:avLst/>
                    </a:prstGeom>
                    <a:ln>
                      <a:noFill/>
                    </a:ln>
                    <a:extLst>
                      <a:ext uri="{53640926-AAD7-44D8-BBD7-CCE9431645EC}">
                        <a14:shadowObscured xmlns:a14="http://schemas.microsoft.com/office/drawing/2010/main"/>
                      </a:ext>
                    </a:extLst>
                  </pic:spPr>
                </pic:pic>
              </a:graphicData>
            </a:graphic>
          </wp:inline>
        </w:drawing>
      </w:r>
    </w:p>
    <w:p w14:paraId="548C06B1" w14:textId="77777777" w:rsidR="0074584E" w:rsidRPr="00A41B49" w:rsidRDefault="003A6D91" w:rsidP="007B23F8">
      <w:pPr>
        <w:spacing w:after="0" w:line="240" w:lineRule="auto"/>
        <w:jc w:val="center"/>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Рисунок </w:t>
      </w:r>
      <w:r w:rsidR="0012064A" w:rsidRPr="00A41B49">
        <w:rPr>
          <w:rFonts w:ascii="Times New Roman" w:hAnsi="Times New Roman" w:cs="Times New Roman"/>
          <w:sz w:val="28"/>
          <w:szCs w:val="28"/>
          <w:lang w:val="uk-UA"/>
        </w:rPr>
        <w:t>3.1</w:t>
      </w:r>
      <w:r w:rsidRPr="00A41B49">
        <w:rPr>
          <w:rFonts w:ascii="Times New Roman" w:hAnsi="Times New Roman" w:cs="Times New Roman"/>
          <w:sz w:val="28"/>
          <w:szCs w:val="28"/>
          <w:lang w:val="uk-UA"/>
        </w:rPr>
        <w:t xml:space="preserve"> – </w:t>
      </w:r>
      <w:r w:rsidR="00B1683E" w:rsidRPr="00A41B49">
        <w:rPr>
          <w:rFonts w:ascii="Times New Roman" w:hAnsi="Times New Roman" w:cs="Times New Roman"/>
          <w:sz w:val="28"/>
          <w:szCs w:val="28"/>
          <w:lang w:val="uk-UA"/>
        </w:rPr>
        <w:t>Н</w:t>
      </w:r>
      <w:r w:rsidRPr="00A41B49">
        <w:rPr>
          <w:rFonts w:ascii="Times New Roman" w:hAnsi="Times New Roman" w:cs="Times New Roman"/>
          <w:sz w:val="28"/>
          <w:szCs w:val="28"/>
          <w:lang w:val="uk-UA"/>
        </w:rPr>
        <w:t>айбільші міста Дніпропетровської області [23]</w:t>
      </w:r>
    </w:p>
    <w:p w14:paraId="1AE99C3B" w14:textId="77777777" w:rsidR="003A6D91" w:rsidRPr="00A41B49" w:rsidRDefault="003A6D91" w:rsidP="002A74C5">
      <w:pPr>
        <w:spacing w:after="0" w:line="240" w:lineRule="auto"/>
        <w:rPr>
          <w:rFonts w:ascii="Times New Roman" w:hAnsi="Times New Roman" w:cs="Times New Roman"/>
          <w:sz w:val="28"/>
          <w:szCs w:val="28"/>
          <w:lang w:val="uk-UA"/>
        </w:rPr>
      </w:pPr>
    </w:p>
    <w:p w14:paraId="0F1B3471" w14:textId="77777777" w:rsidR="00883459" w:rsidRPr="00A41B49" w:rsidRDefault="00883459" w:rsidP="00883459">
      <w:pPr>
        <w:spacing w:after="0" w:line="240" w:lineRule="auto"/>
        <w:ind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2. Динамічно розвивається та характеризується високим рівнем соціально-економічного розвитку  – ВВП на душу населення області – 4370,7 дол, що обумовлено тим, що до області належить ціла низка великих промислових міст із значним потенціалом розвитку, широкою мережею підприємств, що є лідерами не тільки на внутрішніх, але й міжнародних ринках, область виступає привабливим центром для релокації підприємств із тимчасово окупованої території України (вже переміщено на територію області 74 суб’єктів господарювання), зокрема область сьогодні одним із найбільших ринків праці України – у області проживає 1,5 млн економічно активного населення, що становить приблизно 8,6% від загальної кількості економічно активного населення України (рис.5), характеризується високим рівнем розвитку людського розвитку – 0,79, активно розвиває міжнародне співробітництво (головні країни-торговельні партнери області: Польща, Китай, Туреччина, Італія, Словаччина, США, Німеччина, Чехія, Румунія, Болгарія), надає преференції для інвесторів у межах угод про міжнародне співробітництво України - звільнення від сплати ПДВ (20%), звільнення від податку на </w:t>
      </w:r>
      <w:r w:rsidRPr="00A41B49">
        <w:rPr>
          <w:rFonts w:ascii="Times New Roman" w:hAnsi="Times New Roman" w:cs="Times New Roman"/>
          <w:spacing w:val="6"/>
          <w:sz w:val="28"/>
          <w:szCs w:val="28"/>
          <w:lang w:val="uk-UA"/>
        </w:rPr>
        <w:lastRenderedPageBreak/>
        <w:t>прибуток (18%), звільнення від оподаткування ввізним митом за певних (чітко визначених) умов; рішень місцевих органів влади - місцеві преференції - преференції щодо сплати податку на нерухоме майно, щодо сплати податку на землю, щодо орендної плати за землю; активно  залучається до державної фінансової підтримки індустріальних парків; є одним із провідних наукових центрів України [23].</w:t>
      </w:r>
    </w:p>
    <w:p w14:paraId="21B77E96" w14:textId="77777777" w:rsidR="00304845" w:rsidRPr="00A41B49" w:rsidRDefault="00304845" w:rsidP="00304845">
      <w:pPr>
        <w:spacing w:after="0" w:line="240" w:lineRule="auto"/>
        <w:ind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Серед галузей регіону, як свідчать дані Національного банку України, найбільш привабливими для </w:t>
      </w:r>
      <w:r w:rsidR="002D7E3E" w:rsidRPr="00A41B49">
        <w:rPr>
          <w:rFonts w:ascii="Times New Roman" w:hAnsi="Times New Roman" w:cs="Times New Roman"/>
          <w:spacing w:val="6"/>
          <w:sz w:val="28"/>
          <w:szCs w:val="28"/>
          <w:lang w:val="uk-UA"/>
        </w:rPr>
        <w:t xml:space="preserve">іноземних </w:t>
      </w:r>
      <w:r w:rsidRPr="00A41B49">
        <w:rPr>
          <w:rFonts w:ascii="Times New Roman" w:hAnsi="Times New Roman" w:cs="Times New Roman"/>
          <w:spacing w:val="6"/>
          <w:sz w:val="28"/>
          <w:szCs w:val="28"/>
          <w:lang w:val="uk-UA"/>
        </w:rPr>
        <w:t>інвесторів</w:t>
      </w:r>
      <w:r w:rsidR="008D5945" w:rsidRPr="00A41B49">
        <w:rPr>
          <w:rFonts w:ascii="Times New Roman" w:hAnsi="Times New Roman" w:cs="Times New Roman"/>
          <w:spacing w:val="6"/>
          <w:sz w:val="28"/>
          <w:szCs w:val="28"/>
          <w:lang w:val="uk-UA"/>
        </w:rPr>
        <w:t xml:space="preserve"> у 2020-2022 рр., що знаходить відображення у обсягах залучених ПІІ,</w:t>
      </w:r>
      <w:r w:rsidR="002D7E3E"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 xml:space="preserve">є </w:t>
      </w:r>
      <w:r w:rsidR="002D7E3E" w:rsidRPr="00A41B49">
        <w:rPr>
          <w:rFonts w:ascii="Times New Roman" w:hAnsi="Times New Roman" w:cs="Times New Roman"/>
          <w:spacing w:val="6"/>
          <w:sz w:val="28"/>
          <w:szCs w:val="28"/>
          <w:lang w:val="uk-UA"/>
        </w:rPr>
        <w:t xml:space="preserve">промисловість (в середньому 72,6 % від загального обсягу ПІІ регіону), оптова та роздрібна торгівля; ремонт автотранспортних засобів і мотоциклів (в середньому </w:t>
      </w:r>
      <w:r w:rsidR="00BE3F16" w:rsidRPr="00A41B49">
        <w:rPr>
          <w:rFonts w:ascii="Times New Roman" w:hAnsi="Times New Roman" w:cs="Times New Roman"/>
          <w:spacing w:val="6"/>
          <w:sz w:val="28"/>
          <w:szCs w:val="28"/>
          <w:lang w:val="uk-UA"/>
        </w:rPr>
        <w:t>13</w:t>
      </w:r>
      <w:r w:rsidR="002D7E3E" w:rsidRPr="00A41B49">
        <w:rPr>
          <w:rFonts w:ascii="Times New Roman" w:hAnsi="Times New Roman" w:cs="Times New Roman"/>
          <w:spacing w:val="6"/>
          <w:sz w:val="28"/>
          <w:szCs w:val="28"/>
          <w:lang w:val="uk-UA"/>
        </w:rPr>
        <w:t>,6 % від загального обсягу ПІІ регіону)</w:t>
      </w:r>
      <w:r w:rsidR="00BE3F16" w:rsidRPr="00A41B49">
        <w:rPr>
          <w:rFonts w:ascii="Times New Roman" w:hAnsi="Times New Roman" w:cs="Times New Roman"/>
          <w:spacing w:val="6"/>
          <w:sz w:val="28"/>
          <w:szCs w:val="28"/>
          <w:lang w:val="uk-UA"/>
        </w:rPr>
        <w:t xml:space="preserve">, найменш привабливими - </w:t>
      </w:r>
      <w:r w:rsidR="008D5945" w:rsidRPr="00A41B49">
        <w:rPr>
          <w:rFonts w:ascii="Times New Roman" w:hAnsi="Times New Roman" w:cs="Times New Roman"/>
          <w:spacing w:val="6"/>
          <w:sz w:val="28"/>
          <w:szCs w:val="28"/>
          <w:lang w:val="uk-UA"/>
        </w:rPr>
        <w:t xml:space="preserve">охорона здоров'я та надання соціальної допомоги </w:t>
      </w:r>
      <w:r w:rsidR="00BE3F16" w:rsidRPr="00A41B49">
        <w:rPr>
          <w:rFonts w:ascii="Times New Roman" w:hAnsi="Times New Roman" w:cs="Times New Roman"/>
          <w:spacing w:val="6"/>
          <w:sz w:val="28"/>
          <w:szCs w:val="28"/>
          <w:lang w:val="uk-UA"/>
        </w:rPr>
        <w:t>(в середньому 0,</w:t>
      </w:r>
      <w:r w:rsidR="008D5945" w:rsidRPr="00A41B49">
        <w:rPr>
          <w:rFonts w:ascii="Times New Roman" w:hAnsi="Times New Roman" w:cs="Times New Roman"/>
          <w:spacing w:val="6"/>
          <w:sz w:val="28"/>
          <w:szCs w:val="28"/>
          <w:lang w:val="uk-UA"/>
        </w:rPr>
        <w:t>1</w:t>
      </w:r>
      <w:r w:rsidR="00BE3F16" w:rsidRPr="00A41B49">
        <w:rPr>
          <w:rFonts w:ascii="Times New Roman" w:hAnsi="Times New Roman" w:cs="Times New Roman"/>
          <w:spacing w:val="6"/>
          <w:sz w:val="28"/>
          <w:szCs w:val="28"/>
          <w:lang w:val="uk-UA"/>
        </w:rPr>
        <w:t xml:space="preserve"> % від загального обсягу ПІІ регіону), будівництво (в середньому 0,1 % від загального обсягу ПІІ регіону),</w:t>
      </w:r>
      <w:r w:rsidR="00BE3F16" w:rsidRPr="00A41B49">
        <w:rPr>
          <w:spacing w:val="6"/>
          <w:sz w:val="28"/>
          <w:szCs w:val="28"/>
          <w:lang w:val="uk-UA"/>
        </w:rPr>
        <w:t xml:space="preserve"> </w:t>
      </w:r>
      <w:r w:rsidR="00BE3F16" w:rsidRPr="00A41B49">
        <w:rPr>
          <w:rFonts w:ascii="Times New Roman" w:hAnsi="Times New Roman" w:cs="Times New Roman"/>
          <w:spacing w:val="6"/>
          <w:sz w:val="28"/>
          <w:szCs w:val="28"/>
          <w:lang w:val="uk-UA"/>
        </w:rPr>
        <w:t xml:space="preserve">тимчасове розміщування й організація харчування (дуже незначна частка), </w:t>
      </w:r>
      <w:r w:rsidR="00BE3F16" w:rsidRPr="00A41B49">
        <w:rPr>
          <w:rFonts w:ascii="Times New Roman" w:eastAsia="Times New Roman" w:hAnsi="Times New Roman" w:cs="Times New Roman"/>
          <w:spacing w:val="6"/>
          <w:sz w:val="28"/>
          <w:szCs w:val="28"/>
          <w:lang w:val="uk-UA" w:eastAsia="ru-RU"/>
        </w:rPr>
        <w:t xml:space="preserve">інформація та телекомунікації </w:t>
      </w:r>
      <w:r w:rsidR="00BE3F16" w:rsidRPr="00A41B49">
        <w:rPr>
          <w:rFonts w:ascii="Times New Roman" w:hAnsi="Times New Roman" w:cs="Times New Roman"/>
          <w:spacing w:val="6"/>
          <w:sz w:val="28"/>
          <w:szCs w:val="28"/>
          <w:lang w:val="uk-UA"/>
        </w:rPr>
        <w:t>(в середньому 0,2 % від загального обсягу ПІІ регіону)</w:t>
      </w:r>
      <w:r w:rsidR="00E40C8A" w:rsidRPr="00A41B49">
        <w:rPr>
          <w:rFonts w:ascii="Times New Roman" w:hAnsi="Times New Roman" w:cs="Times New Roman"/>
          <w:spacing w:val="6"/>
          <w:sz w:val="28"/>
          <w:szCs w:val="28"/>
          <w:lang w:val="uk-UA"/>
        </w:rPr>
        <w:t xml:space="preserve"> (табл.</w:t>
      </w:r>
      <w:r w:rsidR="00AA4952" w:rsidRPr="00A41B49">
        <w:rPr>
          <w:rFonts w:ascii="Times New Roman" w:hAnsi="Times New Roman" w:cs="Times New Roman"/>
          <w:spacing w:val="6"/>
          <w:sz w:val="28"/>
          <w:szCs w:val="28"/>
          <w:lang w:val="uk-UA"/>
        </w:rPr>
        <w:t xml:space="preserve"> </w:t>
      </w:r>
      <w:r w:rsidR="0012064A" w:rsidRPr="00A41B49">
        <w:rPr>
          <w:rFonts w:ascii="Times New Roman" w:hAnsi="Times New Roman" w:cs="Times New Roman"/>
          <w:spacing w:val="6"/>
          <w:sz w:val="28"/>
          <w:szCs w:val="28"/>
          <w:lang w:val="uk-UA"/>
        </w:rPr>
        <w:t>3.</w:t>
      </w:r>
      <w:r w:rsidR="00AA4952" w:rsidRPr="00A41B49">
        <w:rPr>
          <w:rFonts w:ascii="Times New Roman" w:hAnsi="Times New Roman" w:cs="Times New Roman"/>
          <w:spacing w:val="6"/>
          <w:sz w:val="28"/>
          <w:szCs w:val="28"/>
          <w:lang w:val="uk-UA"/>
        </w:rPr>
        <w:t>7</w:t>
      </w:r>
      <w:r w:rsidR="00E40C8A" w:rsidRPr="00A41B49">
        <w:rPr>
          <w:rFonts w:ascii="Times New Roman" w:hAnsi="Times New Roman" w:cs="Times New Roman"/>
          <w:spacing w:val="6"/>
          <w:sz w:val="28"/>
          <w:szCs w:val="28"/>
          <w:lang w:val="uk-UA"/>
        </w:rPr>
        <w:t>).</w:t>
      </w:r>
    </w:p>
    <w:p w14:paraId="1780086D" w14:textId="77777777" w:rsidR="00676A20" w:rsidRPr="00A41B49" w:rsidRDefault="00676A20" w:rsidP="00B1683E">
      <w:pPr>
        <w:spacing w:after="0" w:line="240" w:lineRule="auto"/>
        <w:jc w:val="both"/>
        <w:rPr>
          <w:rFonts w:ascii="Times New Roman" w:hAnsi="Times New Roman" w:cs="Times New Roman"/>
          <w:sz w:val="28"/>
          <w:szCs w:val="28"/>
          <w:lang w:val="uk-UA"/>
        </w:rPr>
      </w:pPr>
    </w:p>
    <w:p w14:paraId="25CFFF76" w14:textId="77777777" w:rsidR="002D4F0C" w:rsidRPr="00A41B49" w:rsidRDefault="00707D7D" w:rsidP="000D6E32">
      <w:pPr>
        <w:spacing w:after="0" w:line="240" w:lineRule="auto"/>
        <w:jc w:val="center"/>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Таблиця </w:t>
      </w:r>
      <w:r w:rsidR="0012064A" w:rsidRPr="00A41B49">
        <w:rPr>
          <w:rFonts w:ascii="Times New Roman" w:hAnsi="Times New Roman" w:cs="Times New Roman"/>
          <w:sz w:val="28"/>
          <w:szCs w:val="28"/>
          <w:lang w:val="uk-UA"/>
        </w:rPr>
        <w:t>3.</w:t>
      </w:r>
      <w:r w:rsidR="00AA4952" w:rsidRPr="00A41B49">
        <w:rPr>
          <w:rFonts w:ascii="Times New Roman" w:hAnsi="Times New Roman" w:cs="Times New Roman"/>
          <w:sz w:val="28"/>
          <w:szCs w:val="28"/>
          <w:lang w:val="uk-UA"/>
        </w:rPr>
        <w:t xml:space="preserve">7 </w:t>
      </w:r>
      <w:r w:rsidRPr="00A41B49">
        <w:rPr>
          <w:rFonts w:ascii="Times New Roman" w:hAnsi="Times New Roman" w:cs="Times New Roman"/>
          <w:sz w:val="28"/>
          <w:szCs w:val="28"/>
          <w:lang w:val="uk-UA"/>
        </w:rPr>
        <w:t xml:space="preserve">- </w:t>
      </w:r>
      <w:r w:rsidR="000B0BE4" w:rsidRPr="00A41B49">
        <w:rPr>
          <w:rFonts w:ascii="Times New Roman" w:hAnsi="Times New Roman" w:cs="Times New Roman"/>
          <w:sz w:val="28"/>
          <w:szCs w:val="28"/>
          <w:lang w:val="uk-UA"/>
        </w:rPr>
        <w:t>Прямі інвестиції (інструменти участі в капіталі) в економіці Дніпропетровської області</w:t>
      </w:r>
    </w:p>
    <w:tbl>
      <w:tblPr>
        <w:tblStyle w:val="a3"/>
        <w:tblW w:w="9783" w:type="dxa"/>
        <w:jc w:val="center"/>
        <w:tblLayout w:type="fixed"/>
        <w:tblLook w:val="04A0" w:firstRow="1" w:lastRow="0" w:firstColumn="1" w:lastColumn="0" w:noHBand="0" w:noVBand="1"/>
      </w:tblPr>
      <w:tblGrid>
        <w:gridCol w:w="2802"/>
        <w:gridCol w:w="1134"/>
        <w:gridCol w:w="708"/>
        <w:gridCol w:w="922"/>
        <w:gridCol w:w="709"/>
        <w:gridCol w:w="992"/>
        <w:gridCol w:w="850"/>
        <w:gridCol w:w="992"/>
        <w:gridCol w:w="674"/>
      </w:tblGrid>
      <w:tr w:rsidR="00A41B49" w:rsidRPr="00A41B49" w14:paraId="037020C3" w14:textId="77777777" w:rsidTr="00883459">
        <w:trPr>
          <w:jc w:val="center"/>
        </w:trPr>
        <w:tc>
          <w:tcPr>
            <w:tcW w:w="2802" w:type="dxa"/>
            <w:vMerge w:val="restart"/>
            <w:vAlign w:val="center"/>
          </w:tcPr>
          <w:p w14:paraId="37881EBF" w14:textId="77777777" w:rsidR="000B0BE4" w:rsidRPr="00A41B49" w:rsidRDefault="00304845" w:rsidP="00304845">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Галузі економіки регіону</w:t>
            </w:r>
          </w:p>
        </w:tc>
        <w:tc>
          <w:tcPr>
            <w:tcW w:w="1842" w:type="dxa"/>
            <w:gridSpan w:val="2"/>
          </w:tcPr>
          <w:p w14:paraId="7C1046CC" w14:textId="77777777" w:rsidR="000B0BE4" w:rsidRPr="00A41B49" w:rsidRDefault="000B0BE4" w:rsidP="00676A20">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2020 р.</w:t>
            </w:r>
          </w:p>
        </w:tc>
        <w:tc>
          <w:tcPr>
            <w:tcW w:w="1631" w:type="dxa"/>
            <w:gridSpan w:val="2"/>
          </w:tcPr>
          <w:p w14:paraId="1778EFE8" w14:textId="77777777" w:rsidR="000B0BE4" w:rsidRPr="00A41B49" w:rsidRDefault="000B0BE4" w:rsidP="00676A20">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2022 р.</w:t>
            </w:r>
          </w:p>
        </w:tc>
        <w:tc>
          <w:tcPr>
            <w:tcW w:w="1842" w:type="dxa"/>
            <w:gridSpan w:val="2"/>
            <w:vAlign w:val="center"/>
          </w:tcPr>
          <w:p w14:paraId="15984B0F" w14:textId="77777777" w:rsidR="000B0BE4" w:rsidRPr="00A41B49" w:rsidRDefault="000B0BE4" w:rsidP="00676A20">
            <w:pPr>
              <w:jc w:val="center"/>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Середнє</w:t>
            </w:r>
          </w:p>
        </w:tc>
        <w:tc>
          <w:tcPr>
            <w:tcW w:w="1666" w:type="dxa"/>
            <w:gridSpan w:val="2"/>
            <w:vAlign w:val="center"/>
          </w:tcPr>
          <w:p w14:paraId="0E8445A2" w14:textId="77777777" w:rsidR="000B0BE4" w:rsidRPr="00A41B49" w:rsidRDefault="000B0BE4" w:rsidP="00676A20">
            <w:pPr>
              <w:jc w:val="center"/>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Відхилення</w:t>
            </w:r>
          </w:p>
        </w:tc>
      </w:tr>
      <w:tr w:rsidR="00A41B49" w:rsidRPr="00A41B49" w14:paraId="7CA5C8F7" w14:textId="77777777" w:rsidTr="00883459">
        <w:trPr>
          <w:trHeight w:val="583"/>
          <w:jc w:val="center"/>
        </w:trPr>
        <w:tc>
          <w:tcPr>
            <w:tcW w:w="2802" w:type="dxa"/>
            <w:vMerge/>
          </w:tcPr>
          <w:p w14:paraId="7FA58232" w14:textId="77777777" w:rsidR="000B0BE4" w:rsidRPr="00A41B49" w:rsidRDefault="000B0BE4" w:rsidP="00676A20">
            <w:pPr>
              <w:rPr>
                <w:rFonts w:ascii="Times New Roman" w:hAnsi="Times New Roman" w:cs="Times New Roman"/>
                <w:spacing w:val="-4"/>
                <w:sz w:val="24"/>
                <w:szCs w:val="24"/>
                <w:lang w:val="uk-UA"/>
              </w:rPr>
            </w:pPr>
          </w:p>
        </w:tc>
        <w:tc>
          <w:tcPr>
            <w:tcW w:w="1134" w:type="dxa"/>
            <w:vAlign w:val="center"/>
          </w:tcPr>
          <w:p w14:paraId="0B80C28F" w14:textId="77777777" w:rsidR="000B0BE4" w:rsidRPr="00A41B49" w:rsidRDefault="000B0BE4" w:rsidP="00304845">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млн дол</w:t>
            </w:r>
          </w:p>
        </w:tc>
        <w:tc>
          <w:tcPr>
            <w:tcW w:w="708" w:type="dxa"/>
            <w:vAlign w:val="center"/>
          </w:tcPr>
          <w:p w14:paraId="65B4AE4E" w14:textId="77777777" w:rsidR="000B0BE4" w:rsidRPr="00A41B49" w:rsidRDefault="000B0BE4" w:rsidP="00304845">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w:t>
            </w:r>
          </w:p>
        </w:tc>
        <w:tc>
          <w:tcPr>
            <w:tcW w:w="922" w:type="dxa"/>
            <w:vAlign w:val="center"/>
          </w:tcPr>
          <w:p w14:paraId="5F8FD5AE" w14:textId="77777777" w:rsidR="000B0BE4" w:rsidRPr="00A41B49" w:rsidRDefault="000B0BE4" w:rsidP="00304845">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млн дол</w:t>
            </w:r>
          </w:p>
        </w:tc>
        <w:tc>
          <w:tcPr>
            <w:tcW w:w="709" w:type="dxa"/>
            <w:vAlign w:val="center"/>
          </w:tcPr>
          <w:p w14:paraId="2C054AE8" w14:textId="77777777" w:rsidR="000B0BE4" w:rsidRPr="00A41B49" w:rsidRDefault="000B0BE4" w:rsidP="00304845">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w:t>
            </w:r>
          </w:p>
        </w:tc>
        <w:tc>
          <w:tcPr>
            <w:tcW w:w="992" w:type="dxa"/>
            <w:vAlign w:val="center"/>
          </w:tcPr>
          <w:p w14:paraId="62175FD3" w14:textId="77777777" w:rsidR="000B0BE4" w:rsidRPr="00A41B49" w:rsidRDefault="000B0BE4" w:rsidP="00304845">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млн дол</w:t>
            </w:r>
          </w:p>
        </w:tc>
        <w:tc>
          <w:tcPr>
            <w:tcW w:w="850" w:type="dxa"/>
            <w:vAlign w:val="center"/>
          </w:tcPr>
          <w:p w14:paraId="35C40EAD" w14:textId="77777777" w:rsidR="000B0BE4" w:rsidRPr="00A41B49" w:rsidRDefault="000B0BE4" w:rsidP="00304845">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w:t>
            </w:r>
          </w:p>
        </w:tc>
        <w:tc>
          <w:tcPr>
            <w:tcW w:w="992" w:type="dxa"/>
            <w:vAlign w:val="center"/>
          </w:tcPr>
          <w:p w14:paraId="3D73C157" w14:textId="77777777" w:rsidR="000B0BE4" w:rsidRPr="00A41B49" w:rsidRDefault="000B0BE4" w:rsidP="00304845">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млн дол</w:t>
            </w:r>
          </w:p>
        </w:tc>
        <w:tc>
          <w:tcPr>
            <w:tcW w:w="674" w:type="dxa"/>
            <w:vAlign w:val="center"/>
          </w:tcPr>
          <w:p w14:paraId="1CCCECD1" w14:textId="77777777" w:rsidR="000B0BE4" w:rsidRPr="00A41B49" w:rsidRDefault="000B0BE4" w:rsidP="00304845">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w:t>
            </w:r>
          </w:p>
        </w:tc>
      </w:tr>
      <w:tr w:rsidR="00A41B49" w:rsidRPr="00A41B49" w14:paraId="240B136D" w14:textId="77777777" w:rsidTr="00883459">
        <w:trPr>
          <w:trHeight w:val="267"/>
          <w:jc w:val="center"/>
        </w:trPr>
        <w:tc>
          <w:tcPr>
            <w:tcW w:w="2802" w:type="dxa"/>
          </w:tcPr>
          <w:p w14:paraId="7F1BB106" w14:textId="77777777" w:rsidR="00E40C8A" w:rsidRPr="00A41B49" w:rsidRDefault="00E40C8A" w:rsidP="00E40C8A">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1</w:t>
            </w:r>
          </w:p>
        </w:tc>
        <w:tc>
          <w:tcPr>
            <w:tcW w:w="1134" w:type="dxa"/>
            <w:vAlign w:val="center"/>
          </w:tcPr>
          <w:p w14:paraId="646338C6" w14:textId="77777777" w:rsidR="00E40C8A" w:rsidRPr="00A41B49" w:rsidRDefault="00E40C8A" w:rsidP="00E40C8A">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2</w:t>
            </w:r>
          </w:p>
        </w:tc>
        <w:tc>
          <w:tcPr>
            <w:tcW w:w="708" w:type="dxa"/>
            <w:vAlign w:val="center"/>
          </w:tcPr>
          <w:p w14:paraId="4D85FF09" w14:textId="77777777" w:rsidR="00E40C8A" w:rsidRPr="00A41B49" w:rsidRDefault="00E40C8A" w:rsidP="00E40C8A">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3</w:t>
            </w:r>
          </w:p>
        </w:tc>
        <w:tc>
          <w:tcPr>
            <w:tcW w:w="922" w:type="dxa"/>
            <w:vAlign w:val="center"/>
          </w:tcPr>
          <w:p w14:paraId="2895E6D2" w14:textId="77777777" w:rsidR="00E40C8A" w:rsidRPr="00A41B49" w:rsidRDefault="00E40C8A" w:rsidP="00E40C8A">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4</w:t>
            </w:r>
          </w:p>
        </w:tc>
        <w:tc>
          <w:tcPr>
            <w:tcW w:w="709" w:type="dxa"/>
            <w:vAlign w:val="center"/>
          </w:tcPr>
          <w:p w14:paraId="19C4C502" w14:textId="77777777" w:rsidR="00E40C8A" w:rsidRPr="00A41B49" w:rsidRDefault="00E40C8A" w:rsidP="00E40C8A">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5</w:t>
            </w:r>
          </w:p>
        </w:tc>
        <w:tc>
          <w:tcPr>
            <w:tcW w:w="992" w:type="dxa"/>
            <w:vAlign w:val="center"/>
          </w:tcPr>
          <w:p w14:paraId="2CC6927A" w14:textId="77777777" w:rsidR="00E40C8A" w:rsidRPr="00A41B49" w:rsidRDefault="00E40C8A" w:rsidP="00E40C8A">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6</w:t>
            </w:r>
          </w:p>
        </w:tc>
        <w:tc>
          <w:tcPr>
            <w:tcW w:w="850" w:type="dxa"/>
            <w:vAlign w:val="center"/>
          </w:tcPr>
          <w:p w14:paraId="58EE275D" w14:textId="77777777" w:rsidR="00E40C8A" w:rsidRPr="00A41B49" w:rsidRDefault="00E40C8A" w:rsidP="00E40C8A">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7</w:t>
            </w:r>
          </w:p>
        </w:tc>
        <w:tc>
          <w:tcPr>
            <w:tcW w:w="992" w:type="dxa"/>
            <w:vAlign w:val="center"/>
          </w:tcPr>
          <w:p w14:paraId="4368FAD8" w14:textId="77777777" w:rsidR="00E40C8A" w:rsidRPr="00A41B49" w:rsidRDefault="00E40C8A" w:rsidP="00E40C8A">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8</w:t>
            </w:r>
          </w:p>
        </w:tc>
        <w:tc>
          <w:tcPr>
            <w:tcW w:w="674" w:type="dxa"/>
            <w:vAlign w:val="center"/>
          </w:tcPr>
          <w:p w14:paraId="2D6C0510" w14:textId="77777777" w:rsidR="00E40C8A" w:rsidRPr="00A41B49" w:rsidRDefault="00E40C8A" w:rsidP="00E40C8A">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9</w:t>
            </w:r>
          </w:p>
        </w:tc>
      </w:tr>
      <w:tr w:rsidR="00A41B49" w:rsidRPr="00A41B49" w14:paraId="0FA441B8" w14:textId="77777777" w:rsidTr="00883459">
        <w:trPr>
          <w:jc w:val="center"/>
        </w:trPr>
        <w:tc>
          <w:tcPr>
            <w:tcW w:w="2802" w:type="dxa"/>
          </w:tcPr>
          <w:p w14:paraId="57F5038E" w14:textId="77777777" w:rsidR="00F87D85" w:rsidRPr="00A41B49" w:rsidRDefault="00F87D85" w:rsidP="00676A20">
            <w:pP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Усього регіон</w:t>
            </w:r>
          </w:p>
        </w:tc>
        <w:tc>
          <w:tcPr>
            <w:tcW w:w="1134" w:type="dxa"/>
            <w:vAlign w:val="center"/>
          </w:tcPr>
          <w:p w14:paraId="6D9638F2" w14:textId="77777777" w:rsidR="00F87D85" w:rsidRPr="00A41B49" w:rsidRDefault="00F87D85" w:rsidP="00D75056">
            <w:pPr>
              <w:jc w:val="center"/>
              <w:rPr>
                <w:rFonts w:ascii="Times New Roman" w:hAnsi="Times New Roman" w:cs="Times New Roman"/>
                <w:bCs/>
                <w:iCs/>
                <w:spacing w:val="-4"/>
                <w:sz w:val="24"/>
                <w:szCs w:val="24"/>
                <w:lang w:val="uk-UA"/>
              </w:rPr>
            </w:pPr>
            <w:r w:rsidRPr="00A41B49">
              <w:rPr>
                <w:rFonts w:ascii="Times New Roman" w:hAnsi="Times New Roman" w:cs="Times New Roman"/>
                <w:bCs/>
                <w:iCs/>
                <w:spacing w:val="-4"/>
                <w:sz w:val="24"/>
                <w:szCs w:val="24"/>
                <w:lang w:val="uk-UA"/>
              </w:rPr>
              <w:t>4661,7</w:t>
            </w:r>
          </w:p>
        </w:tc>
        <w:tc>
          <w:tcPr>
            <w:tcW w:w="708" w:type="dxa"/>
            <w:vAlign w:val="center"/>
          </w:tcPr>
          <w:p w14:paraId="37139E5D"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100</w:t>
            </w:r>
          </w:p>
        </w:tc>
        <w:tc>
          <w:tcPr>
            <w:tcW w:w="922" w:type="dxa"/>
            <w:vAlign w:val="center"/>
          </w:tcPr>
          <w:p w14:paraId="06AF38C5" w14:textId="77777777" w:rsidR="00F87D85" w:rsidRPr="00A41B49" w:rsidRDefault="00F87D85" w:rsidP="00D75056">
            <w:pPr>
              <w:jc w:val="center"/>
              <w:rPr>
                <w:rFonts w:ascii="Times New Roman" w:hAnsi="Times New Roman" w:cs="Times New Roman"/>
                <w:bCs/>
                <w:iCs/>
                <w:spacing w:val="-4"/>
                <w:sz w:val="24"/>
                <w:szCs w:val="24"/>
                <w:lang w:val="uk-UA"/>
              </w:rPr>
            </w:pPr>
            <w:r w:rsidRPr="00A41B49">
              <w:rPr>
                <w:rFonts w:ascii="Times New Roman" w:hAnsi="Times New Roman" w:cs="Times New Roman"/>
                <w:bCs/>
                <w:iCs/>
                <w:spacing w:val="-4"/>
                <w:sz w:val="24"/>
                <w:szCs w:val="24"/>
                <w:lang w:val="uk-UA"/>
              </w:rPr>
              <w:t>6204,6</w:t>
            </w:r>
          </w:p>
        </w:tc>
        <w:tc>
          <w:tcPr>
            <w:tcW w:w="709" w:type="dxa"/>
            <w:vAlign w:val="center"/>
          </w:tcPr>
          <w:p w14:paraId="0B218F06"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100</w:t>
            </w:r>
          </w:p>
        </w:tc>
        <w:tc>
          <w:tcPr>
            <w:tcW w:w="992" w:type="dxa"/>
            <w:vAlign w:val="center"/>
          </w:tcPr>
          <w:p w14:paraId="21788829"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5433,15</w:t>
            </w:r>
          </w:p>
        </w:tc>
        <w:tc>
          <w:tcPr>
            <w:tcW w:w="850" w:type="dxa"/>
            <w:vAlign w:val="center"/>
          </w:tcPr>
          <w:p w14:paraId="280C6277"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100,0</w:t>
            </w:r>
          </w:p>
        </w:tc>
        <w:tc>
          <w:tcPr>
            <w:tcW w:w="992" w:type="dxa"/>
            <w:vAlign w:val="center"/>
          </w:tcPr>
          <w:p w14:paraId="7E2A3356"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1542,9</w:t>
            </w:r>
          </w:p>
        </w:tc>
        <w:tc>
          <w:tcPr>
            <w:tcW w:w="674" w:type="dxa"/>
            <w:vAlign w:val="center"/>
          </w:tcPr>
          <w:p w14:paraId="34006EB7"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w:t>
            </w:r>
          </w:p>
        </w:tc>
      </w:tr>
      <w:tr w:rsidR="00A41B49" w:rsidRPr="00A41B49" w14:paraId="580F93B5" w14:textId="77777777" w:rsidTr="00883459">
        <w:trPr>
          <w:jc w:val="center"/>
        </w:trPr>
        <w:tc>
          <w:tcPr>
            <w:tcW w:w="2802" w:type="dxa"/>
            <w:vAlign w:val="center"/>
          </w:tcPr>
          <w:p w14:paraId="2B79DE27" w14:textId="77777777" w:rsidR="00F87D85" w:rsidRPr="00A41B49" w:rsidRDefault="00F87D85" w:rsidP="00676A20">
            <w:pPr>
              <w:jc w:val="center"/>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Сільське, лісове та рибне господарство</w:t>
            </w:r>
          </w:p>
        </w:tc>
        <w:tc>
          <w:tcPr>
            <w:tcW w:w="1134" w:type="dxa"/>
            <w:vAlign w:val="center"/>
          </w:tcPr>
          <w:p w14:paraId="7D4C3B62"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21,5</w:t>
            </w:r>
          </w:p>
        </w:tc>
        <w:tc>
          <w:tcPr>
            <w:tcW w:w="708" w:type="dxa"/>
            <w:vAlign w:val="center"/>
          </w:tcPr>
          <w:p w14:paraId="708F07CC"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0,5</w:t>
            </w:r>
          </w:p>
        </w:tc>
        <w:tc>
          <w:tcPr>
            <w:tcW w:w="922" w:type="dxa"/>
            <w:vAlign w:val="center"/>
          </w:tcPr>
          <w:p w14:paraId="3A2B1E36"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70,8</w:t>
            </w:r>
          </w:p>
        </w:tc>
        <w:tc>
          <w:tcPr>
            <w:tcW w:w="709" w:type="dxa"/>
            <w:vAlign w:val="center"/>
          </w:tcPr>
          <w:p w14:paraId="2332D642"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1,1</w:t>
            </w:r>
          </w:p>
        </w:tc>
        <w:tc>
          <w:tcPr>
            <w:tcW w:w="992" w:type="dxa"/>
            <w:vAlign w:val="center"/>
          </w:tcPr>
          <w:p w14:paraId="7052773E"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46,15</w:t>
            </w:r>
          </w:p>
        </w:tc>
        <w:tc>
          <w:tcPr>
            <w:tcW w:w="850" w:type="dxa"/>
            <w:vAlign w:val="center"/>
          </w:tcPr>
          <w:p w14:paraId="26B57A7D"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0,8</w:t>
            </w:r>
          </w:p>
        </w:tc>
        <w:tc>
          <w:tcPr>
            <w:tcW w:w="992" w:type="dxa"/>
            <w:vAlign w:val="center"/>
          </w:tcPr>
          <w:p w14:paraId="1B28D5B8"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49,3</w:t>
            </w:r>
          </w:p>
        </w:tc>
        <w:tc>
          <w:tcPr>
            <w:tcW w:w="674" w:type="dxa"/>
            <w:vAlign w:val="center"/>
          </w:tcPr>
          <w:p w14:paraId="089BB230"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0,7</w:t>
            </w:r>
          </w:p>
        </w:tc>
      </w:tr>
      <w:tr w:rsidR="00A41B49" w:rsidRPr="00A41B49" w14:paraId="30BF9769" w14:textId="77777777" w:rsidTr="00883459">
        <w:trPr>
          <w:jc w:val="center"/>
        </w:trPr>
        <w:tc>
          <w:tcPr>
            <w:tcW w:w="2802" w:type="dxa"/>
            <w:vAlign w:val="center"/>
          </w:tcPr>
          <w:p w14:paraId="68A27067" w14:textId="77777777" w:rsidR="00F87D85" w:rsidRPr="00A41B49" w:rsidRDefault="00F87D85" w:rsidP="00676A20">
            <w:pPr>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Промисловість</w:t>
            </w:r>
          </w:p>
        </w:tc>
        <w:tc>
          <w:tcPr>
            <w:tcW w:w="1134" w:type="dxa"/>
            <w:vAlign w:val="center"/>
          </w:tcPr>
          <w:p w14:paraId="3ABEFD9A"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3349,2</w:t>
            </w:r>
          </w:p>
        </w:tc>
        <w:tc>
          <w:tcPr>
            <w:tcW w:w="708" w:type="dxa"/>
            <w:vAlign w:val="center"/>
          </w:tcPr>
          <w:p w14:paraId="4C13E326"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71,8</w:t>
            </w:r>
          </w:p>
        </w:tc>
        <w:tc>
          <w:tcPr>
            <w:tcW w:w="922" w:type="dxa"/>
            <w:vAlign w:val="center"/>
          </w:tcPr>
          <w:p w14:paraId="31FDF95B"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4553,2</w:t>
            </w:r>
          </w:p>
        </w:tc>
        <w:tc>
          <w:tcPr>
            <w:tcW w:w="709" w:type="dxa"/>
            <w:vAlign w:val="center"/>
          </w:tcPr>
          <w:p w14:paraId="7753D5A6"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73,4</w:t>
            </w:r>
          </w:p>
        </w:tc>
        <w:tc>
          <w:tcPr>
            <w:tcW w:w="992" w:type="dxa"/>
            <w:vAlign w:val="center"/>
          </w:tcPr>
          <w:p w14:paraId="663826FB"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3951,2</w:t>
            </w:r>
          </w:p>
        </w:tc>
        <w:tc>
          <w:tcPr>
            <w:tcW w:w="850" w:type="dxa"/>
            <w:vAlign w:val="center"/>
          </w:tcPr>
          <w:p w14:paraId="133C57C2"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72,6</w:t>
            </w:r>
          </w:p>
        </w:tc>
        <w:tc>
          <w:tcPr>
            <w:tcW w:w="992" w:type="dxa"/>
            <w:vAlign w:val="center"/>
          </w:tcPr>
          <w:p w14:paraId="0CFF6886"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1204</w:t>
            </w:r>
          </w:p>
        </w:tc>
        <w:tc>
          <w:tcPr>
            <w:tcW w:w="674" w:type="dxa"/>
            <w:vAlign w:val="center"/>
          </w:tcPr>
          <w:p w14:paraId="3D599540"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1,5</w:t>
            </w:r>
          </w:p>
        </w:tc>
      </w:tr>
      <w:tr w:rsidR="00A41B49" w:rsidRPr="00A41B49" w14:paraId="2F0E2499" w14:textId="77777777" w:rsidTr="00883459">
        <w:trPr>
          <w:jc w:val="center"/>
        </w:trPr>
        <w:tc>
          <w:tcPr>
            <w:tcW w:w="2802" w:type="dxa"/>
            <w:vAlign w:val="center"/>
          </w:tcPr>
          <w:p w14:paraId="412064D8" w14:textId="77777777" w:rsidR="00F87D85" w:rsidRPr="00A41B49" w:rsidRDefault="00F87D85" w:rsidP="00676A20">
            <w:pPr>
              <w:ind w:left="284"/>
              <w:jc w:val="both"/>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Добувна промисловість і розроблення кар'єрів</w:t>
            </w:r>
          </w:p>
        </w:tc>
        <w:tc>
          <w:tcPr>
            <w:tcW w:w="1134" w:type="dxa"/>
            <w:vAlign w:val="center"/>
          </w:tcPr>
          <w:p w14:paraId="12C99A2C"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1977,1</w:t>
            </w:r>
          </w:p>
        </w:tc>
        <w:tc>
          <w:tcPr>
            <w:tcW w:w="708" w:type="dxa"/>
            <w:vAlign w:val="center"/>
          </w:tcPr>
          <w:p w14:paraId="5B2C4C72"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42,4</w:t>
            </w:r>
          </w:p>
        </w:tc>
        <w:tc>
          <w:tcPr>
            <w:tcW w:w="922" w:type="dxa"/>
            <w:vAlign w:val="center"/>
          </w:tcPr>
          <w:p w14:paraId="4D7D8FAC"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2771,1</w:t>
            </w:r>
          </w:p>
        </w:tc>
        <w:tc>
          <w:tcPr>
            <w:tcW w:w="709" w:type="dxa"/>
            <w:vAlign w:val="center"/>
          </w:tcPr>
          <w:p w14:paraId="64FDA6A7"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44,7</w:t>
            </w:r>
          </w:p>
        </w:tc>
        <w:tc>
          <w:tcPr>
            <w:tcW w:w="992" w:type="dxa"/>
            <w:vAlign w:val="center"/>
          </w:tcPr>
          <w:p w14:paraId="71EF4775"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2374,1</w:t>
            </w:r>
          </w:p>
        </w:tc>
        <w:tc>
          <w:tcPr>
            <w:tcW w:w="850" w:type="dxa"/>
            <w:vAlign w:val="center"/>
          </w:tcPr>
          <w:p w14:paraId="039537D6"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43,5</w:t>
            </w:r>
          </w:p>
        </w:tc>
        <w:tc>
          <w:tcPr>
            <w:tcW w:w="992" w:type="dxa"/>
            <w:vAlign w:val="center"/>
          </w:tcPr>
          <w:p w14:paraId="0E8BC89D"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794</w:t>
            </w:r>
          </w:p>
        </w:tc>
        <w:tc>
          <w:tcPr>
            <w:tcW w:w="674" w:type="dxa"/>
            <w:vAlign w:val="center"/>
          </w:tcPr>
          <w:p w14:paraId="239BE788" w14:textId="77777777" w:rsidR="00F87D85" w:rsidRPr="00A41B49" w:rsidRDefault="00F87D85"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2,3</w:t>
            </w:r>
          </w:p>
        </w:tc>
      </w:tr>
      <w:tr w:rsidR="00A41B49" w:rsidRPr="00A41B49" w14:paraId="747EB05D" w14:textId="77777777" w:rsidTr="00883459">
        <w:trPr>
          <w:jc w:val="center"/>
        </w:trPr>
        <w:tc>
          <w:tcPr>
            <w:tcW w:w="2802" w:type="dxa"/>
            <w:vAlign w:val="center"/>
          </w:tcPr>
          <w:p w14:paraId="4C9ED367" w14:textId="77777777" w:rsidR="00C87D07" w:rsidRPr="00A41B49" w:rsidRDefault="00C87D07" w:rsidP="00676A20">
            <w:pPr>
              <w:ind w:left="284"/>
              <w:jc w:val="both"/>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Переробна промисловість</w:t>
            </w:r>
          </w:p>
        </w:tc>
        <w:tc>
          <w:tcPr>
            <w:tcW w:w="1134" w:type="dxa"/>
            <w:vAlign w:val="center"/>
          </w:tcPr>
          <w:p w14:paraId="0420FDC0"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1295,6</w:t>
            </w:r>
          </w:p>
        </w:tc>
        <w:tc>
          <w:tcPr>
            <w:tcW w:w="708" w:type="dxa"/>
            <w:vAlign w:val="center"/>
          </w:tcPr>
          <w:p w14:paraId="00B34E60"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27,8</w:t>
            </w:r>
          </w:p>
        </w:tc>
        <w:tc>
          <w:tcPr>
            <w:tcW w:w="922" w:type="dxa"/>
            <w:vAlign w:val="center"/>
          </w:tcPr>
          <w:p w14:paraId="79D25F03"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1580,5</w:t>
            </w:r>
          </w:p>
        </w:tc>
        <w:tc>
          <w:tcPr>
            <w:tcW w:w="709" w:type="dxa"/>
            <w:vAlign w:val="center"/>
          </w:tcPr>
          <w:p w14:paraId="1693E164"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25,5</w:t>
            </w:r>
          </w:p>
        </w:tc>
        <w:tc>
          <w:tcPr>
            <w:tcW w:w="992" w:type="dxa"/>
            <w:vAlign w:val="center"/>
          </w:tcPr>
          <w:p w14:paraId="423A7C8A"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1438,05</w:t>
            </w:r>
          </w:p>
        </w:tc>
        <w:tc>
          <w:tcPr>
            <w:tcW w:w="850" w:type="dxa"/>
            <w:vAlign w:val="center"/>
          </w:tcPr>
          <w:p w14:paraId="58C89159"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26,6</w:t>
            </w:r>
          </w:p>
        </w:tc>
        <w:tc>
          <w:tcPr>
            <w:tcW w:w="992" w:type="dxa"/>
            <w:vAlign w:val="center"/>
          </w:tcPr>
          <w:p w14:paraId="217CEDA8"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284,9</w:t>
            </w:r>
          </w:p>
        </w:tc>
        <w:tc>
          <w:tcPr>
            <w:tcW w:w="674" w:type="dxa"/>
            <w:vAlign w:val="center"/>
          </w:tcPr>
          <w:p w14:paraId="50B61634"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-2,3</w:t>
            </w:r>
          </w:p>
        </w:tc>
      </w:tr>
      <w:tr w:rsidR="00A41B49" w:rsidRPr="00A41B49" w14:paraId="05BCB8D4" w14:textId="77777777" w:rsidTr="00883459">
        <w:trPr>
          <w:jc w:val="center"/>
        </w:trPr>
        <w:tc>
          <w:tcPr>
            <w:tcW w:w="2802" w:type="dxa"/>
            <w:vAlign w:val="center"/>
          </w:tcPr>
          <w:p w14:paraId="3B40DA12" w14:textId="77777777" w:rsidR="00C87D07" w:rsidRPr="00A41B49" w:rsidRDefault="00C87D07" w:rsidP="00676A20">
            <w:pPr>
              <w:ind w:left="284"/>
              <w:jc w:val="both"/>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Постачання електроенергії, газу, пари та кондиційованого повітря</w:t>
            </w:r>
          </w:p>
        </w:tc>
        <w:tc>
          <w:tcPr>
            <w:tcW w:w="1134" w:type="dxa"/>
            <w:vAlign w:val="center"/>
          </w:tcPr>
          <w:p w14:paraId="41FAA8CD"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68,1</w:t>
            </w:r>
          </w:p>
        </w:tc>
        <w:tc>
          <w:tcPr>
            <w:tcW w:w="708" w:type="dxa"/>
            <w:vAlign w:val="center"/>
          </w:tcPr>
          <w:p w14:paraId="482A8628"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1,5</w:t>
            </w:r>
          </w:p>
        </w:tc>
        <w:tc>
          <w:tcPr>
            <w:tcW w:w="922" w:type="dxa"/>
            <w:vAlign w:val="center"/>
          </w:tcPr>
          <w:p w14:paraId="22698386"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709" w:type="dxa"/>
            <w:vAlign w:val="center"/>
          </w:tcPr>
          <w:p w14:paraId="44E78119"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992" w:type="dxa"/>
            <w:vAlign w:val="center"/>
          </w:tcPr>
          <w:p w14:paraId="0050789F"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850" w:type="dxa"/>
            <w:vAlign w:val="center"/>
          </w:tcPr>
          <w:p w14:paraId="2A302BC1"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992" w:type="dxa"/>
            <w:vAlign w:val="center"/>
          </w:tcPr>
          <w:p w14:paraId="150B433D"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674" w:type="dxa"/>
            <w:vAlign w:val="center"/>
          </w:tcPr>
          <w:p w14:paraId="6C1F3EE5"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r>
      <w:tr w:rsidR="00A41B49" w:rsidRPr="00A41B49" w14:paraId="388A744F" w14:textId="77777777" w:rsidTr="00883459">
        <w:trPr>
          <w:jc w:val="center"/>
        </w:trPr>
        <w:tc>
          <w:tcPr>
            <w:tcW w:w="2802" w:type="dxa"/>
            <w:vAlign w:val="center"/>
          </w:tcPr>
          <w:p w14:paraId="340B4434" w14:textId="77777777" w:rsidR="00C87D07" w:rsidRPr="00A41B49" w:rsidRDefault="00C87D07" w:rsidP="00676A20">
            <w:pPr>
              <w:ind w:left="284"/>
              <w:jc w:val="both"/>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Водопостачання; каналізація, поводження з відходами</w:t>
            </w:r>
          </w:p>
        </w:tc>
        <w:tc>
          <w:tcPr>
            <w:tcW w:w="1134" w:type="dxa"/>
            <w:vAlign w:val="center"/>
          </w:tcPr>
          <w:p w14:paraId="2F4458A8"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8,3</w:t>
            </w:r>
          </w:p>
        </w:tc>
        <w:tc>
          <w:tcPr>
            <w:tcW w:w="708" w:type="dxa"/>
            <w:vAlign w:val="center"/>
          </w:tcPr>
          <w:p w14:paraId="6C09EFBB"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0,2</w:t>
            </w:r>
          </w:p>
        </w:tc>
        <w:tc>
          <w:tcPr>
            <w:tcW w:w="922" w:type="dxa"/>
            <w:vAlign w:val="center"/>
          </w:tcPr>
          <w:p w14:paraId="543EDCCE"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709" w:type="dxa"/>
            <w:vAlign w:val="center"/>
          </w:tcPr>
          <w:p w14:paraId="0AA9BF0E"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992" w:type="dxa"/>
            <w:vAlign w:val="center"/>
          </w:tcPr>
          <w:p w14:paraId="2D132500"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850" w:type="dxa"/>
            <w:vAlign w:val="center"/>
          </w:tcPr>
          <w:p w14:paraId="527F2B38"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992" w:type="dxa"/>
            <w:vAlign w:val="center"/>
          </w:tcPr>
          <w:p w14:paraId="73A9E25A"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674" w:type="dxa"/>
            <w:vAlign w:val="center"/>
          </w:tcPr>
          <w:p w14:paraId="575D7CD2"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r>
      <w:tr w:rsidR="00A41B49" w:rsidRPr="00A41B49" w14:paraId="7B1A6618" w14:textId="77777777" w:rsidTr="00883459">
        <w:trPr>
          <w:jc w:val="center"/>
        </w:trPr>
        <w:tc>
          <w:tcPr>
            <w:tcW w:w="2802" w:type="dxa"/>
            <w:vAlign w:val="center"/>
          </w:tcPr>
          <w:p w14:paraId="329CC361" w14:textId="77777777" w:rsidR="00C87D07" w:rsidRPr="00A41B49" w:rsidRDefault="00C87D07" w:rsidP="00676A20">
            <w:pPr>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Будівництво</w:t>
            </w:r>
          </w:p>
        </w:tc>
        <w:tc>
          <w:tcPr>
            <w:tcW w:w="1134" w:type="dxa"/>
            <w:vAlign w:val="center"/>
          </w:tcPr>
          <w:p w14:paraId="4300416C"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10,7</w:t>
            </w:r>
          </w:p>
        </w:tc>
        <w:tc>
          <w:tcPr>
            <w:tcW w:w="708" w:type="dxa"/>
            <w:vAlign w:val="center"/>
          </w:tcPr>
          <w:p w14:paraId="7BDA9643"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0,2</w:t>
            </w:r>
          </w:p>
        </w:tc>
        <w:tc>
          <w:tcPr>
            <w:tcW w:w="922" w:type="dxa"/>
            <w:vAlign w:val="center"/>
          </w:tcPr>
          <w:p w14:paraId="0BC373DE"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3,8</w:t>
            </w:r>
          </w:p>
        </w:tc>
        <w:tc>
          <w:tcPr>
            <w:tcW w:w="709" w:type="dxa"/>
            <w:vAlign w:val="center"/>
          </w:tcPr>
          <w:p w14:paraId="6440B1EF"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0,1</w:t>
            </w:r>
          </w:p>
        </w:tc>
        <w:tc>
          <w:tcPr>
            <w:tcW w:w="992" w:type="dxa"/>
            <w:vAlign w:val="center"/>
          </w:tcPr>
          <w:p w14:paraId="20F7170F"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7,25</w:t>
            </w:r>
          </w:p>
        </w:tc>
        <w:tc>
          <w:tcPr>
            <w:tcW w:w="850" w:type="dxa"/>
            <w:vAlign w:val="center"/>
          </w:tcPr>
          <w:p w14:paraId="423C703E"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0,1</w:t>
            </w:r>
          </w:p>
        </w:tc>
        <w:tc>
          <w:tcPr>
            <w:tcW w:w="992" w:type="dxa"/>
            <w:vAlign w:val="center"/>
          </w:tcPr>
          <w:p w14:paraId="23AAD38A"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-6,9</w:t>
            </w:r>
          </w:p>
        </w:tc>
        <w:tc>
          <w:tcPr>
            <w:tcW w:w="674" w:type="dxa"/>
            <w:vAlign w:val="center"/>
          </w:tcPr>
          <w:p w14:paraId="6B8226E1"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-0,2</w:t>
            </w:r>
          </w:p>
        </w:tc>
      </w:tr>
      <w:tr w:rsidR="00A41B49" w:rsidRPr="00A41B49" w14:paraId="2195B8D3" w14:textId="77777777" w:rsidTr="00883459">
        <w:trPr>
          <w:jc w:val="center"/>
        </w:trPr>
        <w:tc>
          <w:tcPr>
            <w:tcW w:w="2802" w:type="dxa"/>
            <w:vAlign w:val="center"/>
          </w:tcPr>
          <w:p w14:paraId="3ECB9756" w14:textId="77777777" w:rsidR="00C87D07" w:rsidRPr="00A41B49" w:rsidRDefault="00C87D07" w:rsidP="00676A20">
            <w:pPr>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 xml:space="preserve">Оптова та роздрібна торгівля; ремонт автотранспортних </w:t>
            </w:r>
            <w:r w:rsidR="00883459" w:rsidRPr="00A41B49">
              <w:rPr>
                <w:rFonts w:ascii="Times New Roman" w:eastAsia="Times New Roman" w:hAnsi="Times New Roman" w:cs="Times New Roman"/>
                <w:spacing w:val="-4"/>
                <w:sz w:val="24"/>
                <w:szCs w:val="24"/>
                <w:lang w:val="uk-UA" w:eastAsia="ru-RU"/>
              </w:rPr>
              <w:t>засобів і мотоциклів</w:t>
            </w:r>
          </w:p>
        </w:tc>
        <w:tc>
          <w:tcPr>
            <w:tcW w:w="1134" w:type="dxa"/>
            <w:vAlign w:val="center"/>
          </w:tcPr>
          <w:p w14:paraId="23799862"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629,2</w:t>
            </w:r>
          </w:p>
        </w:tc>
        <w:tc>
          <w:tcPr>
            <w:tcW w:w="708" w:type="dxa"/>
            <w:vAlign w:val="center"/>
          </w:tcPr>
          <w:p w14:paraId="0AD7AEC9"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13,5</w:t>
            </w:r>
          </w:p>
        </w:tc>
        <w:tc>
          <w:tcPr>
            <w:tcW w:w="922" w:type="dxa"/>
            <w:vAlign w:val="center"/>
          </w:tcPr>
          <w:p w14:paraId="0F591DEE"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848,6</w:t>
            </w:r>
          </w:p>
        </w:tc>
        <w:tc>
          <w:tcPr>
            <w:tcW w:w="709" w:type="dxa"/>
            <w:vAlign w:val="center"/>
          </w:tcPr>
          <w:p w14:paraId="68DDDCD2"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13,7</w:t>
            </w:r>
          </w:p>
        </w:tc>
        <w:tc>
          <w:tcPr>
            <w:tcW w:w="992" w:type="dxa"/>
            <w:vAlign w:val="center"/>
          </w:tcPr>
          <w:p w14:paraId="226D4852"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738,9</w:t>
            </w:r>
          </w:p>
        </w:tc>
        <w:tc>
          <w:tcPr>
            <w:tcW w:w="850" w:type="dxa"/>
            <w:vAlign w:val="center"/>
          </w:tcPr>
          <w:p w14:paraId="557C3812"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13,6</w:t>
            </w:r>
          </w:p>
        </w:tc>
        <w:tc>
          <w:tcPr>
            <w:tcW w:w="992" w:type="dxa"/>
            <w:vAlign w:val="center"/>
          </w:tcPr>
          <w:p w14:paraId="197FF2EB"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219,4</w:t>
            </w:r>
          </w:p>
        </w:tc>
        <w:tc>
          <w:tcPr>
            <w:tcW w:w="674" w:type="dxa"/>
            <w:vAlign w:val="center"/>
          </w:tcPr>
          <w:p w14:paraId="5C96D5D2" w14:textId="77777777" w:rsidR="00C87D07" w:rsidRPr="00A41B49" w:rsidRDefault="00C87D07"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0,2</w:t>
            </w:r>
          </w:p>
        </w:tc>
      </w:tr>
    </w:tbl>
    <w:p w14:paraId="07E040D6" w14:textId="77777777" w:rsidR="00883459" w:rsidRPr="00A41B49" w:rsidRDefault="00883459" w:rsidP="00883459">
      <w:pPr>
        <w:spacing w:after="0" w:line="240" w:lineRule="auto"/>
        <w:rPr>
          <w:rFonts w:ascii="Times New Roman" w:hAnsi="Times New Roman" w:cs="Times New Roman"/>
          <w:sz w:val="24"/>
          <w:szCs w:val="24"/>
          <w:lang w:val="uk-UA"/>
        </w:rPr>
      </w:pPr>
      <w:r w:rsidRPr="00A41B49">
        <w:rPr>
          <w:rFonts w:ascii="Times New Roman" w:hAnsi="Times New Roman" w:cs="Times New Roman"/>
          <w:sz w:val="28"/>
          <w:szCs w:val="28"/>
          <w:lang w:val="uk-UA"/>
        </w:rPr>
        <w:lastRenderedPageBreak/>
        <w:t xml:space="preserve">Продовження таблиці </w:t>
      </w:r>
      <w:r w:rsidR="0012064A" w:rsidRPr="00A41B49">
        <w:rPr>
          <w:rFonts w:ascii="Times New Roman" w:hAnsi="Times New Roman" w:cs="Times New Roman"/>
          <w:sz w:val="28"/>
          <w:szCs w:val="28"/>
          <w:lang w:val="uk-UA"/>
        </w:rPr>
        <w:t>3.</w:t>
      </w:r>
      <w:r w:rsidRPr="00A41B49">
        <w:rPr>
          <w:rFonts w:ascii="Times New Roman" w:hAnsi="Times New Roman" w:cs="Times New Roman"/>
          <w:sz w:val="28"/>
          <w:szCs w:val="28"/>
          <w:lang w:val="uk-UA"/>
        </w:rPr>
        <w:t>7</w:t>
      </w:r>
    </w:p>
    <w:tbl>
      <w:tblPr>
        <w:tblStyle w:val="a3"/>
        <w:tblW w:w="9783" w:type="dxa"/>
        <w:jc w:val="center"/>
        <w:tblLayout w:type="fixed"/>
        <w:tblLook w:val="04A0" w:firstRow="1" w:lastRow="0" w:firstColumn="1" w:lastColumn="0" w:noHBand="0" w:noVBand="1"/>
      </w:tblPr>
      <w:tblGrid>
        <w:gridCol w:w="2802"/>
        <w:gridCol w:w="1134"/>
        <w:gridCol w:w="708"/>
        <w:gridCol w:w="922"/>
        <w:gridCol w:w="709"/>
        <w:gridCol w:w="992"/>
        <w:gridCol w:w="850"/>
        <w:gridCol w:w="992"/>
        <w:gridCol w:w="674"/>
      </w:tblGrid>
      <w:tr w:rsidR="00A41B49" w:rsidRPr="00A41B49" w14:paraId="4E36A846" w14:textId="77777777" w:rsidTr="007C7161">
        <w:trPr>
          <w:jc w:val="center"/>
        </w:trPr>
        <w:tc>
          <w:tcPr>
            <w:tcW w:w="2802" w:type="dxa"/>
          </w:tcPr>
          <w:p w14:paraId="4123FE7A" w14:textId="77777777" w:rsidR="00883459" w:rsidRPr="00A41B49" w:rsidRDefault="00883459" w:rsidP="003E0B06">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1</w:t>
            </w:r>
          </w:p>
        </w:tc>
        <w:tc>
          <w:tcPr>
            <w:tcW w:w="1134" w:type="dxa"/>
            <w:vAlign w:val="center"/>
          </w:tcPr>
          <w:p w14:paraId="1CE652A8" w14:textId="77777777" w:rsidR="00883459" w:rsidRPr="00A41B49" w:rsidRDefault="00883459" w:rsidP="003E0B06">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2</w:t>
            </w:r>
          </w:p>
        </w:tc>
        <w:tc>
          <w:tcPr>
            <w:tcW w:w="708" w:type="dxa"/>
            <w:vAlign w:val="center"/>
          </w:tcPr>
          <w:p w14:paraId="4AFDC3AF" w14:textId="77777777" w:rsidR="00883459" w:rsidRPr="00A41B49" w:rsidRDefault="00883459" w:rsidP="003E0B06">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3</w:t>
            </w:r>
          </w:p>
        </w:tc>
        <w:tc>
          <w:tcPr>
            <w:tcW w:w="922" w:type="dxa"/>
            <w:vAlign w:val="center"/>
          </w:tcPr>
          <w:p w14:paraId="0448E373" w14:textId="77777777" w:rsidR="00883459" w:rsidRPr="00A41B49" w:rsidRDefault="00883459" w:rsidP="003E0B06">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4</w:t>
            </w:r>
          </w:p>
        </w:tc>
        <w:tc>
          <w:tcPr>
            <w:tcW w:w="709" w:type="dxa"/>
            <w:vAlign w:val="center"/>
          </w:tcPr>
          <w:p w14:paraId="7B4A6234" w14:textId="77777777" w:rsidR="00883459" w:rsidRPr="00A41B49" w:rsidRDefault="00883459" w:rsidP="003E0B06">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5</w:t>
            </w:r>
          </w:p>
        </w:tc>
        <w:tc>
          <w:tcPr>
            <w:tcW w:w="992" w:type="dxa"/>
            <w:vAlign w:val="center"/>
          </w:tcPr>
          <w:p w14:paraId="6FA66444" w14:textId="77777777" w:rsidR="00883459" w:rsidRPr="00A41B49" w:rsidRDefault="00883459" w:rsidP="003E0B06">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6</w:t>
            </w:r>
          </w:p>
        </w:tc>
        <w:tc>
          <w:tcPr>
            <w:tcW w:w="850" w:type="dxa"/>
            <w:vAlign w:val="center"/>
          </w:tcPr>
          <w:p w14:paraId="5D617CD0" w14:textId="77777777" w:rsidR="00883459" w:rsidRPr="00A41B49" w:rsidRDefault="00883459" w:rsidP="003E0B06">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7</w:t>
            </w:r>
          </w:p>
        </w:tc>
        <w:tc>
          <w:tcPr>
            <w:tcW w:w="992" w:type="dxa"/>
            <w:vAlign w:val="center"/>
          </w:tcPr>
          <w:p w14:paraId="7FFE17FE" w14:textId="77777777" w:rsidR="00883459" w:rsidRPr="00A41B49" w:rsidRDefault="00883459" w:rsidP="003E0B06">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8</w:t>
            </w:r>
          </w:p>
        </w:tc>
        <w:tc>
          <w:tcPr>
            <w:tcW w:w="674" w:type="dxa"/>
            <w:vAlign w:val="center"/>
          </w:tcPr>
          <w:p w14:paraId="51EB62B5" w14:textId="77777777" w:rsidR="00883459" w:rsidRPr="00A41B49" w:rsidRDefault="00883459" w:rsidP="003E0B06">
            <w:pPr>
              <w:jc w:val="center"/>
              <w:rPr>
                <w:rFonts w:ascii="Times New Roman" w:hAnsi="Times New Roman" w:cs="Times New Roman"/>
                <w:i/>
                <w:spacing w:val="-4"/>
                <w:sz w:val="24"/>
                <w:szCs w:val="24"/>
                <w:lang w:val="uk-UA"/>
              </w:rPr>
            </w:pPr>
            <w:r w:rsidRPr="00A41B49">
              <w:rPr>
                <w:rFonts w:ascii="Times New Roman" w:hAnsi="Times New Roman" w:cs="Times New Roman"/>
                <w:i/>
                <w:spacing w:val="-4"/>
                <w:sz w:val="24"/>
                <w:szCs w:val="24"/>
                <w:lang w:val="uk-UA"/>
              </w:rPr>
              <w:t>9</w:t>
            </w:r>
          </w:p>
        </w:tc>
      </w:tr>
      <w:tr w:rsidR="00A41B49" w:rsidRPr="00A41B49" w14:paraId="4CBB11E0" w14:textId="77777777" w:rsidTr="00883459">
        <w:trPr>
          <w:jc w:val="center"/>
        </w:trPr>
        <w:tc>
          <w:tcPr>
            <w:tcW w:w="2802" w:type="dxa"/>
            <w:vAlign w:val="center"/>
          </w:tcPr>
          <w:p w14:paraId="21E25C33" w14:textId="77777777" w:rsidR="00883459" w:rsidRPr="00A41B49" w:rsidRDefault="00883459" w:rsidP="00676A20">
            <w:pPr>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Транспорт, складське господарство, поштова та кур'єрська діяльність</w:t>
            </w:r>
          </w:p>
        </w:tc>
        <w:tc>
          <w:tcPr>
            <w:tcW w:w="1134" w:type="dxa"/>
            <w:vAlign w:val="center"/>
          </w:tcPr>
          <w:p w14:paraId="03F7D10B"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247,3</w:t>
            </w:r>
          </w:p>
        </w:tc>
        <w:tc>
          <w:tcPr>
            <w:tcW w:w="708" w:type="dxa"/>
            <w:vAlign w:val="center"/>
          </w:tcPr>
          <w:p w14:paraId="551B5588"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5,3</w:t>
            </w:r>
          </w:p>
        </w:tc>
        <w:tc>
          <w:tcPr>
            <w:tcW w:w="922" w:type="dxa"/>
            <w:vAlign w:val="center"/>
          </w:tcPr>
          <w:p w14:paraId="14AD27A3"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202,9</w:t>
            </w:r>
          </w:p>
        </w:tc>
        <w:tc>
          <w:tcPr>
            <w:tcW w:w="709" w:type="dxa"/>
            <w:vAlign w:val="center"/>
          </w:tcPr>
          <w:p w14:paraId="51D65AE6"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3,3</w:t>
            </w:r>
          </w:p>
        </w:tc>
        <w:tc>
          <w:tcPr>
            <w:tcW w:w="992" w:type="dxa"/>
            <w:vAlign w:val="center"/>
          </w:tcPr>
          <w:p w14:paraId="276A1CB9"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225,1</w:t>
            </w:r>
          </w:p>
        </w:tc>
        <w:tc>
          <w:tcPr>
            <w:tcW w:w="850" w:type="dxa"/>
            <w:vAlign w:val="center"/>
          </w:tcPr>
          <w:p w14:paraId="2CDC9FA7"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4,3</w:t>
            </w:r>
          </w:p>
        </w:tc>
        <w:tc>
          <w:tcPr>
            <w:tcW w:w="992" w:type="dxa"/>
            <w:vAlign w:val="center"/>
          </w:tcPr>
          <w:p w14:paraId="26E59738"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-44,4</w:t>
            </w:r>
          </w:p>
        </w:tc>
        <w:tc>
          <w:tcPr>
            <w:tcW w:w="674" w:type="dxa"/>
            <w:vAlign w:val="center"/>
          </w:tcPr>
          <w:p w14:paraId="50E7191B"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-2,0</w:t>
            </w:r>
          </w:p>
        </w:tc>
      </w:tr>
      <w:tr w:rsidR="00A41B49" w:rsidRPr="00A41B49" w14:paraId="45FD72D4" w14:textId="77777777" w:rsidTr="00883459">
        <w:trPr>
          <w:jc w:val="center"/>
        </w:trPr>
        <w:tc>
          <w:tcPr>
            <w:tcW w:w="2802" w:type="dxa"/>
            <w:vAlign w:val="center"/>
          </w:tcPr>
          <w:p w14:paraId="3FA99BE3" w14:textId="77777777" w:rsidR="00883459" w:rsidRPr="00A41B49" w:rsidRDefault="00883459" w:rsidP="00676A20">
            <w:pPr>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Тимчасове розміщування й організація харчування</w:t>
            </w:r>
          </w:p>
        </w:tc>
        <w:tc>
          <w:tcPr>
            <w:tcW w:w="1134" w:type="dxa"/>
            <w:vAlign w:val="center"/>
          </w:tcPr>
          <w:p w14:paraId="68CE2150"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1,1</w:t>
            </w:r>
          </w:p>
        </w:tc>
        <w:tc>
          <w:tcPr>
            <w:tcW w:w="708" w:type="dxa"/>
            <w:vAlign w:val="center"/>
          </w:tcPr>
          <w:p w14:paraId="46E0EFB3"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0,0</w:t>
            </w:r>
          </w:p>
        </w:tc>
        <w:tc>
          <w:tcPr>
            <w:tcW w:w="922" w:type="dxa"/>
            <w:vAlign w:val="center"/>
          </w:tcPr>
          <w:p w14:paraId="3E58869C"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4,5</w:t>
            </w:r>
          </w:p>
        </w:tc>
        <w:tc>
          <w:tcPr>
            <w:tcW w:w="709" w:type="dxa"/>
            <w:vAlign w:val="center"/>
          </w:tcPr>
          <w:p w14:paraId="6530EDAE"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0,1</w:t>
            </w:r>
          </w:p>
        </w:tc>
        <w:tc>
          <w:tcPr>
            <w:tcW w:w="992" w:type="dxa"/>
            <w:vAlign w:val="center"/>
          </w:tcPr>
          <w:p w14:paraId="211B1257"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2,8</w:t>
            </w:r>
          </w:p>
        </w:tc>
        <w:tc>
          <w:tcPr>
            <w:tcW w:w="850" w:type="dxa"/>
            <w:vAlign w:val="center"/>
          </w:tcPr>
          <w:p w14:paraId="269B5D30"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0,0</w:t>
            </w:r>
          </w:p>
        </w:tc>
        <w:tc>
          <w:tcPr>
            <w:tcW w:w="992" w:type="dxa"/>
            <w:vAlign w:val="center"/>
          </w:tcPr>
          <w:p w14:paraId="3152BC27"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3,4</w:t>
            </w:r>
          </w:p>
        </w:tc>
        <w:tc>
          <w:tcPr>
            <w:tcW w:w="674" w:type="dxa"/>
            <w:vAlign w:val="center"/>
          </w:tcPr>
          <w:p w14:paraId="4E08E31B"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0,0</w:t>
            </w:r>
          </w:p>
        </w:tc>
      </w:tr>
      <w:tr w:rsidR="00A41B49" w:rsidRPr="00A41B49" w14:paraId="1071A69D" w14:textId="77777777" w:rsidTr="00883459">
        <w:trPr>
          <w:jc w:val="center"/>
        </w:trPr>
        <w:tc>
          <w:tcPr>
            <w:tcW w:w="2802" w:type="dxa"/>
            <w:vAlign w:val="center"/>
          </w:tcPr>
          <w:p w14:paraId="272AF7B3" w14:textId="77777777" w:rsidR="00883459" w:rsidRPr="00A41B49" w:rsidRDefault="00883459" w:rsidP="00676A20">
            <w:pPr>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Інформація та телекомунікації</w:t>
            </w:r>
          </w:p>
        </w:tc>
        <w:tc>
          <w:tcPr>
            <w:tcW w:w="1134" w:type="dxa"/>
            <w:vAlign w:val="center"/>
          </w:tcPr>
          <w:p w14:paraId="366D48D9"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7,7</w:t>
            </w:r>
          </w:p>
        </w:tc>
        <w:tc>
          <w:tcPr>
            <w:tcW w:w="708" w:type="dxa"/>
            <w:vAlign w:val="center"/>
          </w:tcPr>
          <w:p w14:paraId="199076DD"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0,2</w:t>
            </w:r>
          </w:p>
        </w:tc>
        <w:tc>
          <w:tcPr>
            <w:tcW w:w="922" w:type="dxa"/>
            <w:vAlign w:val="center"/>
          </w:tcPr>
          <w:p w14:paraId="562CC171"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12,4</w:t>
            </w:r>
          </w:p>
        </w:tc>
        <w:tc>
          <w:tcPr>
            <w:tcW w:w="709" w:type="dxa"/>
            <w:vAlign w:val="center"/>
          </w:tcPr>
          <w:p w14:paraId="0E05FEFF"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0,2</w:t>
            </w:r>
          </w:p>
        </w:tc>
        <w:tc>
          <w:tcPr>
            <w:tcW w:w="992" w:type="dxa"/>
            <w:vAlign w:val="center"/>
          </w:tcPr>
          <w:p w14:paraId="1714222E"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10,05</w:t>
            </w:r>
          </w:p>
        </w:tc>
        <w:tc>
          <w:tcPr>
            <w:tcW w:w="850" w:type="dxa"/>
            <w:vAlign w:val="center"/>
          </w:tcPr>
          <w:p w14:paraId="7A6FF242"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0,2</w:t>
            </w:r>
          </w:p>
        </w:tc>
        <w:tc>
          <w:tcPr>
            <w:tcW w:w="992" w:type="dxa"/>
            <w:vAlign w:val="center"/>
          </w:tcPr>
          <w:p w14:paraId="33ADCCFB"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4,7</w:t>
            </w:r>
          </w:p>
        </w:tc>
        <w:tc>
          <w:tcPr>
            <w:tcW w:w="674" w:type="dxa"/>
            <w:vAlign w:val="center"/>
          </w:tcPr>
          <w:p w14:paraId="2D9D8E87"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0,0</w:t>
            </w:r>
          </w:p>
        </w:tc>
      </w:tr>
      <w:tr w:rsidR="00A41B49" w:rsidRPr="00A41B49" w14:paraId="4A38162E" w14:textId="77777777" w:rsidTr="00883459">
        <w:trPr>
          <w:jc w:val="center"/>
        </w:trPr>
        <w:tc>
          <w:tcPr>
            <w:tcW w:w="2802" w:type="dxa"/>
            <w:vAlign w:val="center"/>
          </w:tcPr>
          <w:p w14:paraId="73119924" w14:textId="77777777" w:rsidR="00883459" w:rsidRPr="00A41B49" w:rsidRDefault="00883459" w:rsidP="00676A20">
            <w:pPr>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Фінансова та страхова діяльність</w:t>
            </w:r>
          </w:p>
        </w:tc>
        <w:tc>
          <w:tcPr>
            <w:tcW w:w="1134" w:type="dxa"/>
            <w:vAlign w:val="center"/>
          </w:tcPr>
          <w:p w14:paraId="052CFE8E"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6</w:t>
            </w:r>
          </w:p>
        </w:tc>
        <w:tc>
          <w:tcPr>
            <w:tcW w:w="708" w:type="dxa"/>
            <w:vAlign w:val="center"/>
          </w:tcPr>
          <w:p w14:paraId="2A2E4675"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0,1</w:t>
            </w:r>
          </w:p>
        </w:tc>
        <w:tc>
          <w:tcPr>
            <w:tcW w:w="922" w:type="dxa"/>
            <w:vAlign w:val="center"/>
          </w:tcPr>
          <w:p w14:paraId="4C51CB2C"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55,3</w:t>
            </w:r>
          </w:p>
        </w:tc>
        <w:tc>
          <w:tcPr>
            <w:tcW w:w="709" w:type="dxa"/>
            <w:vAlign w:val="center"/>
          </w:tcPr>
          <w:p w14:paraId="78EC3A90"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0,9</w:t>
            </w:r>
          </w:p>
        </w:tc>
        <w:tc>
          <w:tcPr>
            <w:tcW w:w="992" w:type="dxa"/>
            <w:vAlign w:val="center"/>
          </w:tcPr>
          <w:p w14:paraId="198F8F84"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30,65</w:t>
            </w:r>
          </w:p>
        </w:tc>
        <w:tc>
          <w:tcPr>
            <w:tcW w:w="850" w:type="dxa"/>
            <w:vAlign w:val="center"/>
          </w:tcPr>
          <w:p w14:paraId="33816F54"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0,5</w:t>
            </w:r>
          </w:p>
        </w:tc>
        <w:tc>
          <w:tcPr>
            <w:tcW w:w="992" w:type="dxa"/>
            <w:vAlign w:val="center"/>
          </w:tcPr>
          <w:p w14:paraId="0798C216"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49,3</w:t>
            </w:r>
          </w:p>
        </w:tc>
        <w:tc>
          <w:tcPr>
            <w:tcW w:w="674" w:type="dxa"/>
            <w:vAlign w:val="center"/>
          </w:tcPr>
          <w:p w14:paraId="0A5A6DEF"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0,8</w:t>
            </w:r>
          </w:p>
        </w:tc>
      </w:tr>
      <w:tr w:rsidR="00A41B49" w:rsidRPr="00A41B49" w14:paraId="71361EFD" w14:textId="77777777" w:rsidTr="00883459">
        <w:trPr>
          <w:jc w:val="center"/>
        </w:trPr>
        <w:tc>
          <w:tcPr>
            <w:tcW w:w="2802" w:type="dxa"/>
            <w:vAlign w:val="center"/>
          </w:tcPr>
          <w:p w14:paraId="64B7D0EE" w14:textId="77777777" w:rsidR="00883459" w:rsidRPr="00A41B49" w:rsidRDefault="00883459" w:rsidP="00676A20">
            <w:pPr>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Операції з нерухомим майном</w:t>
            </w:r>
          </w:p>
        </w:tc>
        <w:tc>
          <w:tcPr>
            <w:tcW w:w="1134" w:type="dxa"/>
            <w:vAlign w:val="center"/>
          </w:tcPr>
          <w:p w14:paraId="7AD71BB7"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297</w:t>
            </w:r>
          </w:p>
        </w:tc>
        <w:tc>
          <w:tcPr>
            <w:tcW w:w="708" w:type="dxa"/>
            <w:vAlign w:val="center"/>
          </w:tcPr>
          <w:p w14:paraId="294F32D8"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6,4</w:t>
            </w:r>
          </w:p>
        </w:tc>
        <w:tc>
          <w:tcPr>
            <w:tcW w:w="922" w:type="dxa"/>
            <w:vAlign w:val="center"/>
          </w:tcPr>
          <w:p w14:paraId="5E5E4994"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362,1</w:t>
            </w:r>
          </w:p>
        </w:tc>
        <w:tc>
          <w:tcPr>
            <w:tcW w:w="709" w:type="dxa"/>
            <w:vAlign w:val="center"/>
          </w:tcPr>
          <w:p w14:paraId="6239AD0C"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5,8</w:t>
            </w:r>
          </w:p>
        </w:tc>
        <w:tc>
          <w:tcPr>
            <w:tcW w:w="992" w:type="dxa"/>
            <w:vAlign w:val="center"/>
          </w:tcPr>
          <w:p w14:paraId="59B08FFB"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329,55</w:t>
            </w:r>
          </w:p>
        </w:tc>
        <w:tc>
          <w:tcPr>
            <w:tcW w:w="850" w:type="dxa"/>
            <w:vAlign w:val="center"/>
          </w:tcPr>
          <w:p w14:paraId="65907C3A"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6,1</w:t>
            </w:r>
          </w:p>
        </w:tc>
        <w:tc>
          <w:tcPr>
            <w:tcW w:w="992" w:type="dxa"/>
            <w:vAlign w:val="center"/>
          </w:tcPr>
          <w:p w14:paraId="72FABA6C"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65,1</w:t>
            </w:r>
          </w:p>
        </w:tc>
        <w:tc>
          <w:tcPr>
            <w:tcW w:w="674" w:type="dxa"/>
            <w:vAlign w:val="center"/>
          </w:tcPr>
          <w:p w14:paraId="17CEBD05"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-0,5</w:t>
            </w:r>
          </w:p>
        </w:tc>
      </w:tr>
      <w:tr w:rsidR="00A41B49" w:rsidRPr="00A41B49" w14:paraId="462A666A" w14:textId="77777777" w:rsidTr="00883459">
        <w:trPr>
          <w:jc w:val="center"/>
        </w:trPr>
        <w:tc>
          <w:tcPr>
            <w:tcW w:w="2802" w:type="dxa"/>
            <w:vAlign w:val="center"/>
          </w:tcPr>
          <w:p w14:paraId="444FB643" w14:textId="77777777" w:rsidR="00883459" w:rsidRPr="00A41B49" w:rsidRDefault="00883459" w:rsidP="00676A20">
            <w:pPr>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Професійна, наукова та технічна діяльність</w:t>
            </w:r>
          </w:p>
        </w:tc>
        <w:tc>
          <w:tcPr>
            <w:tcW w:w="1134" w:type="dxa"/>
            <w:vAlign w:val="center"/>
          </w:tcPr>
          <w:p w14:paraId="411006F9"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38,7</w:t>
            </w:r>
          </w:p>
        </w:tc>
        <w:tc>
          <w:tcPr>
            <w:tcW w:w="708" w:type="dxa"/>
            <w:vAlign w:val="center"/>
          </w:tcPr>
          <w:p w14:paraId="1EE8681C"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0,8</w:t>
            </w:r>
          </w:p>
        </w:tc>
        <w:tc>
          <w:tcPr>
            <w:tcW w:w="922" w:type="dxa"/>
            <w:vAlign w:val="center"/>
          </w:tcPr>
          <w:p w14:paraId="54EEB1FE"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33,9</w:t>
            </w:r>
          </w:p>
        </w:tc>
        <w:tc>
          <w:tcPr>
            <w:tcW w:w="709" w:type="dxa"/>
            <w:vAlign w:val="center"/>
          </w:tcPr>
          <w:p w14:paraId="642F4379"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0,5</w:t>
            </w:r>
          </w:p>
        </w:tc>
        <w:tc>
          <w:tcPr>
            <w:tcW w:w="992" w:type="dxa"/>
            <w:vAlign w:val="center"/>
          </w:tcPr>
          <w:p w14:paraId="043C6FDF"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36,3</w:t>
            </w:r>
          </w:p>
        </w:tc>
        <w:tc>
          <w:tcPr>
            <w:tcW w:w="850" w:type="dxa"/>
            <w:vAlign w:val="center"/>
          </w:tcPr>
          <w:p w14:paraId="1D9C7B9B"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0,7</w:t>
            </w:r>
          </w:p>
        </w:tc>
        <w:tc>
          <w:tcPr>
            <w:tcW w:w="992" w:type="dxa"/>
            <w:vAlign w:val="center"/>
          </w:tcPr>
          <w:p w14:paraId="173EA8A0"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-4,8</w:t>
            </w:r>
          </w:p>
        </w:tc>
        <w:tc>
          <w:tcPr>
            <w:tcW w:w="674" w:type="dxa"/>
            <w:vAlign w:val="center"/>
          </w:tcPr>
          <w:p w14:paraId="59D7C842"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-0,3</w:t>
            </w:r>
          </w:p>
        </w:tc>
      </w:tr>
      <w:tr w:rsidR="00A41B49" w:rsidRPr="00A41B49" w14:paraId="7AAB88CF" w14:textId="77777777" w:rsidTr="00883459">
        <w:trPr>
          <w:jc w:val="center"/>
        </w:trPr>
        <w:tc>
          <w:tcPr>
            <w:tcW w:w="2802" w:type="dxa"/>
            <w:vAlign w:val="center"/>
          </w:tcPr>
          <w:p w14:paraId="63A7D390" w14:textId="77777777" w:rsidR="00883459" w:rsidRPr="00A41B49" w:rsidRDefault="00883459" w:rsidP="00676A20">
            <w:pPr>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Діяльність у сфері адміністративного та допоміжного обслуговування</w:t>
            </w:r>
          </w:p>
        </w:tc>
        <w:tc>
          <w:tcPr>
            <w:tcW w:w="1134" w:type="dxa"/>
            <w:vAlign w:val="center"/>
          </w:tcPr>
          <w:p w14:paraId="386C1A19"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45,4</w:t>
            </w:r>
          </w:p>
        </w:tc>
        <w:tc>
          <w:tcPr>
            <w:tcW w:w="708" w:type="dxa"/>
            <w:vAlign w:val="center"/>
          </w:tcPr>
          <w:p w14:paraId="2632024E"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1,0</w:t>
            </w:r>
          </w:p>
        </w:tc>
        <w:tc>
          <w:tcPr>
            <w:tcW w:w="922" w:type="dxa"/>
            <w:vAlign w:val="center"/>
          </w:tcPr>
          <w:p w14:paraId="678F4047"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50,1</w:t>
            </w:r>
          </w:p>
        </w:tc>
        <w:tc>
          <w:tcPr>
            <w:tcW w:w="709" w:type="dxa"/>
            <w:vAlign w:val="center"/>
          </w:tcPr>
          <w:p w14:paraId="7DA1CABE"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0,8</w:t>
            </w:r>
          </w:p>
        </w:tc>
        <w:tc>
          <w:tcPr>
            <w:tcW w:w="992" w:type="dxa"/>
            <w:vAlign w:val="center"/>
          </w:tcPr>
          <w:p w14:paraId="42EBCAE4"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47,75</w:t>
            </w:r>
          </w:p>
        </w:tc>
        <w:tc>
          <w:tcPr>
            <w:tcW w:w="850" w:type="dxa"/>
            <w:vAlign w:val="center"/>
          </w:tcPr>
          <w:p w14:paraId="6AD36E02"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0,9</w:t>
            </w:r>
          </w:p>
        </w:tc>
        <w:tc>
          <w:tcPr>
            <w:tcW w:w="992" w:type="dxa"/>
            <w:vAlign w:val="center"/>
          </w:tcPr>
          <w:p w14:paraId="4C30331E"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4,7</w:t>
            </w:r>
          </w:p>
        </w:tc>
        <w:tc>
          <w:tcPr>
            <w:tcW w:w="674" w:type="dxa"/>
            <w:vAlign w:val="center"/>
          </w:tcPr>
          <w:p w14:paraId="7025F16B"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-0,2</w:t>
            </w:r>
          </w:p>
        </w:tc>
      </w:tr>
      <w:tr w:rsidR="00A41B49" w:rsidRPr="00A41B49" w14:paraId="40E39982" w14:textId="77777777" w:rsidTr="00883459">
        <w:trPr>
          <w:jc w:val="center"/>
        </w:trPr>
        <w:tc>
          <w:tcPr>
            <w:tcW w:w="2802" w:type="dxa"/>
            <w:vAlign w:val="center"/>
          </w:tcPr>
          <w:p w14:paraId="21AC5F9E" w14:textId="77777777" w:rsidR="00883459" w:rsidRPr="00A41B49" w:rsidRDefault="00883459" w:rsidP="00676A20">
            <w:pPr>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Освіта</w:t>
            </w:r>
          </w:p>
        </w:tc>
        <w:tc>
          <w:tcPr>
            <w:tcW w:w="1134" w:type="dxa"/>
            <w:vAlign w:val="center"/>
          </w:tcPr>
          <w:p w14:paraId="6CDCF1F5"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0,2</w:t>
            </w:r>
          </w:p>
        </w:tc>
        <w:tc>
          <w:tcPr>
            <w:tcW w:w="708" w:type="dxa"/>
            <w:vAlign w:val="center"/>
          </w:tcPr>
          <w:p w14:paraId="733B41BB"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0,0</w:t>
            </w:r>
          </w:p>
        </w:tc>
        <w:tc>
          <w:tcPr>
            <w:tcW w:w="922" w:type="dxa"/>
            <w:vAlign w:val="center"/>
          </w:tcPr>
          <w:p w14:paraId="43559B58"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709" w:type="dxa"/>
            <w:vAlign w:val="center"/>
          </w:tcPr>
          <w:p w14:paraId="463554E9"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992" w:type="dxa"/>
            <w:vAlign w:val="center"/>
          </w:tcPr>
          <w:p w14:paraId="0707559A"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850" w:type="dxa"/>
            <w:vAlign w:val="center"/>
          </w:tcPr>
          <w:p w14:paraId="3F6B9816"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992" w:type="dxa"/>
            <w:vAlign w:val="center"/>
          </w:tcPr>
          <w:p w14:paraId="1DB6651A"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674" w:type="dxa"/>
            <w:vAlign w:val="center"/>
          </w:tcPr>
          <w:p w14:paraId="79515981"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r>
      <w:tr w:rsidR="00A41B49" w:rsidRPr="00A41B49" w14:paraId="53727177" w14:textId="77777777" w:rsidTr="00883459">
        <w:trPr>
          <w:jc w:val="center"/>
        </w:trPr>
        <w:tc>
          <w:tcPr>
            <w:tcW w:w="2802" w:type="dxa"/>
            <w:vAlign w:val="center"/>
          </w:tcPr>
          <w:p w14:paraId="7684DC93" w14:textId="77777777" w:rsidR="00883459" w:rsidRPr="00A41B49" w:rsidRDefault="00883459" w:rsidP="00676A20">
            <w:pPr>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Охорона здоров'я та надання соціальної допомоги</w:t>
            </w:r>
          </w:p>
        </w:tc>
        <w:tc>
          <w:tcPr>
            <w:tcW w:w="1134" w:type="dxa"/>
            <w:vAlign w:val="center"/>
          </w:tcPr>
          <w:p w14:paraId="620EF720"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7,7</w:t>
            </w:r>
          </w:p>
        </w:tc>
        <w:tc>
          <w:tcPr>
            <w:tcW w:w="708" w:type="dxa"/>
            <w:vAlign w:val="center"/>
          </w:tcPr>
          <w:p w14:paraId="732B6D0D"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0,2</w:t>
            </w:r>
          </w:p>
        </w:tc>
        <w:tc>
          <w:tcPr>
            <w:tcW w:w="922" w:type="dxa"/>
            <w:vAlign w:val="center"/>
          </w:tcPr>
          <w:p w14:paraId="6403712C"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6,6</w:t>
            </w:r>
          </w:p>
        </w:tc>
        <w:tc>
          <w:tcPr>
            <w:tcW w:w="709" w:type="dxa"/>
            <w:vAlign w:val="center"/>
          </w:tcPr>
          <w:p w14:paraId="7319A316"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0,1</w:t>
            </w:r>
          </w:p>
        </w:tc>
        <w:tc>
          <w:tcPr>
            <w:tcW w:w="992" w:type="dxa"/>
            <w:vAlign w:val="center"/>
          </w:tcPr>
          <w:p w14:paraId="399277BB"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7,15</w:t>
            </w:r>
          </w:p>
        </w:tc>
        <w:tc>
          <w:tcPr>
            <w:tcW w:w="850" w:type="dxa"/>
            <w:vAlign w:val="center"/>
          </w:tcPr>
          <w:p w14:paraId="43081AC6"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0,1</w:t>
            </w:r>
          </w:p>
        </w:tc>
        <w:tc>
          <w:tcPr>
            <w:tcW w:w="992" w:type="dxa"/>
            <w:vAlign w:val="center"/>
          </w:tcPr>
          <w:p w14:paraId="28F7EF9A"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-1,1</w:t>
            </w:r>
          </w:p>
        </w:tc>
        <w:tc>
          <w:tcPr>
            <w:tcW w:w="674" w:type="dxa"/>
            <w:vAlign w:val="center"/>
          </w:tcPr>
          <w:p w14:paraId="4AAFC056"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-0,1</w:t>
            </w:r>
          </w:p>
        </w:tc>
      </w:tr>
      <w:tr w:rsidR="00A41B49" w:rsidRPr="00A41B49" w14:paraId="55585ABD" w14:textId="77777777" w:rsidTr="00883459">
        <w:trPr>
          <w:jc w:val="center"/>
        </w:trPr>
        <w:tc>
          <w:tcPr>
            <w:tcW w:w="2802" w:type="dxa"/>
            <w:vAlign w:val="center"/>
          </w:tcPr>
          <w:p w14:paraId="6877D458" w14:textId="77777777" w:rsidR="00883459" w:rsidRPr="00A41B49" w:rsidRDefault="00883459" w:rsidP="00676A20">
            <w:pPr>
              <w:rPr>
                <w:rFonts w:ascii="Times New Roman" w:eastAsia="Times New Roman" w:hAnsi="Times New Roman" w:cs="Times New Roman"/>
                <w:spacing w:val="-4"/>
                <w:sz w:val="24"/>
                <w:szCs w:val="24"/>
                <w:lang w:val="uk-UA" w:eastAsia="ru-RU"/>
              </w:rPr>
            </w:pPr>
            <w:r w:rsidRPr="00A41B49">
              <w:rPr>
                <w:rFonts w:ascii="Times New Roman" w:eastAsia="Times New Roman" w:hAnsi="Times New Roman" w:cs="Times New Roman"/>
                <w:spacing w:val="-4"/>
                <w:sz w:val="24"/>
                <w:szCs w:val="24"/>
                <w:lang w:val="uk-UA" w:eastAsia="ru-RU"/>
              </w:rPr>
              <w:t>Мистецтво, спорт, розваги та відпочинок</w:t>
            </w:r>
          </w:p>
        </w:tc>
        <w:tc>
          <w:tcPr>
            <w:tcW w:w="1134" w:type="dxa"/>
            <w:vAlign w:val="center"/>
          </w:tcPr>
          <w:p w14:paraId="581A264F"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708" w:type="dxa"/>
            <w:vAlign w:val="center"/>
          </w:tcPr>
          <w:p w14:paraId="7E3C8594"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922" w:type="dxa"/>
            <w:vAlign w:val="center"/>
          </w:tcPr>
          <w:p w14:paraId="72DD79A5"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709" w:type="dxa"/>
            <w:vAlign w:val="center"/>
          </w:tcPr>
          <w:p w14:paraId="3590AAF3"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992" w:type="dxa"/>
            <w:vAlign w:val="center"/>
          </w:tcPr>
          <w:p w14:paraId="09FAF76F"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850" w:type="dxa"/>
            <w:vAlign w:val="center"/>
          </w:tcPr>
          <w:p w14:paraId="7BF317EA"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992" w:type="dxa"/>
            <w:vAlign w:val="center"/>
          </w:tcPr>
          <w:p w14:paraId="37E96DDC"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c>
          <w:tcPr>
            <w:tcW w:w="674" w:type="dxa"/>
            <w:vAlign w:val="center"/>
          </w:tcPr>
          <w:p w14:paraId="11286286" w14:textId="77777777" w:rsidR="00883459" w:rsidRPr="00A41B49" w:rsidRDefault="00883459" w:rsidP="00D75056">
            <w:pPr>
              <w:jc w:val="center"/>
              <w:rPr>
                <w:rFonts w:ascii="Times New Roman" w:hAnsi="Times New Roman" w:cs="Times New Roman"/>
                <w:spacing w:val="-4"/>
                <w:sz w:val="24"/>
                <w:szCs w:val="24"/>
                <w:lang w:val="uk-UA"/>
              </w:rPr>
            </w:pPr>
            <w:r w:rsidRPr="00A41B49">
              <w:rPr>
                <w:rFonts w:ascii="Times New Roman" w:hAnsi="Times New Roman" w:cs="Times New Roman"/>
                <w:spacing w:val="-4"/>
                <w:sz w:val="24"/>
                <w:szCs w:val="24"/>
                <w:lang w:val="uk-UA"/>
              </w:rPr>
              <w:t>н/д</w:t>
            </w:r>
          </w:p>
        </w:tc>
      </w:tr>
    </w:tbl>
    <w:p w14:paraId="399DD702" w14:textId="77777777" w:rsidR="00DE29E8" w:rsidRPr="00A41B49" w:rsidRDefault="0036508C" w:rsidP="00B1683E">
      <w:pPr>
        <w:spacing w:after="0" w:line="240" w:lineRule="auto"/>
        <w:jc w:val="both"/>
        <w:rPr>
          <w:rFonts w:ascii="Times New Roman" w:hAnsi="Times New Roman" w:cs="Times New Roman"/>
          <w:sz w:val="28"/>
          <w:szCs w:val="28"/>
          <w:lang w:val="uk-UA"/>
        </w:rPr>
      </w:pPr>
      <w:r w:rsidRPr="00A41B49">
        <w:rPr>
          <w:rFonts w:ascii="Times New Roman" w:hAnsi="Times New Roman" w:cs="Times New Roman"/>
          <w:i/>
          <w:sz w:val="24"/>
          <w:szCs w:val="24"/>
          <w:lang w:val="uk-UA"/>
        </w:rPr>
        <w:t>Джерело: складено та розраховано автором на основі даних джерела [18]</w:t>
      </w:r>
    </w:p>
    <w:p w14:paraId="774E331A" w14:textId="77777777" w:rsidR="00EC1AE5" w:rsidRPr="00A41B49" w:rsidRDefault="00EC1AE5" w:rsidP="002A74C5">
      <w:pPr>
        <w:spacing w:after="0" w:line="240" w:lineRule="auto"/>
        <w:rPr>
          <w:rFonts w:ascii="Times New Roman" w:hAnsi="Times New Roman" w:cs="Times New Roman"/>
          <w:sz w:val="28"/>
          <w:szCs w:val="28"/>
          <w:lang w:val="uk-UA"/>
        </w:rPr>
      </w:pPr>
    </w:p>
    <w:p w14:paraId="0E0B6250" w14:textId="77777777" w:rsidR="00641062" w:rsidRPr="00A41B49" w:rsidRDefault="00543723" w:rsidP="00E40C8A">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Як свідчать дані таблиці </w:t>
      </w:r>
      <w:r w:rsidR="0012064A" w:rsidRPr="00A41B49">
        <w:rPr>
          <w:rFonts w:ascii="Times New Roman" w:hAnsi="Times New Roman" w:cs="Times New Roman"/>
          <w:sz w:val="28"/>
          <w:szCs w:val="28"/>
          <w:lang w:val="uk-UA"/>
        </w:rPr>
        <w:t>3.</w:t>
      </w:r>
      <w:r w:rsidR="00AA4952" w:rsidRPr="00A41B49">
        <w:rPr>
          <w:rFonts w:ascii="Times New Roman" w:hAnsi="Times New Roman" w:cs="Times New Roman"/>
          <w:sz w:val="28"/>
          <w:szCs w:val="28"/>
          <w:lang w:val="uk-UA"/>
        </w:rPr>
        <w:t>7</w:t>
      </w:r>
      <w:r w:rsidRPr="00A41B49">
        <w:rPr>
          <w:rFonts w:ascii="Times New Roman" w:hAnsi="Times New Roman" w:cs="Times New Roman"/>
          <w:sz w:val="28"/>
          <w:szCs w:val="28"/>
          <w:lang w:val="uk-UA"/>
        </w:rPr>
        <w:t xml:space="preserve">, </w:t>
      </w:r>
      <w:r w:rsidR="00E40C8A" w:rsidRPr="00A41B49">
        <w:rPr>
          <w:rFonts w:ascii="Times New Roman" w:hAnsi="Times New Roman" w:cs="Times New Roman"/>
          <w:sz w:val="28"/>
          <w:szCs w:val="28"/>
          <w:lang w:val="uk-UA"/>
        </w:rPr>
        <w:t xml:space="preserve">ПІІ </w:t>
      </w:r>
      <w:r w:rsidR="00A455E7" w:rsidRPr="00A41B49">
        <w:rPr>
          <w:rFonts w:ascii="Times New Roman" w:hAnsi="Times New Roman" w:cs="Times New Roman"/>
          <w:sz w:val="28"/>
          <w:szCs w:val="28"/>
          <w:lang w:val="uk-UA"/>
        </w:rPr>
        <w:t>в</w:t>
      </w:r>
      <w:r w:rsidR="00E40C8A" w:rsidRPr="00A41B49">
        <w:rPr>
          <w:rFonts w:ascii="Times New Roman" w:hAnsi="Times New Roman" w:cs="Times New Roman"/>
          <w:sz w:val="28"/>
          <w:szCs w:val="28"/>
          <w:lang w:val="uk-UA"/>
        </w:rPr>
        <w:t xml:space="preserve"> промисловості здебільшого сфокусовані у галузі добувної промисловості і розроблення кар'єрів (в середньому 43,5 % від загального обсягу ПІІ регіону), переробній промисловості (в середньому 26,6 % від загального обсягу ПІІ регіону).</w:t>
      </w:r>
      <w:r w:rsidR="00CE34F5" w:rsidRPr="00A41B49">
        <w:rPr>
          <w:rFonts w:ascii="Times New Roman" w:hAnsi="Times New Roman" w:cs="Times New Roman"/>
          <w:sz w:val="28"/>
          <w:szCs w:val="28"/>
          <w:lang w:val="uk-UA"/>
        </w:rPr>
        <w:t xml:space="preserve"> </w:t>
      </w:r>
      <w:r w:rsidR="00641062" w:rsidRPr="00A41B49">
        <w:rPr>
          <w:rFonts w:ascii="Times New Roman" w:hAnsi="Times New Roman" w:cs="Times New Roman"/>
          <w:sz w:val="28"/>
          <w:szCs w:val="28"/>
          <w:lang w:val="uk-UA"/>
        </w:rPr>
        <w:t xml:space="preserve">У 2020-2022 рр. </w:t>
      </w:r>
      <w:r w:rsidR="00A455E7" w:rsidRPr="00A41B49">
        <w:rPr>
          <w:rFonts w:ascii="Times New Roman" w:hAnsi="Times New Roman" w:cs="Times New Roman"/>
          <w:sz w:val="28"/>
          <w:szCs w:val="28"/>
          <w:lang w:val="uk-UA"/>
        </w:rPr>
        <w:t>обсяги ПІІ у зазначені вище галузі економіки регіону не тільки не зменшилися, але й збільшилися: добувна промисловість і розроблення кар'єрів (+794 млн дол та +2,3%)</w:t>
      </w:r>
      <w:r w:rsidR="00CE34F5" w:rsidRPr="00A41B49">
        <w:rPr>
          <w:rFonts w:ascii="Times New Roman" w:hAnsi="Times New Roman" w:cs="Times New Roman"/>
          <w:sz w:val="28"/>
          <w:szCs w:val="28"/>
          <w:lang w:val="uk-UA"/>
        </w:rPr>
        <w:t>, переробна промисловість (+284,9 та -2,3%).</w:t>
      </w:r>
    </w:p>
    <w:p w14:paraId="65C73FE5" w14:textId="77777777" w:rsidR="00EC1AE5" w:rsidRPr="00A41B49" w:rsidRDefault="00CE34F5" w:rsidP="00035335">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У 2020-2022 рр. ПІІ в економіку регіону характеризувалися наступними особливостями:</w:t>
      </w:r>
    </w:p>
    <w:p w14:paraId="27EB342C" w14:textId="77777777" w:rsidR="00CE34F5" w:rsidRPr="00A41B49" w:rsidRDefault="005E6137" w:rsidP="004D6217">
      <w:pPr>
        <w:spacing w:after="0" w:line="240" w:lineRule="auto"/>
        <w:ind w:firstLine="709"/>
        <w:jc w:val="both"/>
        <w:rPr>
          <w:rFonts w:ascii="Times New Roman" w:eastAsia="Times New Roman" w:hAnsi="Times New Roman" w:cs="Times New Roman"/>
          <w:sz w:val="28"/>
          <w:szCs w:val="28"/>
          <w:lang w:val="uk-UA" w:eastAsia="ru-RU"/>
        </w:rPr>
      </w:pPr>
      <w:r w:rsidRPr="00A41B49">
        <w:rPr>
          <w:rFonts w:ascii="Times New Roman" w:hAnsi="Times New Roman" w:cs="Times New Roman"/>
          <w:sz w:val="28"/>
          <w:szCs w:val="28"/>
          <w:lang w:val="uk-UA"/>
        </w:rPr>
        <w:t>1) </w:t>
      </w:r>
      <w:r w:rsidR="00035335" w:rsidRPr="00A41B49">
        <w:rPr>
          <w:rFonts w:ascii="Times New Roman" w:hAnsi="Times New Roman" w:cs="Times New Roman"/>
          <w:sz w:val="28"/>
          <w:szCs w:val="28"/>
          <w:lang w:val="uk-UA"/>
        </w:rPr>
        <w:t>нар</w:t>
      </w:r>
      <w:r w:rsidR="00AF4F39" w:rsidRPr="00A41B49">
        <w:rPr>
          <w:rFonts w:ascii="Times New Roman" w:hAnsi="Times New Roman" w:cs="Times New Roman"/>
          <w:sz w:val="28"/>
          <w:szCs w:val="28"/>
          <w:lang w:val="uk-UA"/>
        </w:rPr>
        <w:t xml:space="preserve">ощення обсягів ПІІ в такі галузі економіки регіону, як: сільське, лісове та рибне господарство; промисловість; оптова та роздрібна торгівля; ремонт автотранспортних засобів і мотоциклів; </w:t>
      </w:r>
      <w:r w:rsidR="00035335" w:rsidRPr="00A41B49">
        <w:rPr>
          <w:rFonts w:ascii="Times New Roman" w:hAnsi="Times New Roman" w:cs="Times New Roman"/>
          <w:sz w:val="28"/>
          <w:szCs w:val="28"/>
          <w:lang w:val="uk-UA"/>
        </w:rPr>
        <w:t xml:space="preserve">тимчасове розміщування й організація харчування; інформація та телекомунікації; фінансова та страхова діяльність; операції з нерухомим майном; </w:t>
      </w:r>
      <w:r w:rsidR="00035335" w:rsidRPr="00A41B49">
        <w:rPr>
          <w:rFonts w:ascii="Times New Roman" w:eastAsia="Times New Roman" w:hAnsi="Times New Roman" w:cs="Times New Roman"/>
          <w:sz w:val="28"/>
          <w:szCs w:val="28"/>
          <w:lang w:val="uk-UA" w:eastAsia="ru-RU"/>
        </w:rPr>
        <w:t>діяльність у сфері адміністративного та допоміжного обслуговування;</w:t>
      </w:r>
    </w:p>
    <w:p w14:paraId="053D38C1" w14:textId="77777777" w:rsidR="00EC1AE5" w:rsidRPr="00A41B49" w:rsidRDefault="005E6137" w:rsidP="004D6217">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2) </w:t>
      </w:r>
      <w:r w:rsidR="00C57BFB" w:rsidRPr="00A41B49">
        <w:rPr>
          <w:rFonts w:ascii="Times New Roman" w:hAnsi="Times New Roman" w:cs="Times New Roman"/>
          <w:sz w:val="28"/>
          <w:szCs w:val="28"/>
          <w:lang w:val="uk-UA"/>
        </w:rPr>
        <w:t>з</w:t>
      </w:r>
      <w:r w:rsidR="00035335" w:rsidRPr="00A41B49">
        <w:rPr>
          <w:rFonts w:ascii="Times New Roman" w:hAnsi="Times New Roman" w:cs="Times New Roman"/>
          <w:sz w:val="28"/>
          <w:szCs w:val="28"/>
          <w:lang w:val="uk-UA"/>
        </w:rPr>
        <w:t xml:space="preserve">меншення обсягів ПІІ в такі галузі економіки регіону, як: </w:t>
      </w:r>
      <w:r w:rsidR="00523207" w:rsidRPr="00A41B49">
        <w:rPr>
          <w:rFonts w:ascii="Times New Roman" w:hAnsi="Times New Roman" w:cs="Times New Roman"/>
          <w:sz w:val="28"/>
          <w:szCs w:val="28"/>
          <w:lang w:val="uk-UA"/>
        </w:rPr>
        <w:t>будівництво; транспорт, складське господарство, поштова та кур'єрська діяльність; професійна, наукова та технічна діяльність; охорона здоров'я та надання соціальної допомоги;</w:t>
      </w:r>
    </w:p>
    <w:p w14:paraId="18B70381" w14:textId="77777777" w:rsidR="004D6217" w:rsidRPr="00A41B49" w:rsidRDefault="005E6137" w:rsidP="004D6217">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3) </w:t>
      </w:r>
      <w:r w:rsidR="00523207" w:rsidRPr="00A41B49">
        <w:rPr>
          <w:rFonts w:ascii="Times New Roman" w:hAnsi="Times New Roman" w:cs="Times New Roman"/>
          <w:sz w:val="28"/>
          <w:szCs w:val="28"/>
          <w:lang w:val="uk-UA"/>
        </w:rPr>
        <w:t xml:space="preserve">зміни у </w:t>
      </w:r>
      <w:r w:rsidRPr="00A41B49">
        <w:rPr>
          <w:rFonts w:ascii="Times New Roman" w:hAnsi="Times New Roman" w:cs="Times New Roman"/>
          <w:sz w:val="28"/>
          <w:szCs w:val="28"/>
          <w:lang w:val="uk-UA"/>
        </w:rPr>
        <w:t xml:space="preserve">галузевій </w:t>
      </w:r>
      <w:r w:rsidR="00523207" w:rsidRPr="00A41B49">
        <w:rPr>
          <w:rFonts w:ascii="Times New Roman" w:hAnsi="Times New Roman" w:cs="Times New Roman"/>
          <w:sz w:val="28"/>
          <w:szCs w:val="28"/>
          <w:lang w:val="uk-UA"/>
        </w:rPr>
        <w:t xml:space="preserve">структурі ПІІ: </w:t>
      </w:r>
    </w:p>
    <w:p w14:paraId="400E38F7" w14:textId="77777777" w:rsidR="00374521" w:rsidRPr="00A41B49" w:rsidRDefault="005E6137" w:rsidP="004D6217">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lastRenderedPageBreak/>
        <w:t xml:space="preserve">- </w:t>
      </w:r>
      <w:r w:rsidR="00523207" w:rsidRPr="00A41B49">
        <w:rPr>
          <w:rFonts w:ascii="Times New Roman" w:hAnsi="Times New Roman" w:cs="Times New Roman"/>
          <w:sz w:val="28"/>
          <w:szCs w:val="28"/>
          <w:lang w:val="uk-UA"/>
        </w:rPr>
        <w:t>збільшилася частка ПІІ в такі галузі економіки регіону, як:</w:t>
      </w:r>
      <w:r w:rsidR="00CD3BFD" w:rsidRPr="00A41B49">
        <w:rPr>
          <w:rFonts w:ascii="Times New Roman" w:hAnsi="Times New Roman" w:cs="Times New Roman"/>
          <w:sz w:val="28"/>
          <w:szCs w:val="28"/>
          <w:lang w:val="uk-UA"/>
        </w:rPr>
        <w:t xml:space="preserve"> сільське, лісове та рибне господарство;</w:t>
      </w:r>
      <w:r w:rsidR="004D6217" w:rsidRPr="00A41B49">
        <w:rPr>
          <w:rFonts w:ascii="Times New Roman" w:hAnsi="Times New Roman" w:cs="Times New Roman"/>
          <w:sz w:val="28"/>
          <w:szCs w:val="28"/>
          <w:lang w:val="uk-UA"/>
        </w:rPr>
        <w:t xml:space="preserve"> </w:t>
      </w:r>
      <w:r w:rsidR="00CD3BFD" w:rsidRPr="00A41B49">
        <w:rPr>
          <w:rFonts w:ascii="Times New Roman" w:hAnsi="Times New Roman" w:cs="Times New Roman"/>
          <w:sz w:val="28"/>
          <w:szCs w:val="28"/>
          <w:lang w:val="uk-UA"/>
        </w:rPr>
        <w:t>промисловість;</w:t>
      </w:r>
      <w:r w:rsidR="004D6217" w:rsidRPr="00A41B49">
        <w:rPr>
          <w:rFonts w:ascii="Times New Roman" w:hAnsi="Times New Roman" w:cs="Times New Roman"/>
          <w:sz w:val="28"/>
          <w:szCs w:val="28"/>
          <w:lang w:val="uk-UA"/>
        </w:rPr>
        <w:t xml:space="preserve"> </w:t>
      </w:r>
      <w:r w:rsidR="00CD3BFD" w:rsidRPr="00A41B49">
        <w:rPr>
          <w:rFonts w:ascii="Times New Roman" w:hAnsi="Times New Roman" w:cs="Times New Roman"/>
          <w:sz w:val="28"/>
          <w:szCs w:val="28"/>
          <w:lang w:val="uk-UA"/>
        </w:rPr>
        <w:t>добувна промисловість і розроблення кар'єрів;</w:t>
      </w:r>
      <w:r w:rsidR="004D6217" w:rsidRPr="00A41B49">
        <w:rPr>
          <w:rFonts w:ascii="Times New Roman" w:hAnsi="Times New Roman" w:cs="Times New Roman"/>
          <w:sz w:val="28"/>
          <w:szCs w:val="28"/>
          <w:lang w:val="uk-UA"/>
        </w:rPr>
        <w:t xml:space="preserve"> </w:t>
      </w:r>
      <w:r w:rsidR="00CD3BFD" w:rsidRPr="00A41B49">
        <w:rPr>
          <w:rFonts w:ascii="Times New Roman" w:hAnsi="Times New Roman" w:cs="Times New Roman"/>
          <w:sz w:val="28"/>
          <w:szCs w:val="28"/>
          <w:lang w:val="uk-UA"/>
        </w:rPr>
        <w:t>оптова та роздрібна торгівля; ремонт автотранспортних засобів і мотоциклів;</w:t>
      </w:r>
      <w:r w:rsidR="004D6217" w:rsidRPr="00A41B49">
        <w:rPr>
          <w:rFonts w:ascii="Times New Roman" w:hAnsi="Times New Roman" w:cs="Times New Roman"/>
          <w:sz w:val="28"/>
          <w:szCs w:val="28"/>
          <w:lang w:val="uk-UA"/>
        </w:rPr>
        <w:t xml:space="preserve"> </w:t>
      </w:r>
      <w:r w:rsidR="00CD3BFD" w:rsidRPr="00A41B49">
        <w:rPr>
          <w:rFonts w:ascii="Times New Roman" w:hAnsi="Times New Roman" w:cs="Times New Roman"/>
          <w:sz w:val="28"/>
          <w:szCs w:val="28"/>
          <w:lang w:val="uk-UA"/>
        </w:rPr>
        <w:t>фінансова та страхова діяльність</w:t>
      </w:r>
      <w:r w:rsidR="000E1E50" w:rsidRPr="00A41B49">
        <w:rPr>
          <w:rFonts w:ascii="Times New Roman" w:hAnsi="Times New Roman" w:cs="Times New Roman"/>
          <w:sz w:val="28"/>
          <w:szCs w:val="28"/>
          <w:lang w:val="uk-UA"/>
        </w:rPr>
        <w:t>;</w:t>
      </w:r>
    </w:p>
    <w:p w14:paraId="7CAC320B" w14:textId="77777777" w:rsidR="00CD3BFD" w:rsidRPr="00A41B49" w:rsidRDefault="005E6137" w:rsidP="004D6217">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 </w:t>
      </w:r>
      <w:r w:rsidR="00523207" w:rsidRPr="00A41B49">
        <w:rPr>
          <w:rFonts w:ascii="Times New Roman" w:hAnsi="Times New Roman" w:cs="Times New Roman"/>
          <w:sz w:val="28"/>
          <w:szCs w:val="28"/>
          <w:lang w:val="uk-UA"/>
        </w:rPr>
        <w:t xml:space="preserve">скоротилася частка ПІІ в такі галузі економіки регіону, як: </w:t>
      </w:r>
      <w:r w:rsidR="000E1E50" w:rsidRPr="00A41B49">
        <w:rPr>
          <w:rFonts w:ascii="Times New Roman" w:hAnsi="Times New Roman" w:cs="Times New Roman"/>
          <w:sz w:val="28"/>
          <w:szCs w:val="28"/>
          <w:lang w:val="uk-UA"/>
        </w:rPr>
        <w:t>переробна промисловість;</w:t>
      </w:r>
      <w:r w:rsidR="004D6217" w:rsidRPr="00A41B49">
        <w:rPr>
          <w:rFonts w:ascii="Times New Roman" w:hAnsi="Times New Roman" w:cs="Times New Roman"/>
          <w:sz w:val="28"/>
          <w:szCs w:val="28"/>
          <w:lang w:val="uk-UA"/>
        </w:rPr>
        <w:t xml:space="preserve"> </w:t>
      </w:r>
      <w:r w:rsidR="000E1E50" w:rsidRPr="00A41B49">
        <w:rPr>
          <w:rFonts w:ascii="Times New Roman" w:hAnsi="Times New Roman" w:cs="Times New Roman"/>
          <w:sz w:val="28"/>
          <w:szCs w:val="28"/>
          <w:lang w:val="uk-UA"/>
        </w:rPr>
        <w:t>будівництво;</w:t>
      </w:r>
      <w:r w:rsidR="004D6217" w:rsidRPr="00A41B49">
        <w:rPr>
          <w:rFonts w:ascii="Times New Roman" w:hAnsi="Times New Roman" w:cs="Times New Roman"/>
          <w:sz w:val="28"/>
          <w:szCs w:val="28"/>
          <w:lang w:val="uk-UA"/>
        </w:rPr>
        <w:t xml:space="preserve"> </w:t>
      </w:r>
      <w:r w:rsidR="000E1E50" w:rsidRPr="00A41B49">
        <w:rPr>
          <w:rFonts w:ascii="Times New Roman" w:hAnsi="Times New Roman" w:cs="Times New Roman"/>
          <w:sz w:val="28"/>
          <w:szCs w:val="28"/>
          <w:lang w:val="uk-UA"/>
        </w:rPr>
        <w:t>транспорт, складське господарство, поштова та кур'єрська діяльність;</w:t>
      </w:r>
      <w:r w:rsidR="004D6217" w:rsidRPr="00A41B49">
        <w:rPr>
          <w:rFonts w:ascii="Times New Roman" w:hAnsi="Times New Roman" w:cs="Times New Roman"/>
          <w:sz w:val="28"/>
          <w:szCs w:val="28"/>
          <w:lang w:val="uk-UA"/>
        </w:rPr>
        <w:t xml:space="preserve"> </w:t>
      </w:r>
      <w:r w:rsidR="000E1E50" w:rsidRPr="00A41B49">
        <w:rPr>
          <w:rFonts w:ascii="Times New Roman" w:hAnsi="Times New Roman" w:cs="Times New Roman"/>
          <w:sz w:val="28"/>
          <w:szCs w:val="28"/>
          <w:lang w:val="uk-UA"/>
        </w:rPr>
        <w:t>операції з нерухомим майном;</w:t>
      </w:r>
      <w:r w:rsidR="004D6217" w:rsidRPr="00A41B49">
        <w:rPr>
          <w:rFonts w:ascii="Times New Roman" w:hAnsi="Times New Roman" w:cs="Times New Roman"/>
          <w:sz w:val="28"/>
          <w:szCs w:val="28"/>
          <w:lang w:val="uk-UA"/>
        </w:rPr>
        <w:t xml:space="preserve"> </w:t>
      </w:r>
      <w:r w:rsidR="000E1E50" w:rsidRPr="00A41B49">
        <w:rPr>
          <w:rFonts w:ascii="Times New Roman" w:hAnsi="Times New Roman" w:cs="Times New Roman"/>
          <w:sz w:val="28"/>
          <w:szCs w:val="28"/>
          <w:lang w:val="uk-UA"/>
        </w:rPr>
        <w:t>професійна, наукова та технічна діяльність;</w:t>
      </w:r>
      <w:r w:rsidR="004D6217" w:rsidRPr="00A41B49">
        <w:rPr>
          <w:rFonts w:ascii="Times New Roman" w:hAnsi="Times New Roman" w:cs="Times New Roman"/>
          <w:sz w:val="28"/>
          <w:szCs w:val="28"/>
          <w:lang w:val="uk-UA"/>
        </w:rPr>
        <w:t xml:space="preserve"> </w:t>
      </w:r>
      <w:r w:rsidR="000E1E50" w:rsidRPr="00A41B49">
        <w:rPr>
          <w:rFonts w:ascii="Times New Roman" w:hAnsi="Times New Roman" w:cs="Times New Roman"/>
          <w:sz w:val="28"/>
          <w:szCs w:val="28"/>
          <w:lang w:val="uk-UA"/>
        </w:rPr>
        <w:t>діяльність у сфері адміністративного та допоміжного обслуговування;</w:t>
      </w:r>
      <w:r w:rsidR="004D6217" w:rsidRPr="00A41B49">
        <w:rPr>
          <w:rFonts w:ascii="Times New Roman" w:hAnsi="Times New Roman" w:cs="Times New Roman"/>
          <w:sz w:val="28"/>
          <w:szCs w:val="28"/>
          <w:lang w:val="uk-UA"/>
        </w:rPr>
        <w:t xml:space="preserve"> </w:t>
      </w:r>
      <w:r w:rsidR="000E1E50" w:rsidRPr="00A41B49">
        <w:rPr>
          <w:rFonts w:ascii="Times New Roman" w:hAnsi="Times New Roman" w:cs="Times New Roman"/>
          <w:sz w:val="28"/>
          <w:szCs w:val="28"/>
          <w:lang w:val="uk-UA"/>
        </w:rPr>
        <w:t>охорона здоров'я та надання соціальної допомоги</w:t>
      </w:r>
      <w:r w:rsidRPr="00A41B49">
        <w:rPr>
          <w:rFonts w:ascii="Times New Roman" w:hAnsi="Times New Roman" w:cs="Times New Roman"/>
          <w:sz w:val="28"/>
          <w:szCs w:val="28"/>
          <w:lang w:val="uk-UA"/>
        </w:rPr>
        <w:t>.</w:t>
      </w:r>
    </w:p>
    <w:p w14:paraId="7508D9C9" w14:textId="77777777" w:rsidR="00374521" w:rsidRPr="00A41B49" w:rsidRDefault="004D6217" w:rsidP="004D6217">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Б</w:t>
      </w:r>
      <w:r w:rsidR="00374521" w:rsidRPr="00A41B49">
        <w:rPr>
          <w:rFonts w:ascii="Times New Roman" w:hAnsi="Times New Roman" w:cs="Times New Roman"/>
          <w:sz w:val="28"/>
          <w:szCs w:val="28"/>
          <w:lang w:val="uk-UA"/>
        </w:rPr>
        <w:t>ез змін</w:t>
      </w:r>
      <w:r w:rsidRPr="00A41B49">
        <w:rPr>
          <w:rFonts w:ascii="Times New Roman" w:hAnsi="Times New Roman" w:cs="Times New Roman"/>
          <w:sz w:val="28"/>
          <w:szCs w:val="28"/>
          <w:lang w:val="uk-UA"/>
        </w:rPr>
        <w:t xml:space="preserve"> залишилася частка ПІІ в такі галузі економіки регіону, як т</w:t>
      </w:r>
      <w:r w:rsidR="00374521" w:rsidRPr="00A41B49">
        <w:rPr>
          <w:rFonts w:ascii="Times New Roman" w:hAnsi="Times New Roman" w:cs="Times New Roman"/>
          <w:sz w:val="28"/>
          <w:szCs w:val="28"/>
          <w:lang w:val="uk-UA"/>
        </w:rPr>
        <w:t>имчасове розміщування й організація харчування</w:t>
      </w:r>
      <w:r w:rsidRPr="00A41B49">
        <w:rPr>
          <w:rFonts w:ascii="Times New Roman" w:hAnsi="Times New Roman" w:cs="Times New Roman"/>
          <w:sz w:val="28"/>
          <w:szCs w:val="28"/>
          <w:lang w:val="uk-UA"/>
        </w:rPr>
        <w:t>; і</w:t>
      </w:r>
      <w:r w:rsidR="00374521" w:rsidRPr="00A41B49">
        <w:rPr>
          <w:rFonts w:ascii="Times New Roman" w:hAnsi="Times New Roman" w:cs="Times New Roman"/>
          <w:sz w:val="28"/>
          <w:szCs w:val="28"/>
          <w:lang w:val="uk-UA"/>
        </w:rPr>
        <w:t>нформація та телекомунікації</w:t>
      </w:r>
    </w:p>
    <w:p w14:paraId="6F97F5B8" w14:textId="77777777" w:rsidR="0094123B" w:rsidRPr="00A41B49" w:rsidRDefault="00D2268B" w:rsidP="00F4577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Відповідно до даних Дніпропетровського Інвестиційного </w:t>
      </w:r>
      <w:r w:rsidR="0074075A" w:rsidRPr="00A41B49">
        <w:rPr>
          <w:rFonts w:ascii="Times New Roman" w:hAnsi="Times New Roman" w:cs="Times New Roman"/>
          <w:sz w:val="28"/>
          <w:szCs w:val="28"/>
          <w:lang w:val="uk-UA"/>
        </w:rPr>
        <w:t>агентства</w:t>
      </w:r>
      <w:r w:rsidRPr="00A41B49">
        <w:rPr>
          <w:rFonts w:ascii="Times New Roman" w:hAnsi="Times New Roman" w:cs="Times New Roman"/>
          <w:sz w:val="28"/>
          <w:szCs w:val="28"/>
          <w:lang w:val="uk-UA"/>
        </w:rPr>
        <w:t xml:space="preserve"> [22]</w:t>
      </w:r>
      <w:r w:rsidR="008B27C5" w:rsidRPr="00A41B49">
        <w:rPr>
          <w:rFonts w:ascii="Times New Roman" w:hAnsi="Times New Roman" w:cs="Times New Roman"/>
          <w:sz w:val="28"/>
          <w:szCs w:val="28"/>
          <w:lang w:val="uk-UA"/>
        </w:rPr>
        <w:t>,</w:t>
      </w:r>
      <w:r w:rsidRPr="00A41B49">
        <w:rPr>
          <w:rFonts w:ascii="Times New Roman" w:hAnsi="Times New Roman" w:cs="Times New Roman"/>
          <w:sz w:val="28"/>
          <w:szCs w:val="28"/>
          <w:lang w:val="uk-UA"/>
        </w:rPr>
        <w:t xml:space="preserve"> «станом на 01.01.2023 року прямі іноземні інвестиції (ПІІ) в Дніпропетровську область здійснили 950 компаній з 61 країн світу» [22]</w:t>
      </w:r>
      <w:r w:rsidR="0094123B" w:rsidRPr="00A41B49">
        <w:rPr>
          <w:rFonts w:ascii="Times New Roman" w:hAnsi="Times New Roman" w:cs="Times New Roman"/>
          <w:sz w:val="28"/>
          <w:szCs w:val="28"/>
          <w:lang w:val="uk-UA"/>
        </w:rPr>
        <w:t>, 18 підприємств із іноземними інвестиціями, що здійснюють свою діяльність в Дніпропетровській області, частково реінвестували свої прибутки, вклавши в свою діяльність понад 18 млн дол. Найбільш значними були суми реінвестованих прибутків таких компаній, як ТОВ «ШИМАНІВСЬКЕ СТІЛ» (Кіпр), ТОВ «ТОРГОВИЙ ДІМ «АГРОАЛЬЯНС» (Вірґінські острови), ТОВ «ТОРГОВА КОМПАНІЯ «АСТЕРРА» (Вірґінські острови), ТОВ «ЗАВОД СТЕКО» (ОАЕ), ТОВ «ЛАНДМАНН» (Швейцарія) [22]. 17 підприємств із іноземними інвестиціями перереєстрували свою діяльність в Дніпропетровській області, перенісши свою діяльність із інших регіонів України (м. Київ, М. Запоріжжя, м. Маріуполя, Львівської, Донецько</w:t>
      </w:r>
      <w:r w:rsidR="00004924" w:rsidRPr="00A41B49">
        <w:rPr>
          <w:rFonts w:ascii="Times New Roman" w:hAnsi="Times New Roman" w:cs="Times New Roman"/>
          <w:sz w:val="28"/>
          <w:szCs w:val="28"/>
          <w:lang w:val="uk-UA"/>
        </w:rPr>
        <w:t>ї та Харківської областей) [22].</w:t>
      </w:r>
    </w:p>
    <w:p w14:paraId="33BA7DDE" w14:textId="77777777" w:rsidR="0094123B" w:rsidRPr="00A41B49" w:rsidRDefault="0094123B" w:rsidP="00F4577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На сучасному етапі розвитку в економіці Дніпропетровської області </w:t>
      </w:r>
      <w:r w:rsidR="00004924" w:rsidRPr="00A41B49">
        <w:rPr>
          <w:rFonts w:ascii="Times New Roman" w:hAnsi="Times New Roman" w:cs="Times New Roman"/>
          <w:sz w:val="28"/>
          <w:szCs w:val="28"/>
          <w:lang w:val="uk-UA"/>
        </w:rPr>
        <w:t>активно здійснюють діяльність:</w:t>
      </w:r>
    </w:p>
    <w:p w14:paraId="147B8864" w14:textId="77777777" w:rsidR="00BB6AE8" w:rsidRPr="00A41B49" w:rsidRDefault="00BB6AE8" w:rsidP="00F4577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370 компаній із іноземними інвестиціями</w:t>
      </w:r>
      <w:r w:rsidR="00E72799" w:rsidRPr="00A41B49">
        <w:rPr>
          <w:rFonts w:ascii="Times New Roman" w:hAnsi="Times New Roman" w:cs="Times New Roman"/>
          <w:sz w:val="28"/>
          <w:szCs w:val="28"/>
          <w:lang w:val="uk-UA"/>
        </w:rPr>
        <w:t xml:space="preserve"> в секторі послуг, зокрема ТОВ «Дека Сервіс», ТОВ «Шкода Транспортейшн Україна», ТОВ «Металургтранс», ТОВ «МЕДИЧНИЙ ЦЕНТР ОН КЛІНІК ДНІПРО» [22];</w:t>
      </w:r>
    </w:p>
    <w:p w14:paraId="622C1687" w14:textId="77777777" w:rsidR="00C533EE" w:rsidRPr="00A41B49" w:rsidRDefault="00C533EE" w:rsidP="00F4577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299 компаній із іноземними інвестиціями</w:t>
      </w:r>
      <w:r w:rsidR="00E72799" w:rsidRPr="00A41B49">
        <w:rPr>
          <w:rFonts w:ascii="Times New Roman" w:hAnsi="Times New Roman" w:cs="Times New Roman"/>
          <w:sz w:val="28"/>
          <w:szCs w:val="28"/>
          <w:lang w:val="uk-UA"/>
        </w:rPr>
        <w:t xml:space="preserve"> в секторі</w:t>
      </w:r>
      <w:r w:rsidRPr="00A41B49">
        <w:rPr>
          <w:rFonts w:ascii="Times New Roman" w:hAnsi="Times New Roman" w:cs="Times New Roman"/>
          <w:sz w:val="28"/>
          <w:szCs w:val="28"/>
          <w:lang w:val="uk-UA"/>
        </w:rPr>
        <w:t xml:space="preserve"> торгівлі, зокрема АТБ, ЕВА, Varus та Comfy [22];</w:t>
      </w:r>
    </w:p>
    <w:p w14:paraId="50692DB5" w14:textId="77777777" w:rsidR="00004924" w:rsidRPr="00A41B49" w:rsidRDefault="00004924" w:rsidP="00F4577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178 компаній із іноземними інвестиціями в промисловому секторі, зокрема ПАТ «ArcelorMittal Kryviy Rih», ПрАТ «СЕНТРАВІС ПРОДАКШН ЮКРЕЙН», ТОВ «ПОЛСТАР», ПрАТ «Лінде газ Україна» [22];</w:t>
      </w:r>
    </w:p>
    <w:p w14:paraId="6E0B4B79" w14:textId="77777777" w:rsidR="00AD0E60" w:rsidRPr="00A41B49" w:rsidRDefault="00AD0E60" w:rsidP="00F4577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59 компанії із іноземними інвестиціями в будівельному секторі, зокрема ТОВ «ГЛАС ТРЬОШ ХОЛДІНГ Україна», ТОВ «Caparol Dnipro», ПрАТ «Кривий Ріг Цемент», ТОВ «ZAVOD «SWEETONDALE» [22];</w:t>
      </w:r>
    </w:p>
    <w:p w14:paraId="425B4F2D" w14:textId="77777777" w:rsidR="00004924" w:rsidRPr="00A41B49" w:rsidRDefault="00004924" w:rsidP="00F4577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44 компанії із іноземними інвестиціями в АПК, зокрема </w:t>
      </w:r>
      <w:r w:rsidR="00AD0E60" w:rsidRPr="00A41B49">
        <w:rPr>
          <w:rFonts w:ascii="Times New Roman" w:hAnsi="Times New Roman" w:cs="Times New Roman"/>
          <w:sz w:val="28"/>
          <w:szCs w:val="28"/>
          <w:lang w:val="uk-UA"/>
        </w:rPr>
        <w:t>ТОВ «MAS Seeds Ukraine», ТОВ «НАДЄЖДА» («Lesaffre group»), ТОВ «АGRO КМR», «Bimbo QSR Ukraine» та ТОВ «Молочний дім» [22]</w:t>
      </w:r>
      <w:r w:rsidR="00C533EE" w:rsidRPr="00A41B49">
        <w:rPr>
          <w:rFonts w:ascii="Times New Roman" w:hAnsi="Times New Roman" w:cs="Times New Roman"/>
          <w:sz w:val="28"/>
          <w:szCs w:val="28"/>
          <w:lang w:val="uk-UA"/>
        </w:rPr>
        <w:t>.</w:t>
      </w:r>
    </w:p>
    <w:p w14:paraId="43F952AE" w14:textId="77777777" w:rsidR="00C533EE" w:rsidRPr="00A41B49" w:rsidRDefault="00C533EE" w:rsidP="00F4577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Галузі економіки регіону є найбільш привабливими для інвесторів із таких країн, як:</w:t>
      </w:r>
    </w:p>
    <w:p w14:paraId="4EE5B52D" w14:textId="77777777" w:rsidR="00C533EE" w:rsidRPr="00A41B49" w:rsidRDefault="00C533EE" w:rsidP="00F4577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lastRenderedPageBreak/>
        <w:t xml:space="preserve">Кіпр, Туреччина, Німеччина, Нідерланди та Велика Британія </w:t>
      </w:r>
      <w:r w:rsidR="00BB6AE8" w:rsidRPr="00A41B49">
        <w:rPr>
          <w:rFonts w:ascii="Times New Roman" w:hAnsi="Times New Roman" w:cs="Times New Roman"/>
          <w:sz w:val="28"/>
          <w:szCs w:val="28"/>
          <w:lang w:val="uk-UA"/>
        </w:rPr>
        <w:t>–</w:t>
      </w:r>
      <w:r w:rsidRPr="00A41B49">
        <w:rPr>
          <w:rFonts w:ascii="Times New Roman" w:hAnsi="Times New Roman" w:cs="Times New Roman"/>
          <w:sz w:val="28"/>
          <w:szCs w:val="28"/>
          <w:lang w:val="uk-UA"/>
        </w:rPr>
        <w:t xml:space="preserve"> промисловість</w:t>
      </w:r>
      <w:r w:rsidR="00BB6AE8" w:rsidRPr="00A41B49">
        <w:rPr>
          <w:rFonts w:ascii="Times New Roman" w:hAnsi="Times New Roman" w:cs="Times New Roman"/>
          <w:sz w:val="28"/>
          <w:szCs w:val="28"/>
          <w:lang w:val="uk-UA"/>
        </w:rPr>
        <w:t>;</w:t>
      </w:r>
    </w:p>
    <w:p w14:paraId="5D6462A0" w14:textId="77777777" w:rsidR="00BB6AE8" w:rsidRPr="00A41B49" w:rsidRDefault="00BB6AE8" w:rsidP="00F4577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Франція, Кіпр, Туреччина та Нідерланди – АПК;</w:t>
      </w:r>
    </w:p>
    <w:p w14:paraId="6F2887D0" w14:textId="77777777" w:rsidR="00BB6AE8" w:rsidRPr="00A41B49" w:rsidRDefault="00BB6AE8" w:rsidP="00F4577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Кіпр, Ізраїль, Чехія та Австрія – будівельний сектор;</w:t>
      </w:r>
    </w:p>
    <w:p w14:paraId="00EF21CA" w14:textId="77777777" w:rsidR="00BB6AE8" w:rsidRPr="00A41B49" w:rsidRDefault="00BB6AE8" w:rsidP="00F4577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Кіпр, Німеччина, Велика Британія </w:t>
      </w:r>
      <w:r w:rsidR="00E72799" w:rsidRPr="00A41B49">
        <w:rPr>
          <w:rFonts w:ascii="Times New Roman" w:hAnsi="Times New Roman" w:cs="Times New Roman"/>
          <w:sz w:val="28"/>
          <w:szCs w:val="28"/>
          <w:lang w:val="uk-UA"/>
        </w:rPr>
        <w:t>–</w:t>
      </w:r>
      <w:r w:rsidRPr="00A41B49">
        <w:rPr>
          <w:rFonts w:ascii="Times New Roman" w:hAnsi="Times New Roman" w:cs="Times New Roman"/>
          <w:sz w:val="28"/>
          <w:szCs w:val="28"/>
          <w:lang w:val="uk-UA"/>
        </w:rPr>
        <w:t xml:space="preserve"> сектор торгівлі</w:t>
      </w:r>
      <w:r w:rsidR="00E72799" w:rsidRPr="00A41B49">
        <w:rPr>
          <w:rFonts w:ascii="Times New Roman" w:hAnsi="Times New Roman" w:cs="Times New Roman"/>
          <w:sz w:val="28"/>
          <w:szCs w:val="28"/>
          <w:lang w:val="uk-UA"/>
        </w:rPr>
        <w:t xml:space="preserve"> тощо [22].</w:t>
      </w:r>
    </w:p>
    <w:p w14:paraId="70EFF329" w14:textId="77777777" w:rsidR="00626F57" w:rsidRPr="00A41B49" w:rsidRDefault="00E72799" w:rsidP="00F4577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Левова частка прямих іноземних інвестицій </w:t>
      </w:r>
      <w:r w:rsidR="00626F57" w:rsidRPr="00A41B49">
        <w:rPr>
          <w:rFonts w:ascii="Times New Roman" w:hAnsi="Times New Roman" w:cs="Times New Roman"/>
          <w:sz w:val="28"/>
          <w:szCs w:val="28"/>
          <w:lang w:val="uk-UA"/>
        </w:rPr>
        <w:t>Дніпропетровського регіону визначається інвестиційною привабливість і, як наслідок, обсягами інвестицій м. Кривий Ріг. Аналіз джерел [19-22] свідчить, що у структурі ПІІ Дніпропетровської області більше 35% припадає на ПІІ м. Кривий Ріг.</w:t>
      </w:r>
    </w:p>
    <w:p w14:paraId="40504F40" w14:textId="77777777" w:rsidR="009530B6" w:rsidRPr="00A41B49" w:rsidRDefault="00A00429" w:rsidP="00F4577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Місто Кривий Ріг </w:t>
      </w:r>
      <w:r w:rsidR="00A90C5C" w:rsidRPr="00A41B49">
        <w:rPr>
          <w:rFonts w:ascii="Times New Roman" w:hAnsi="Times New Roman" w:cs="Times New Roman"/>
          <w:sz w:val="28"/>
          <w:szCs w:val="28"/>
          <w:lang w:val="uk-UA"/>
        </w:rPr>
        <w:t>–</w:t>
      </w:r>
      <w:r w:rsidRPr="00A41B49">
        <w:rPr>
          <w:rFonts w:ascii="Times New Roman" w:hAnsi="Times New Roman" w:cs="Times New Roman"/>
          <w:sz w:val="28"/>
          <w:szCs w:val="28"/>
          <w:lang w:val="uk-UA"/>
        </w:rPr>
        <w:t xml:space="preserve"> </w:t>
      </w:r>
      <w:r w:rsidR="00A90C5C" w:rsidRPr="00A41B49">
        <w:rPr>
          <w:rFonts w:ascii="Times New Roman" w:hAnsi="Times New Roman" w:cs="Times New Roman"/>
          <w:sz w:val="28"/>
          <w:szCs w:val="28"/>
          <w:lang w:val="uk-UA"/>
        </w:rPr>
        <w:t xml:space="preserve">одне із найбільших за чисельністю населення та найбільше за площею місто </w:t>
      </w:r>
      <w:r w:rsidR="00B27F48" w:rsidRPr="00A41B49">
        <w:rPr>
          <w:rFonts w:ascii="Times New Roman" w:hAnsi="Times New Roman" w:cs="Times New Roman"/>
          <w:sz w:val="28"/>
          <w:szCs w:val="28"/>
          <w:lang w:val="uk-UA"/>
        </w:rPr>
        <w:t xml:space="preserve">не тільки </w:t>
      </w:r>
      <w:r w:rsidR="00A90C5C" w:rsidRPr="00A41B49">
        <w:rPr>
          <w:rFonts w:ascii="Times New Roman" w:hAnsi="Times New Roman" w:cs="Times New Roman"/>
          <w:sz w:val="28"/>
          <w:szCs w:val="28"/>
          <w:lang w:val="uk-UA"/>
        </w:rPr>
        <w:t>Дніпропетровської області,</w:t>
      </w:r>
      <w:r w:rsidR="009530B6" w:rsidRPr="00A41B49">
        <w:rPr>
          <w:rFonts w:ascii="Times New Roman" w:hAnsi="Times New Roman" w:cs="Times New Roman"/>
          <w:sz w:val="28"/>
          <w:szCs w:val="28"/>
          <w:lang w:val="uk-UA"/>
        </w:rPr>
        <w:t xml:space="preserve"> але й України в цілому</w:t>
      </w:r>
      <w:r w:rsidR="00B27F48" w:rsidRPr="00A41B49">
        <w:rPr>
          <w:rFonts w:ascii="Times New Roman" w:hAnsi="Times New Roman" w:cs="Times New Roman"/>
          <w:sz w:val="28"/>
          <w:szCs w:val="28"/>
          <w:lang w:val="uk-UA"/>
        </w:rPr>
        <w:t>,</w:t>
      </w:r>
      <w:r w:rsidR="00A90C5C" w:rsidRPr="00A41B49">
        <w:rPr>
          <w:rFonts w:ascii="Times New Roman" w:hAnsi="Times New Roman" w:cs="Times New Roman"/>
          <w:sz w:val="28"/>
          <w:szCs w:val="28"/>
          <w:lang w:val="uk-UA"/>
        </w:rPr>
        <w:t xml:space="preserve"> що </w:t>
      </w:r>
      <w:r w:rsidR="009530B6" w:rsidRPr="00A41B49">
        <w:rPr>
          <w:rFonts w:ascii="Times New Roman" w:hAnsi="Times New Roman" w:cs="Times New Roman"/>
          <w:sz w:val="28"/>
          <w:szCs w:val="28"/>
          <w:lang w:val="uk-UA"/>
        </w:rPr>
        <w:t xml:space="preserve">має статус обласного значення, </w:t>
      </w:r>
      <w:r w:rsidR="00A90C5C" w:rsidRPr="00A41B49">
        <w:rPr>
          <w:rFonts w:ascii="Times New Roman" w:hAnsi="Times New Roman" w:cs="Times New Roman"/>
          <w:sz w:val="28"/>
          <w:szCs w:val="28"/>
          <w:lang w:val="uk-UA"/>
        </w:rPr>
        <w:t xml:space="preserve">динамічно розвивається та характеризується </w:t>
      </w:r>
      <w:r w:rsidR="00C364AD" w:rsidRPr="00A41B49">
        <w:rPr>
          <w:rFonts w:ascii="Times New Roman" w:hAnsi="Times New Roman" w:cs="Times New Roman"/>
          <w:sz w:val="28"/>
          <w:szCs w:val="28"/>
          <w:lang w:val="uk-UA"/>
        </w:rPr>
        <w:t>вигідним географічни</w:t>
      </w:r>
      <w:r w:rsidR="0042631D" w:rsidRPr="00A41B49">
        <w:rPr>
          <w:rFonts w:ascii="Times New Roman" w:hAnsi="Times New Roman" w:cs="Times New Roman"/>
          <w:sz w:val="28"/>
          <w:szCs w:val="28"/>
          <w:lang w:val="uk-UA"/>
        </w:rPr>
        <w:t xml:space="preserve">м розташуванням, зокрема </w:t>
      </w:r>
      <w:r w:rsidR="00C364AD" w:rsidRPr="00A41B49">
        <w:rPr>
          <w:rFonts w:ascii="Times New Roman" w:hAnsi="Times New Roman" w:cs="Times New Roman"/>
          <w:sz w:val="28"/>
          <w:szCs w:val="28"/>
          <w:lang w:val="uk-UA"/>
        </w:rPr>
        <w:t xml:space="preserve">місто перетинають 2 автошляхи </w:t>
      </w:r>
      <w:r w:rsidR="007618DC" w:rsidRPr="00A41B49">
        <w:rPr>
          <w:rFonts w:ascii="Times New Roman" w:hAnsi="Times New Roman" w:cs="Times New Roman"/>
          <w:sz w:val="28"/>
          <w:szCs w:val="28"/>
          <w:lang w:val="uk-UA"/>
        </w:rPr>
        <w:t>національного значення НІІ, Н23</w:t>
      </w:r>
      <w:r w:rsidR="00C364AD" w:rsidRPr="00A41B49">
        <w:rPr>
          <w:rFonts w:ascii="Times New Roman" w:hAnsi="Times New Roman" w:cs="Times New Roman"/>
          <w:sz w:val="28"/>
          <w:szCs w:val="28"/>
          <w:lang w:val="uk-UA"/>
        </w:rPr>
        <w:t xml:space="preserve">, </w:t>
      </w:r>
      <w:r w:rsidR="00A90C5C" w:rsidRPr="00A41B49">
        <w:rPr>
          <w:rFonts w:ascii="Times New Roman" w:hAnsi="Times New Roman" w:cs="Times New Roman"/>
          <w:sz w:val="28"/>
          <w:szCs w:val="28"/>
          <w:lang w:val="uk-UA"/>
        </w:rPr>
        <w:t>з</w:t>
      </w:r>
      <w:r w:rsidR="000E6B84" w:rsidRPr="00A41B49">
        <w:rPr>
          <w:rFonts w:ascii="Times New Roman" w:hAnsi="Times New Roman" w:cs="Times New Roman"/>
          <w:sz w:val="28"/>
          <w:szCs w:val="28"/>
          <w:lang w:val="uk-UA"/>
        </w:rPr>
        <w:t>начним економічн</w:t>
      </w:r>
      <w:r w:rsidR="00855330" w:rsidRPr="00A41B49">
        <w:rPr>
          <w:rFonts w:ascii="Times New Roman" w:hAnsi="Times New Roman" w:cs="Times New Roman"/>
          <w:sz w:val="28"/>
          <w:szCs w:val="28"/>
          <w:lang w:val="uk-UA"/>
        </w:rPr>
        <w:t xml:space="preserve">им </w:t>
      </w:r>
      <w:r w:rsidR="009530B6" w:rsidRPr="00A41B49">
        <w:rPr>
          <w:rFonts w:ascii="Times New Roman" w:hAnsi="Times New Roman" w:cs="Times New Roman"/>
          <w:sz w:val="28"/>
          <w:szCs w:val="28"/>
          <w:lang w:val="uk-UA"/>
        </w:rPr>
        <w:t xml:space="preserve">потенціалом (є одним із найбагатших на корисні </w:t>
      </w:r>
      <w:r w:rsidR="0042631D" w:rsidRPr="00A41B49">
        <w:rPr>
          <w:rFonts w:ascii="Times New Roman" w:hAnsi="Times New Roman" w:cs="Times New Roman"/>
          <w:sz w:val="28"/>
          <w:szCs w:val="28"/>
          <w:lang w:val="uk-UA"/>
        </w:rPr>
        <w:t>копалини</w:t>
      </w:r>
      <w:r w:rsidR="009530B6" w:rsidRPr="00A41B49">
        <w:rPr>
          <w:rFonts w:ascii="Times New Roman" w:hAnsi="Times New Roman" w:cs="Times New Roman"/>
          <w:sz w:val="28"/>
          <w:szCs w:val="28"/>
          <w:lang w:val="uk-UA"/>
        </w:rPr>
        <w:t xml:space="preserve"> регіонів України), </w:t>
      </w:r>
      <w:r w:rsidR="00C364AD" w:rsidRPr="00A41B49">
        <w:rPr>
          <w:rFonts w:ascii="Times New Roman" w:hAnsi="Times New Roman" w:cs="Times New Roman"/>
          <w:sz w:val="28"/>
          <w:szCs w:val="28"/>
          <w:lang w:val="uk-UA"/>
        </w:rPr>
        <w:t>є потужним гірничо-металургійним</w:t>
      </w:r>
      <w:r w:rsidR="007618DC" w:rsidRPr="00A41B49">
        <w:rPr>
          <w:rFonts w:ascii="Times New Roman" w:hAnsi="Times New Roman" w:cs="Times New Roman"/>
          <w:sz w:val="28"/>
          <w:szCs w:val="28"/>
          <w:lang w:val="uk-UA"/>
        </w:rPr>
        <w:t>,</w:t>
      </w:r>
      <w:r w:rsidR="00C364AD" w:rsidRPr="00A41B49">
        <w:rPr>
          <w:rFonts w:ascii="Times New Roman" w:hAnsi="Times New Roman" w:cs="Times New Roman"/>
          <w:sz w:val="28"/>
          <w:szCs w:val="28"/>
          <w:lang w:val="uk-UA"/>
        </w:rPr>
        <w:t xml:space="preserve"> науковим </w:t>
      </w:r>
      <w:r w:rsidR="007618DC" w:rsidRPr="00A41B49">
        <w:rPr>
          <w:rFonts w:ascii="Times New Roman" w:hAnsi="Times New Roman" w:cs="Times New Roman"/>
          <w:sz w:val="28"/>
          <w:szCs w:val="28"/>
          <w:lang w:val="uk-UA"/>
        </w:rPr>
        <w:t xml:space="preserve">та культурним </w:t>
      </w:r>
      <w:r w:rsidR="00C364AD" w:rsidRPr="00A41B49">
        <w:rPr>
          <w:rFonts w:ascii="Times New Roman" w:hAnsi="Times New Roman" w:cs="Times New Roman"/>
          <w:sz w:val="28"/>
          <w:szCs w:val="28"/>
          <w:lang w:val="uk-UA"/>
        </w:rPr>
        <w:t>центром з  розвиненим промисловим комплексом</w:t>
      </w:r>
      <w:r w:rsidR="007618DC" w:rsidRPr="00A41B49">
        <w:rPr>
          <w:rFonts w:ascii="Times New Roman" w:hAnsi="Times New Roman" w:cs="Times New Roman"/>
          <w:sz w:val="28"/>
          <w:szCs w:val="28"/>
          <w:lang w:val="uk-UA"/>
        </w:rPr>
        <w:t xml:space="preserve"> [21, 26]</w:t>
      </w:r>
      <w:r w:rsidR="009530B6" w:rsidRPr="00A41B49">
        <w:rPr>
          <w:rFonts w:ascii="Times New Roman" w:hAnsi="Times New Roman" w:cs="Times New Roman"/>
          <w:sz w:val="28"/>
          <w:szCs w:val="28"/>
          <w:lang w:val="uk-UA"/>
        </w:rPr>
        <w:t>.</w:t>
      </w:r>
    </w:p>
    <w:p w14:paraId="63FD2A15" w14:textId="77777777" w:rsidR="00A00429" w:rsidRPr="00A41B49" w:rsidRDefault="009530B6" w:rsidP="00F4577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На території м. </w:t>
      </w:r>
      <w:r w:rsidR="000E6B84" w:rsidRPr="00A41B49">
        <w:rPr>
          <w:rFonts w:ascii="Times New Roman" w:hAnsi="Times New Roman" w:cs="Times New Roman"/>
          <w:sz w:val="28"/>
          <w:szCs w:val="28"/>
          <w:lang w:val="uk-UA"/>
        </w:rPr>
        <w:t xml:space="preserve">Кривий Ріг функціонує понад </w:t>
      </w:r>
      <w:r w:rsidR="00855330" w:rsidRPr="00A41B49">
        <w:rPr>
          <w:rFonts w:ascii="Times New Roman" w:hAnsi="Times New Roman" w:cs="Times New Roman"/>
          <w:sz w:val="28"/>
          <w:szCs w:val="28"/>
          <w:lang w:val="uk-UA"/>
        </w:rPr>
        <w:t>36</w:t>
      </w:r>
      <w:r w:rsidR="00702CDB" w:rsidRPr="00A41B49">
        <w:rPr>
          <w:rFonts w:ascii="Times New Roman" w:hAnsi="Times New Roman" w:cs="Times New Roman"/>
          <w:sz w:val="28"/>
          <w:szCs w:val="28"/>
          <w:lang w:val="uk-UA"/>
        </w:rPr>
        <w:t xml:space="preserve"> тис підприємств [21</w:t>
      </w:r>
      <w:r w:rsidR="00855330" w:rsidRPr="00A41B49">
        <w:rPr>
          <w:rFonts w:ascii="Times New Roman" w:hAnsi="Times New Roman" w:cs="Times New Roman"/>
          <w:sz w:val="28"/>
          <w:szCs w:val="28"/>
          <w:lang w:val="uk-UA"/>
        </w:rPr>
        <w:t>, 26</w:t>
      </w:r>
      <w:r w:rsidR="00702CDB" w:rsidRPr="00A41B49">
        <w:rPr>
          <w:rFonts w:ascii="Times New Roman" w:hAnsi="Times New Roman" w:cs="Times New Roman"/>
          <w:sz w:val="28"/>
          <w:szCs w:val="28"/>
          <w:lang w:val="uk-UA"/>
        </w:rPr>
        <w:t xml:space="preserve">], </w:t>
      </w:r>
      <w:r w:rsidR="000E6B84" w:rsidRPr="00A41B49">
        <w:rPr>
          <w:rFonts w:ascii="Times New Roman" w:hAnsi="Times New Roman" w:cs="Times New Roman"/>
          <w:sz w:val="28"/>
          <w:szCs w:val="28"/>
          <w:lang w:val="uk-UA"/>
        </w:rPr>
        <w:t xml:space="preserve">зокрема </w:t>
      </w:r>
      <w:r w:rsidR="005378B6" w:rsidRPr="00A41B49">
        <w:rPr>
          <w:rFonts w:ascii="Times New Roman" w:hAnsi="Times New Roman" w:cs="Times New Roman"/>
          <w:sz w:val="28"/>
          <w:szCs w:val="28"/>
          <w:lang w:val="uk-UA"/>
        </w:rPr>
        <w:t xml:space="preserve">137 промислових підприємств різних галузей промисловості, серед яких </w:t>
      </w:r>
      <w:r w:rsidR="000E6B84" w:rsidRPr="00A41B49">
        <w:rPr>
          <w:rFonts w:ascii="Times New Roman" w:hAnsi="Times New Roman" w:cs="Times New Roman"/>
          <w:sz w:val="28"/>
          <w:szCs w:val="28"/>
          <w:lang w:val="uk-UA"/>
        </w:rPr>
        <w:t xml:space="preserve">такі промислові гіганти, як ПАТ «ArcelorMittal Kryviy Rih», </w:t>
      </w:r>
      <w:r w:rsidR="00B17D7C" w:rsidRPr="00A41B49">
        <w:rPr>
          <w:rFonts w:ascii="Times New Roman" w:hAnsi="Times New Roman" w:cs="Times New Roman"/>
          <w:sz w:val="28"/>
          <w:szCs w:val="28"/>
          <w:lang w:val="uk-UA"/>
        </w:rPr>
        <w:t xml:space="preserve">підприємства групи Метінвест, зокрема </w:t>
      </w:r>
      <w:r w:rsidR="00EC08AD" w:rsidRPr="00A41B49">
        <w:rPr>
          <w:rFonts w:ascii="Times New Roman" w:hAnsi="Times New Roman" w:cs="Times New Roman"/>
          <w:sz w:val="28"/>
          <w:szCs w:val="28"/>
          <w:lang w:val="uk-UA"/>
        </w:rPr>
        <w:t>П</w:t>
      </w:r>
      <w:r w:rsidR="00B17D7C" w:rsidRPr="00A41B49">
        <w:rPr>
          <w:rFonts w:ascii="Times New Roman" w:hAnsi="Times New Roman" w:cs="Times New Roman"/>
          <w:sz w:val="28"/>
          <w:szCs w:val="28"/>
          <w:lang w:val="uk-UA"/>
        </w:rPr>
        <w:t>АТ «</w:t>
      </w:r>
      <w:r w:rsidR="00F45778" w:rsidRPr="00A41B49">
        <w:rPr>
          <w:rFonts w:ascii="Times New Roman" w:hAnsi="Times New Roman" w:cs="Times New Roman"/>
          <w:sz w:val="28"/>
          <w:szCs w:val="28"/>
          <w:lang w:val="uk-UA"/>
        </w:rPr>
        <w:t>Південний Гірничо-Збагачувальний Комбінат</w:t>
      </w:r>
      <w:r w:rsidR="00B17D7C" w:rsidRPr="00A41B49">
        <w:rPr>
          <w:rFonts w:ascii="Times New Roman" w:hAnsi="Times New Roman" w:cs="Times New Roman"/>
          <w:sz w:val="28"/>
          <w:szCs w:val="28"/>
          <w:lang w:val="uk-UA"/>
        </w:rPr>
        <w:t>», ПрАТ «</w:t>
      </w:r>
      <w:r w:rsidR="00F45778" w:rsidRPr="00A41B49">
        <w:rPr>
          <w:rFonts w:ascii="Times New Roman" w:hAnsi="Times New Roman" w:cs="Times New Roman"/>
          <w:sz w:val="28"/>
          <w:szCs w:val="28"/>
          <w:lang w:val="uk-UA"/>
        </w:rPr>
        <w:t>Північний Гірничо-Збагачувальний Комбінат</w:t>
      </w:r>
      <w:r w:rsidR="00EC08AD" w:rsidRPr="00A41B49">
        <w:rPr>
          <w:rFonts w:ascii="Times New Roman" w:hAnsi="Times New Roman" w:cs="Times New Roman"/>
          <w:sz w:val="28"/>
          <w:szCs w:val="28"/>
          <w:lang w:val="uk-UA"/>
        </w:rPr>
        <w:t>», ПАТ «</w:t>
      </w:r>
      <w:r w:rsidR="00F45778" w:rsidRPr="00A41B49">
        <w:rPr>
          <w:rFonts w:ascii="Times New Roman" w:hAnsi="Times New Roman" w:cs="Times New Roman"/>
          <w:sz w:val="28"/>
          <w:szCs w:val="28"/>
          <w:lang w:val="uk-UA"/>
        </w:rPr>
        <w:t>Центральний Південний Гірничо-Збагачувальний Комбінат</w:t>
      </w:r>
      <w:r w:rsidR="00EC08AD" w:rsidRPr="00A41B49">
        <w:rPr>
          <w:rFonts w:ascii="Times New Roman" w:hAnsi="Times New Roman" w:cs="Times New Roman"/>
          <w:sz w:val="28"/>
          <w:szCs w:val="28"/>
          <w:lang w:val="uk-UA"/>
        </w:rPr>
        <w:t>», ПАТ «</w:t>
      </w:r>
      <w:r w:rsidR="00F45778" w:rsidRPr="00A41B49">
        <w:rPr>
          <w:rFonts w:ascii="Times New Roman" w:hAnsi="Times New Roman" w:cs="Times New Roman"/>
          <w:sz w:val="28"/>
          <w:szCs w:val="28"/>
          <w:lang w:val="uk-UA"/>
        </w:rPr>
        <w:t>Інгулецький Гірничо-Збагачувальний Комбінат</w:t>
      </w:r>
      <w:r w:rsidR="00EC08AD" w:rsidRPr="00A41B49">
        <w:rPr>
          <w:rFonts w:ascii="Times New Roman" w:hAnsi="Times New Roman" w:cs="Times New Roman"/>
          <w:sz w:val="28"/>
          <w:szCs w:val="28"/>
          <w:lang w:val="uk-UA"/>
        </w:rPr>
        <w:t>»</w:t>
      </w:r>
      <w:r w:rsidR="00855330" w:rsidRPr="00A41B49">
        <w:rPr>
          <w:rFonts w:ascii="Times New Roman" w:hAnsi="Times New Roman" w:cs="Times New Roman"/>
          <w:sz w:val="28"/>
          <w:szCs w:val="28"/>
          <w:lang w:val="uk-UA"/>
        </w:rPr>
        <w:t>, ПАТ «Криворізкий залізорудний комбінат"</w:t>
      </w:r>
      <w:r w:rsidR="005378B6" w:rsidRPr="00A41B49">
        <w:rPr>
          <w:rFonts w:ascii="Times New Roman" w:hAnsi="Times New Roman" w:cs="Times New Roman"/>
          <w:sz w:val="28"/>
          <w:szCs w:val="28"/>
          <w:lang w:val="uk-UA"/>
        </w:rPr>
        <w:t>, ПрАТ «Суха Балка» тощо</w:t>
      </w:r>
      <w:r w:rsidR="003375B9" w:rsidRPr="00A41B49">
        <w:rPr>
          <w:rFonts w:ascii="Times New Roman" w:hAnsi="Times New Roman" w:cs="Times New Roman"/>
          <w:sz w:val="28"/>
          <w:szCs w:val="28"/>
          <w:lang w:val="uk-UA"/>
        </w:rPr>
        <w:t>.</w:t>
      </w:r>
    </w:p>
    <w:p w14:paraId="02444DAF" w14:textId="77777777" w:rsidR="002F4097" w:rsidRPr="00A41B49" w:rsidRDefault="002F4097" w:rsidP="002510C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Містами-партнерами м. Кривий Ріг є:</w:t>
      </w:r>
      <w:r w:rsidR="002510CB"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Ханьдань (Китайська Народна Республіка)</w:t>
      </w:r>
      <w:r w:rsidR="002510CB" w:rsidRPr="00A41B49">
        <w:rPr>
          <w:rFonts w:ascii="Times New Roman" w:hAnsi="Times New Roman" w:cs="Times New Roman"/>
          <w:sz w:val="28"/>
          <w:szCs w:val="28"/>
          <w:lang w:val="uk-UA"/>
        </w:rPr>
        <w:t xml:space="preserve">, Мішкольц (Угорська Республіка), Люблін (Республіка Польща), </w:t>
      </w:r>
      <w:r w:rsidRPr="00A41B49">
        <w:rPr>
          <w:rFonts w:ascii="Times New Roman" w:hAnsi="Times New Roman" w:cs="Times New Roman"/>
          <w:sz w:val="28"/>
          <w:szCs w:val="28"/>
          <w:lang w:val="uk-UA"/>
        </w:rPr>
        <w:t>Кошице (Словацька Республіка)</w:t>
      </w:r>
      <w:r w:rsidR="002510CB"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Дуйсбург (Федеративна Республіка Німеччина)</w:t>
      </w:r>
      <w:r w:rsidR="002510CB" w:rsidRPr="00A41B49">
        <w:rPr>
          <w:rFonts w:ascii="Times New Roman" w:hAnsi="Times New Roman" w:cs="Times New Roman"/>
          <w:sz w:val="28"/>
          <w:szCs w:val="28"/>
          <w:lang w:val="uk-UA"/>
        </w:rPr>
        <w:t>, Еспоо (Фінляндська Республіка).</w:t>
      </w:r>
    </w:p>
    <w:p w14:paraId="1164F530" w14:textId="77777777" w:rsidR="002510CB" w:rsidRPr="00A41B49" w:rsidRDefault="002510CB" w:rsidP="002510C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Крім того, Кривий Ріг є членом </w:t>
      </w:r>
      <w:r w:rsidR="00937D6B" w:rsidRPr="00A41B49">
        <w:rPr>
          <w:rFonts w:ascii="Times New Roman" w:hAnsi="Times New Roman" w:cs="Times New Roman"/>
          <w:sz w:val="28"/>
          <w:szCs w:val="28"/>
          <w:lang w:val="uk-UA"/>
        </w:rPr>
        <w:t xml:space="preserve">та активно співпрацює із такими </w:t>
      </w:r>
      <w:r w:rsidRPr="00A41B49">
        <w:rPr>
          <w:rFonts w:ascii="Times New Roman" w:hAnsi="Times New Roman" w:cs="Times New Roman"/>
          <w:sz w:val="28"/>
          <w:szCs w:val="28"/>
          <w:lang w:val="uk-UA"/>
        </w:rPr>
        <w:t xml:space="preserve"> міжнародни</w:t>
      </w:r>
      <w:r w:rsidR="00937D6B" w:rsidRPr="00A41B49">
        <w:rPr>
          <w:rFonts w:ascii="Times New Roman" w:hAnsi="Times New Roman" w:cs="Times New Roman"/>
          <w:sz w:val="28"/>
          <w:szCs w:val="28"/>
          <w:lang w:val="uk-UA"/>
        </w:rPr>
        <w:t>ми</w:t>
      </w:r>
      <w:r w:rsidRPr="00A41B49">
        <w:rPr>
          <w:rFonts w:ascii="Times New Roman" w:hAnsi="Times New Roman" w:cs="Times New Roman"/>
          <w:sz w:val="28"/>
          <w:szCs w:val="28"/>
          <w:lang w:val="uk-UA"/>
        </w:rPr>
        <w:t xml:space="preserve"> о</w:t>
      </w:r>
      <w:r w:rsidR="00937D6B" w:rsidRPr="00A41B49">
        <w:rPr>
          <w:rFonts w:ascii="Times New Roman" w:hAnsi="Times New Roman" w:cs="Times New Roman"/>
          <w:sz w:val="28"/>
          <w:szCs w:val="28"/>
          <w:lang w:val="uk-UA"/>
        </w:rPr>
        <w:t>рганізаціями</w:t>
      </w:r>
      <w:r w:rsidRPr="00A41B49">
        <w:rPr>
          <w:rFonts w:ascii="Times New Roman" w:hAnsi="Times New Roman" w:cs="Times New Roman"/>
          <w:sz w:val="28"/>
          <w:szCs w:val="28"/>
          <w:lang w:val="uk-UA"/>
        </w:rPr>
        <w:t xml:space="preserve">, як: </w:t>
      </w:r>
      <w:r w:rsidR="00BC7710" w:rsidRPr="00A41B49">
        <w:rPr>
          <w:rFonts w:ascii="Times New Roman" w:hAnsi="Times New Roman" w:cs="Times New Roman"/>
          <w:sz w:val="28"/>
          <w:szCs w:val="28"/>
          <w:lang w:val="uk-UA"/>
        </w:rPr>
        <w:t xml:space="preserve">Асоціація «Енергоефективні міста України», </w:t>
      </w:r>
      <w:r w:rsidR="00BC7710" w:rsidRPr="00A41B49">
        <w:rPr>
          <w:rFonts w:ascii="Times New Roman" w:eastAsia="Times New Roman" w:hAnsi="Times New Roman" w:cs="Times New Roman"/>
          <w:bCs/>
          <w:sz w:val="28"/>
          <w:szCs w:val="28"/>
          <w:bdr w:val="none" w:sz="0" w:space="0" w:color="auto" w:frame="1"/>
          <w:lang w:val="uk-UA" w:eastAsia="ru-RU"/>
        </w:rPr>
        <w:t>Асамблея європейських регіонів, Асоціація «Європейський маршрут індустріальної спадщини», Федерація європейських столиць і міст спорту, Європейська асоціація місцевої демократії тощо</w:t>
      </w:r>
      <w:r w:rsidR="002E5E50" w:rsidRPr="00A41B49">
        <w:rPr>
          <w:rFonts w:ascii="Times New Roman" w:eastAsia="Times New Roman" w:hAnsi="Times New Roman" w:cs="Times New Roman"/>
          <w:bCs/>
          <w:sz w:val="28"/>
          <w:szCs w:val="28"/>
          <w:bdr w:val="none" w:sz="0" w:space="0" w:color="auto" w:frame="1"/>
          <w:lang w:val="uk-UA" w:eastAsia="ru-RU"/>
        </w:rPr>
        <w:t xml:space="preserve"> (додаток А)</w:t>
      </w:r>
      <w:r w:rsidR="00BC7710" w:rsidRPr="00A41B49">
        <w:rPr>
          <w:rFonts w:ascii="Times New Roman" w:eastAsia="Times New Roman" w:hAnsi="Times New Roman" w:cs="Times New Roman"/>
          <w:bCs/>
          <w:sz w:val="28"/>
          <w:szCs w:val="28"/>
          <w:bdr w:val="none" w:sz="0" w:space="0" w:color="auto" w:frame="1"/>
          <w:lang w:val="uk-UA" w:eastAsia="ru-RU"/>
        </w:rPr>
        <w:t>.</w:t>
      </w:r>
    </w:p>
    <w:p w14:paraId="691EF845" w14:textId="77777777" w:rsidR="008B308A" w:rsidRPr="00A41B49" w:rsidRDefault="008B308A" w:rsidP="002510C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Усе зазначене вище, а також той факт, що місто здійснює цілеспрямовану </w:t>
      </w:r>
      <w:r w:rsidR="003E16FB" w:rsidRPr="00A41B49">
        <w:rPr>
          <w:rFonts w:ascii="Times New Roman" w:hAnsi="Times New Roman" w:cs="Times New Roman"/>
          <w:sz w:val="28"/>
          <w:szCs w:val="28"/>
          <w:lang w:val="uk-UA"/>
        </w:rPr>
        <w:t xml:space="preserve">та активну </w:t>
      </w:r>
      <w:r w:rsidRPr="00A41B49">
        <w:rPr>
          <w:rFonts w:ascii="Times New Roman" w:hAnsi="Times New Roman" w:cs="Times New Roman"/>
          <w:sz w:val="28"/>
          <w:szCs w:val="28"/>
          <w:lang w:val="uk-UA"/>
        </w:rPr>
        <w:t>роботу у напрямку підвищення інвестиційної привабливості</w:t>
      </w:r>
      <w:r w:rsidR="006C47AE" w:rsidRPr="00A41B49">
        <w:rPr>
          <w:rFonts w:ascii="Times New Roman" w:hAnsi="Times New Roman" w:cs="Times New Roman"/>
          <w:sz w:val="28"/>
          <w:szCs w:val="28"/>
          <w:lang w:val="uk-UA"/>
        </w:rPr>
        <w:t xml:space="preserve"> – місто характеризується високими показниками прозорості та підзвітності </w:t>
      </w:r>
      <w:r w:rsidR="00AA4952" w:rsidRPr="00A41B49">
        <w:rPr>
          <w:rFonts w:ascii="Times New Roman" w:hAnsi="Times New Roman" w:cs="Times New Roman"/>
          <w:sz w:val="28"/>
          <w:szCs w:val="28"/>
          <w:lang w:val="uk-UA"/>
        </w:rPr>
        <w:t xml:space="preserve">(табл. </w:t>
      </w:r>
      <w:r w:rsidR="0012064A" w:rsidRPr="00A41B49">
        <w:rPr>
          <w:rFonts w:ascii="Times New Roman" w:hAnsi="Times New Roman" w:cs="Times New Roman"/>
          <w:sz w:val="28"/>
          <w:szCs w:val="28"/>
          <w:lang w:val="uk-UA"/>
        </w:rPr>
        <w:t>3.</w:t>
      </w:r>
      <w:r w:rsidR="00AA4952" w:rsidRPr="00A41B49">
        <w:rPr>
          <w:rFonts w:ascii="Times New Roman" w:hAnsi="Times New Roman" w:cs="Times New Roman"/>
          <w:sz w:val="28"/>
          <w:szCs w:val="28"/>
          <w:lang w:val="uk-UA"/>
        </w:rPr>
        <w:t>8</w:t>
      </w:r>
      <w:r w:rsidR="006C47AE"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 xml:space="preserve">обумовлює високий рівень інвестиційної привабливості міста та робить його одним із регіонів України з найбільшими обсягами залучених ПІІ.  </w:t>
      </w:r>
    </w:p>
    <w:p w14:paraId="64276AFF" w14:textId="77777777" w:rsidR="003375B9" w:rsidRPr="00A41B49" w:rsidRDefault="006C47AE" w:rsidP="0094123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Як свідчать дані результатів дослідження Українського представництва міжнародної антикорупційної мережі Transparency International</w:t>
      </w:r>
      <w:r w:rsidR="00D050EB" w:rsidRPr="00A41B49">
        <w:rPr>
          <w:rFonts w:ascii="Times New Roman" w:hAnsi="Times New Roman" w:cs="Times New Roman"/>
          <w:sz w:val="28"/>
          <w:szCs w:val="28"/>
          <w:lang w:val="uk-UA"/>
        </w:rPr>
        <w:t xml:space="preserve"> [2]</w:t>
      </w:r>
      <w:r w:rsidRPr="00A41B49">
        <w:rPr>
          <w:rFonts w:ascii="Times New Roman" w:hAnsi="Times New Roman" w:cs="Times New Roman"/>
          <w:sz w:val="28"/>
          <w:szCs w:val="28"/>
          <w:lang w:val="uk-UA"/>
        </w:rPr>
        <w:t xml:space="preserve">, </w:t>
      </w:r>
      <w:r w:rsidR="00B20D16" w:rsidRPr="00A41B49">
        <w:rPr>
          <w:rFonts w:ascii="Times New Roman" w:hAnsi="Times New Roman" w:cs="Times New Roman"/>
          <w:sz w:val="28"/>
          <w:szCs w:val="28"/>
          <w:lang w:val="uk-UA"/>
        </w:rPr>
        <w:t xml:space="preserve">м. Кривий Ріг характеризується достатньо високим рівнем прозорості діяльності та </w:t>
      </w:r>
      <w:r w:rsidR="009601B8" w:rsidRPr="00A41B49">
        <w:rPr>
          <w:rFonts w:ascii="Times New Roman" w:hAnsi="Times New Roman" w:cs="Times New Roman"/>
          <w:sz w:val="28"/>
          <w:szCs w:val="28"/>
          <w:lang w:val="uk-UA"/>
        </w:rPr>
        <w:t>пі</w:t>
      </w:r>
      <w:r w:rsidR="00280239" w:rsidRPr="00A41B49">
        <w:rPr>
          <w:rFonts w:ascii="Times New Roman" w:hAnsi="Times New Roman" w:cs="Times New Roman"/>
          <w:sz w:val="28"/>
          <w:szCs w:val="28"/>
          <w:lang w:val="uk-UA"/>
        </w:rPr>
        <w:t>д</w:t>
      </w:r>
      <w:r w:rsidR="009601B8" w:rsidRPr="00A41B49">
        <w:rPr>
          <w:rFonts w:ascii="Times New Roman" w:hAnsi="Times New Roman" w:cs="Times New Roman"/>
          <w:sz w:val="28"/>
          <w:szCs w:val="28"/>
          <w:lang w:val="uk-UA"/>
        </w:rPr>
        <w:t>звітності – протягом 2017-2021 рр. м. Кривий Ріг стабільно посідало позиції у першій 50</w:t>
      </w:r>
      <w:r w:rsidR="00D050EB" w:rsidRPr="00A41B49">
        <w:rPr>
          <w:rFonts w:ascii="Times New Roman" w:hAnsi="Times New Roman" w:cs="Times New Roman"/>
          <w:sz w:val="28"/>
          <w:szCs w:val="28"/>
          <w:lang w:val="uk-UA"/>
        </w:rPr>
        <w:t xml:space="preserve">-ці міст України за відповідними показниками з-поміж </w:t>
      </w:r>
      <w:r w:rsidR="00D050EB" w:rsidRPr="00A41B49">
        <w:rPr>
          <w:rFonts w:ascii="Times New Roman" w:hAnsi="Times New Roman" w:cs="Times New Roman"/>
          <w:sz w:val="28"/>
          <w:szCs w:val="28"/>
          <w:lang w:val="uk-UA"/>
        </w:rPr>
        <w:lastRenderedPageBreak/>
        <w:t>100 міст України, що аналізувалися в межах зазначеного дослідження</w:t>
      </w:r>
      <w:r w:rsidR="003A3FBB" w:rsidRPr="00A41B49">
        <w:rPr>
          <w:rFonts w:ascii="Times New Roman" w:hAnsi="Times New Roman" w:cs="Times New Roman"/>
          <w:sz w:val="28"/>
          <w:szCs w:val="28"/>
          <w:lang w:val="uk-UA"/>
        </w:rPr>
        <w:t xml:space="preserve">, покращило свої позиції у відповідних рейтингах, перемістившись в рейтингу прозорості із 53 міста в 2017 році на 27 місце у 2021 р., в рейтингу </w:t>
      </w:r>
      <w:r w:rsidR="00280239" w:rsidRPr="00A41B49">
        <w:rPr>
          <w:rFonts w:ascii="Times New Roman" w:hAnsi="Times New Roman" w:cs="Times New Roman"/>
          <w:sz w:val="28"/>
          <w:szCs w:val="28"/>
          <w:lang w:val="uk-UA"/>
        </w:rPr>
        <w:t>підзвітності</w:t>
      </w:r>
      <w:r w:rsidR="003A3FBB" w:rsidRPr="00A41B49">
        <w:rPr>
          <w:rFonts w:ascii="Times New Roman" w:hAnsi="Times New Roman" w:cs="Times New Roman"/>
          <w:sz w:val="28"/>
          <w:szCs w:val="28"/>
          <w:lang w:val="uk-UA"/>
        </w:rPr>
        <w:t xml:space="preserve"> – з 29 місця в 2020 році на 19 у 2021 році (табл.</w:t>
      </w:r>
      <w:r w:rsidR="0012064A" w:rsidRPr="00A41B49">
        <w:rPr>
          <w:rFonts w:ascii="Times New Roman" w:hAnsi="Times New Roman" w:cs="Times New Roman"/>
          <w:sz w:val="28"/>
          <w:szCs w:val="28"/>
          <w:lang w:val="uk-UA"/>
        </w:rPr>
        <w:t>3.</w:t>
      </w:r>
      <w:r w:rsidR="00AA4952" w:rsidRPr="00A41B49">
        <w:rPr>
          <w:rFonts w:ascii="Times New Roman" w:hAnsi="Times New Roman" w:cs="Times New Roman"/>
          <w:sz w:val="28"/>
          <w:szCs w:val="28"/>
          <w:lang w:val="uk-UA"/>
        </w:rPr>
        <w:t>8</w:t>
      </w:r>
      <w:r w:rsidR="003A3FBB" w:rsidRPr="00A41B49">
        <w:rPr>
          <w:rFonts w:ascii="Times New Roman" w:hAnsi="Times New Roman" w:cs="Times New Roman"/>
          <w:sz w:val="28"/>
          <w:szCs w:val="28"/>
          <w:lang w:val="uk-UA"/>
        </w:rPr>
        <w:t>).</w:t>
      </w:r>
    </w:p>
    <w:p w14:paraId="5740A31C" w14:textId="77777777" w:rsidR="00626F57" w:rsidRPr="00A41B49" w:rsidRDefault="00626F57" w:rsidP="0094123B">
      <w:pPr>
        <w:spacing w:after="0" w:line="240" w:lineRule="auto"/>
        <w:ind w:firstLine="709"/>
        <w:jc w:val="both"/>
        <w:rPr>
          <w:rFonts w:ascii="Times New Roman" w:hAnsi="Times New Roman" w:cs="Times New Roman"/>
          <w:sz w:val="28"/>
          <w:szCs w:val="28"/>
          <w:lang w:val="uk-UA"/>
        </w:rPr>
      </w:pPr>
    </w:p>
    <w:p w14:paraId="65BE4748" w14:textId="77777777" w:rsidR="008B308A" w:rsidRPr="00A41B49" w:rsidRDefault="006C47AE" w:rsidP="0024021C">
      <w:pPr>
        <w:spacing w:after="0" w:line="240" w:lineRule="auto"/>
        <w:jc w:val="center"/>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Таблиця </w:t>
      </w:r>
      <w:r w:rsidR="0012064A" w:rsidRPr="00A41B49">
        <w:rPr>
          <w:rFonts w:ascii="Times New Roman" w:hAnsi="Times New Roman" w:cs="Times New Roman"/>
          <w:sz w:val="28"/>
          <w:szCs w:val="28"/>
          <w:lang w:val="uk-UA"/>
        </w:rPr>
        <w:t>3.</w:t>
      </w:r>
      <w:r w:rsidR="00AA4952" w:rsidRPr="00A41B49">
        <w:rPr>
          <w:rFonts w:ascii="Times New Roman" w:hAnsi="Times New Roman" w:cs="Times New Roman"/>
          <w:sz w:val="28"/>
          <w:szCs w:val="28"/>
          <w:lang w:val="uk-UA"/>
        </w:rPr>
        <w:t>8</w:t>
      </w:r>
      <w:r w:rsidR="0024021C" w:rsidRPr="00A41B49">
        <w:rPr>
          <w:rFonts w:ascii="Times New Roman" w:hAnsi="Times New Roman" w:cs="Times New Roman"/>
          <w:sz w:val="28"/>
          <w:szCs w:val="28"/>
          <w:lang w:val="uk-UA"/>
        </w:rPr>
        <w:t xml:space="preserve"> </w:t>
      </w:r>
      <w:r w:rsidR="00AB3308" w:rsidRPr="00A41B49">
        <w:rPr>
          <w:rFonts w:ascii="Times New Roman" w:hAnsi="Times New Roman" w:cs="Times New Roman"/>
          <w:sz w:val="28"/>
          <w:szCs w:val="28"/>
          <w:lang w:val="uk-UA"/>
        </w:rPr>
        <w:t>–</w:t>
      </w:r>
      <w:r w:rsidRPr="00A41B49">
        <w:rPr>
          <w:rFonts w:ascii="Times New Roman" w:hAnsi="Times New Roman" w:cs="Times New Roman"/>
          <w:sz w:val="28"/>
          <w:szCs w:val="28"/>
          <w:lang w:val="uk-UA"/>
        </w:rPr>
        <w:t xml:space="preserve"> </w:t>
      </w:r>
      <w:r w:rsidR="008B308A" w:rsidRPr="00A41B49">
        <w:rPr>
          <w:rFonts w:ascii="Times New Roman" w:hAnsi="Times New Roman" w:cs="Times New Roman"/>
          <w:sz w:val="28"/>
          <w:szCs w:val="28"/>
          <w:lang w:val="uk-UA"/>
        </w:rPr>
        <w:t>Рейтинг прозорості та підзвітності міста Кривий Ріг Transparency International</w:t>
      </w:r>
    </w:p>
    <w:tbl>
      <w:tblPr>
        <w:tblStyle w:val="a3"/>
        <w:tblW w:w="0" w:type="auto"/>
        <w:tblLook w:val="04A0" w:firstRow="1" w:lastRow="0" w:firstColumn="1" w:lastColumn="0" w:noHBand="0" w:noVBand="1"/>
      </w:tblPr>
      <w:tblGrid>
        <w:gridCol w:w="1662"/>
        <w:gridCol w:w="1425"/>
        <w:gridCol w:w="938"/>
        <w:gridCol w:w="956"/>
        <w:gridCol w:w="956"/>
        <w:gridCol w:w="956"/>
        <w:gridCol w:w="1271"/>
        <w:gridCol w:w="1407"/>
      </w:tblGrid>
      <w:tr w:rsidR="00A41B49" w:rsidRPr="00A41B49" w14:paraId="08F79BCA" w14:textId="77777777" w:rsidTr="00DA3487">
        <w:tc>
          <w:tcPr>
            <w:tcW w:w="3087" w:type="dxa"/>
            <w:gridSpan w:val="2"/>
          </w:tcPr>
          <w:p w14:paraId="4FC17464" w14:textId="77777777" w:rsidR="008B308A" w:rsidRPr="00A41B49" w:rsidRDefault="008B308A" w:rsidP="00DA3487">
            <w:pPr>
              <w:rPr>
                <w:rFonts w:ascii="Times New Roman" w:hAnsi="Times New Roman" w:cs="Times New Roman"/>
                <w:sz w:val="24"/>
                <w:szCs w:val="24"/>
                <w:lang w:val="uk-UA"/>
              </w:rPr>
            </w:pPr>
            <w:r w:rsidRPr="00A41B49">
              <w:rPr>
                <w:rFonts w:ascii="Times New Roman" w:hAnsi="Times New Roman" w:cs="Times New Roman"/>
                <w:sz w:val="24"/>
                <w:szCs w:val="24"/>
                <w:lang w:val="uk-UA"/>
              </w:rPr>
              <w:t>Показники</w:t>
            </w:r>
          </w:p>
        </w:tc>
        <w:tc>
          <w:tcPr>
            <w:tcW w:w="938" w:type="dxa"/>
            <w:vAlign w:val="center"/>
          </w:tcPr>
          <w:p w14:paraId="4B9AF4FF" w14:textId="77777777" w:rsidR="008B308A" w:rsidRPr="00A41B49" w:rsidRDefault="008B308A"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2017 р.</w:t>
            </w:r>
          </w:p>
        </w:tc>
        <w:tc>
          <w:tcPr>
            <w:tcW w:w="956" w:type="dxa"/>
            <w:vAlign w:val="center"/>
          </w:tcPr>
          <w:p w14:paraId="12B5BE38" w14:textId="77777777" w:rsidR="008B308A" w:rsidRPr="00A41B49" w:rsidRDefault="008B308A"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2018 р.</w:t>
            </w:r>
          </w:p>
        </w:tc>
        <w:tc>
          <w:tcPr>
            <w:tcW w:w="956" w:type="dxa"/>
            <w:vAlign w:val="center"/>
          </w:tcPr>
          <w:p w14:paraId="614F2D2E" w14:textId="77777777" w:rsidR="008B308A" w:rsidRPr="00A41B49" w:rsidRDefault="008B308A"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2019 р.</w:t>
            </w:r>
          </w:p>
        </w:tc>
        <w:tc>
          <w:tcPr>
            <w:tcW w:w="956" w:type="dxa"/>
            <w:vAlign w:val="center"/>
          </w:tcPr>
          <w:p w14:paraId="35851873" w14:textId="77777777" w:rsidR="008B308A" w:rsidRPr="00A41B49" w:rsidRDefault="008B308A"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2020 р.</w:t>
            </w:r>
          </w:p>
        </w:tc>
        <w:tc>
          <w:tcPr>
            <w:tcW w:w="1271" w:type="dxa"/>
            <w:vAlign w:val="center"/>
          </w:tcPr>
          <w:p w14:paraId="4E07CC58" w14:textId="77777777" w:rsidR="008B308A" w:rsidRPr="00A41B49" w:rsidRDefault="008B308A"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2021 р.</w:t>
            </w:r>
          </w:p>
        </w:tc>
        <w:tc>
          <w:tcPr>
            <w:tcW w:w="1407" w:type="dxa"/>
          </w:tcPr>
          <w:p w14:paraId="1C371A45" w14:textId="77777777" w:rsidR="008B308A" w:rsidRPr="00A41B49" w:rsidRDefault="008B308A"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Відхилення</w:t>
            </w:r>
          </w:p>
        </w:tc>
      </w:tr>
      <w:tr w:rsidR="00A41B49" w:rsidRPr="00A41B49" w14:paraId="1F29BECC" w14:textId="77777777" w:rsidTr="00D75056">
        <w:tc>
          <w:tcPr>
            <w:tcW w:w="1662" w:type="dxa"/>
            <w:vMerge w:val="restart"/>
          </w:tcPr>
          <w:p w14:paraId="1E205C3E" w14:textId="77777777" w:rsidR="008B308A" w:rsidRPr="00A41B49" w:rsidRDefault="008B308A" w:rsidP="00DA3487">
            <w:pPr>
              <w:rPr>
                <w:rFonts w:ascii="Times New Roman" w:hAnsi="Times New Roman" w:cs="Times New Roman"/>
                <w:sz w:val="24"/>
                <w:szCs w:val="24"/>
                <w:lang w:val="uk-UA"/>
              </w:rPr>
            </w:pPr>
            <w:r w:rsidRPr="00A41B49">
              <w:rPr>
                <w:rFonts w:ascii="Times New Roman" w:hAnsi="Times New Roman" w:cs="Times New Roman"/>
                <w:sz w:val="24"/>
                <w:szCs w:val="24"/>
                <w:lang w:val="uk-UA"/>
              </w:rPr>
              <w:t>Прозорість</w:t>
            </w:r>
          </w:p>
        </w:tc>
        <w:tc>
          <w:tcPr>
            <w:tcW w:w="1425" w:type="dxa"/>
          </w:tcPr>
          <w:p w14:paraId="5A7F716A" w14:textId="77777777" w:rsidR="008B308A" w:rsidRPr="00A41B49" w:rsidRDefault="008B308A" w:rsidP="00DA3487">
            <w:pPr>
              <w:rPr>
                <w:rFonts w:ascii="Times New Roman" w:hAnsi="Times New Roman" w:cs="Times New Roman"/>
                <w:sz w:val="24"/>
                <w:szCs w:val="24"/>
                <w:lang w:val="uk-UA"/>
              </w:rPr>
            </w:pPr>
            <w:r w:rsidRPr="00A41B49">
              <w:rPr>
                <w:rFonts w:ascii="Times New Roman" w:hAnsi="Times New Roman" w:cs="Times New Roman"/>
                <w:sz w:val="24"/>
                <w:szCs w:val="24"/>
                <w:lang w:val="uk-UA"/>
              </w:rPr>
              <w:t>Місце в рейтингу</w:t>
            </w:r>
          </w:p>
        </w:tc>
        <w:tc>
          <w:tcPr>
            <w:tcW w:w="938" w:type="dxa"/>
            <w:vAlign w:val="center"/>
          </w:tcPr>
          <w:p w14:paraId="662EE6DE"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53</w:t>
            </w:r>
          </w:p>
        </w:tc>
        <w:tc>
          <w:tcPr>
            <w:tcW w:w="956" w:type="dxa"/>
            <w:vAlign w:val="center"/>
          </w:tcPr>
          <w:p w14:paraId="305BBA0D"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12</w:t>
            </w:r>
          </w:p>
        </w:tc>
        <w:tc>
          <w:tcPr>
            <w:tcW w:w="956" w:type="dxa"/>
            <w:vAlign w:val="center"/>
          </w:tcPr>
          <w:p w14:paraId="49FD51AC"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16</w:t>
            </w:r>
          </w:p>
        </w:tc>
        <w:tc>
          <w:tcPr>
            <w:tcW w:w="956" w:type="dxa"/>
            <w:vAlign w:val="center"/>
          </w:tcPr>
          <w:p w14:paraId="1633223B"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22</w:t>
            </w:r>
          </w:p>
        </w:tc>
        <w:tc>
          <w:tcPr>
            <w:tcW w:w="1271" w:type="dxa"/>
            <w:vAlign w:val="center"/>
          </w:tcPr>
          <w:p w14:paraId="42B4F6BE"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27</w:t>
            </w:r>
          </w:p>
        </w:tc>
        <w:tc>
          <w:tcPr>
            <w:tcW w:w="1407" w:type="dxa"/>
            <w:vAlign w:val="center"/>
          </w:tcPr>
          <w:p w14:paraId="336AB18A"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lang w:val="uk-UA"/>
              </w:rPr>
              <w:t>-26</w:t>
            </w:r>
          </w:p>
        </w:tc>
      </w:tr>
      <w:tr w:rsidR="00A41B49" w:rsidRPr="00A41B49" w14:paraId="184DBD8A" w14:textId="77777777" w:rsidTr="00D75056">
        <w:tc>
          <w:tcPr>
            <w:tcW w:w="1662" w:type="dxa"/>
            <w:vMerge/>
          </w:tcPr>
          <w:p w14:paraId="1F894C69" w14:textId="77777777" w:rsidR="008B308A" w:rsidRPr="00A41B49" w:rsidRDefault="008B308A" w:rsidP="00DA3487">
            <w:pPr>
              <w:rPr>
                <w:rFonts w:ascii="Times New Roman" w:hAnsi="Times New Roman" w:cs="Times New Roman"/>
                <w:sz w:val="24"/>
                <w:szCs w:val="24"/>
                <w:lang w:val="uk-UA"/>
              </w:rPr>
            </w:pPr>
          </w:p>
        </w:tc>
        <w:tc>
          <w:tcPr>
            <w:tcW w:w="1425" w:type="dxa"/>
          </w:tcPr>
          <w:p w14:paraId="714529BD" w14:textId="77777777" w:rsidR="008B308A" w:rsidRPr="00A41B49" w:rsidRDefault="008B308A" w:rsidP="00DA3487">
            <w:pPr>
              <w:rPr>
                <w:rFonts w:ascii="Times New Roman" w:hAnsi="Times New Roman" w:cs="Times New Roman"/>
                <w:sz w:val="24"/>
                <w:szCs w:val="24"/>
                <w:lang w:val="uk-UA"/>
              </w:rPr>
            </w:pPr>
            <w:r w:rsidRPr="00A41B49">
              <w:rPr>
                <w:rFonts w:ascii="Times New Roman" w:hAnsi="Times New Roman" w:cs="Times New Roman"/>
                <w:sz w:val="24"/>
                <w:szCs w:val="24"/>
                <w:lang w:val="uk-UA"/>
              </w:rPr>
              <w:t xml:space="preserve">Значення </w:t>
            </w:r>
          </w:p>
        </w:tc>
        <w:tc>
          <w:tcPr>
            <w:tcW w:w="938" w:type="dxa"/>
            <w:vAlign w:val="center"/>
          </w:tcPr>
          <w:p w14:paraId="055F3073"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28,6</w:t>
            </w:r>
          </w:p>
        </w:tc>
        <w:tc>
          <w:tcPr>
            <w:tcW w:w="956" w:type="dxa"/>
            <w:vAlign w:val="center"/>
          </w:tcPr>
          <w:p w14:paraId="2FD257C3"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58,3</w:t>
            </w:r>
          </w:p>
        </w:tc>
        <w:tc>
          <w:tcPr>
            <w:tcW w:w="956" w:type="dxa"/>
            <w:vAlign w:val="center"/>
          </w:tcPr>
          <w:p w14:paraId="337D9F38"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62,9</w:t>
            </w:r>
          </w:p>
        </w:tc>
        <w:tc>
          <w:tcPr>
            <w:tcW w:w="956" w:type="dxa"/>
            <w:vAlign w:val="center"/>
          </w:tcPr>
          <w:p w14:paraId="7551F6D7"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59,2</w:t>
            </w:r>
          </w:p>
        </w:tc>
        <w:tc>
          <w:tcPr>
            <w:tcW w:w="1271" w:type="dxa"/>
            <w:vAlign w:val="center"/>
          </w:tcPr>
          <w:p w14:paraId="64778B97"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56,9</w:t>
            </w:r>
          </w:p>
        </w:tc>
        <w:tc>
          <w:tcPr>
            <w:tcW w:w="1407" w:type="dxa"/>
            <w:vAlign w:val="center"/>
          </w:tcPr>
          <w:p w14:paraId="593318DD"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lang w:val="uk-UA"/>
              </w:rPr>
              <w:t>28,3</w:t>
            </w:r>
          </w:p>
        </w:tc>
      </w:tr>
      <w:tr w:rsidR="00A41B49" w:rsidRPr="00A41B49" w14:paraId="193E4C58" w14:textId="77777777" w:rsidTr="00D75056">
        <w:tc>
          <w:tcPr>
            <w:tcW w:w="1662" w:type="dxa"/>
            <w:vMerge w:val="restart"/>
          </w:tcPr>
          <w:p w14:paraId="796D1625" w14:textId="77777777" w:rsidR="008B308A" w:rsidRPr="00A41B49" w:rsidRDefault="008B308A" w:rsidP="00DA3487">
            <w:pPr>
              <w:rPr>
                <w:rFonts w:ascii="Times New Roman" w:hAnsi="Times New Roman" w:cs="Times New Roman"/>
                <w:sz w:val="24"/>
                <w:szCs w:val="24"/>
                <w:lang w:val="uk-UA"/>
              </w:rPr>
            </w:pPr>
            <w:r w:rsidRPr="00A41B49">
              <w:rPr>
                <w:rFonts w:ascii="Times New Roman" w:hAnsi="Times New Roman" w:cs="Times New Roman"/>
                <w:sz w:val="24"/>
                <w:szCs w:val="24"/>
                <w:lang w:val="uk-UA"/>
              </w:rPr>
              <w:t>Підзвітність</w:t>
            </w:r>
          </w:p>
        </w:tc>
        <w:tc>
          <w:tcPr>
            <w:tcW w:w="1425" w:type="dxa"/>
          </w:tcPr>
          <w:p w14:paraId="68F7806D" w14:textId="77777777" w:rsidR="008B308A" w:rsidRPr="00A41B49" w:rsidRDefault="008B308A" w:rsidP="00DA3487">
            <w:pPr>
              <w:rPr>
                <w:rFonts w:ascii="Times New Roman" w:hAnsi="Times New Roman" w:cs="Times New Roman"/>
                <w:sz w:val="24"/>
                <w:szCs w:val="24"/>
                <w:lang w:val="uk-UA"/>
              </w:rPr>
            </w:pPr>
            <w:r w:rsidRPr="00A41B49">
              <w:rPr>
                <w:rFonts w:ascii="Times New Roman" w:hAnsi="Times New Roman" w:cs="Times New Roman"/>
                <w:sz w:val="24"/>
                <w:szCs w:val="24"/>
                <w:lang w:val="uk-UA"/>
              </w:rPr>
              <w:t>Місце в рейтингу</w:t>
            </w:r>
          </w:p>
        </w:tc>
        <w:tc>
          <w:tcPr>
            <w:tcW w:w="938" w:type="dxa"/>
            <w:vAlign w:val="center"/>
          </w:tcPr>
          <w:p w14:paraId="7A06C084" w14:textId="77777777" w:rsidR="008B308A" w:rsidRPr="00A41B49" w:rsidRDefault="00A957F9"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н/д</w:t>
            </w:r>
          </w:p>
        </w:tc>
        <w:tc>
          <w:tcPr>
            <w:tcW w:w="956" w:type="dxa"/>
            <w:vAlign w:val="center"/>
          </w:tcPr>
          <w:p w14:paraId="70148FDF"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н/д</w:t>
            </w:r>
          </w:p>
        </w:tc>
        <w:tc>
          <w:tcPr>
            <w:tcW w:w="956" w:type="dxa"/>
            <w:vAlign w:val="center"/>
          </w:tcPr>
          <w:p w14:paraId="5FE04B08"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н/д</w:t>
            </w:r>
          </w:p>
        </w:tc>
        <w:tc>
          <w:tcPr>
            <w:tcW w:w="956" w:type="dxa"/>
            <w:vAlign w:val="center"/>
          </w:tcPr>
          <w:p w14:paraId="3AAB56D6"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29</w:t>
            </w:r>
          </w:p>
        </w:tc>
        <w:tc>
          <w:tcPr>
            <w:tcW w:w="1271" w:type="dxa"/>
            <w:vAlign w:val="center"/>
          </w:tcPr>
          <w:p w14:paraId="5A2F1CEB"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19</w:t>
            </w:r>
          </w:p>
        </w:tc>
        <w:tc>
          <w:tcPr>
            <w:tcW w:w="1407" w:type="dxa"/>
            <w:vAlign w:val="center"/>
          </w:tcPr>
          <w:p w14:paraId="5C7540A8"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lang w:val="uk-UA"/>
              </w:rPr>
              <w:t>19</w:t>
            </w:r>
          </w:p>
        </w:tc>
      </w:tr>
      <w:tr w:rsidR="00A41B49" w:rsidRPr="00A41B49" w14:paraId="0F1DA645" w14:textId="77777777" w:rsidTr="00D75056">
        <w:tc>
          <w:tcPr>
            <w:tcW w:w="1662" w:type="dxa"/>
            <w:vMerge/>
          </w:tcPr>
          <w:p w14:paraId="0603813F" w14:textId="77777777" w:rsidR="008B308A" w:rsidRPr="00A41B49" w:rsidRDefault="008B308A" w:rsidP="00DA3487">
            <w:pPr>
              <w:rPr>
                <w:rFonts w:ascii="Times New Roman" w:hAnsi="Times New Roman" w:cs="Times New Roman"/>
                <w:sz w:val="24"/>
                <w:szCs w:val="24"/>
                <w:lang w:val="uk-UA"/>
              </w:rPr>
            </w:pPr>
          </w:p>
        </w:tc>
        <w:tc>
          <w:tcPr>
            <w:tcW w:w="1425" w:type="dxa"/>
          </w:tcPr>
          <w:p w14:paraId="4F8206FB" w14:textId="77777777" w:rsidR="008B308A" w:rsidRPr="00A41B49" w:rsidRDefault="008B308A" w:rsidP="00DA3487">
            <w:pPr>
              <w:rPr>
                <w:rFonts w:ascii="Times New Roman" w:hAnsi="Times New Roman" w:cs="Times New Roman"/>
                <w:sz w:val="24"/>
                <w:szCs w:val="24"/>
                <w:lang w:val="uk-UA"/>
              </w:rPr>
            </w:pPr>
            <w:r w:rsidRPr="00A41B49">
              <w:rPr>
                <w:rFonts w:ascii="Times New Roman" w:hAnsi="Times New Roman" w:cs="Times New Roman"/>
                <w:sz w:val="24"/>
                <w:szCs w:val="24"/>
                <w:lang w:val="uk-UA"/>
              </w:rPr>
              <w:t xml:space="preserve">Значення </w:t>
            </w:r>
          </w:p>
        </w:tc>
        <w:tc>
          <w:tcPr>
            <w:tcW w:w="938" w:type="dxa"/>
            <w:vAlign w:val="center"/>
          </w:tcPr>
          <w:p w14:paraId="4A52B4C2" w14:textId="77777777" w:rsidR="008B308A" w:rsidRPr="00A41B49" w:rsidRDefault="00A957F9"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н/д</w:t>
            </w:r>
          </w:p>
        </w:tc>
        <w:tc>
          <w:tcPr>
            <w:tcW w:w="956" w:type="dxa"/>
            <w:vAlign w:val="center"/>
          </w:tcPr>
          <w:p w14:paraId="61ED4DB1"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н/д</w:t>
            </w:r>
          </w:p>
        </w:tc>
        <w:tc>
          <w:tcPr>
            <w:tcW w:w="956" w:type="dxa"/>
            <w:vAlign w:val="center"/>
          </w:tcPr>
          <w:p w14:paraId="67CA699F"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н/д</w:t>
            </w:r>
          </w:p>
        </w:tc>
        <w:tc>
          <w:tcPr>
            <w:tcW w:w="956" w:type="dxa"/>
            <w:vAlign w:val="center"/>
          </w:tcPr>
          <w:p w14:paraId="5B42EF4C"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10</w:t>
            </w:r>
          </w:p>
        </w:tc>
        <w:tc>
          <w:tcPr>
            <w:tcW w:w="1271" w:type="dxa"/>
            <w:vAlign w:val="center"/>
          </w:tcPr>
          <w:p w14:paraId="31E31E16"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15,5</w:t>
            </w:r>
          </w:p>
        </w:tc>
        <w:tc>
          <w:tcPr>
            <w:tcW w:w="1407" w:type="dxa"/>
            <w:vAlign w:val="center"/>
          </w:tcPr>
          <w:p w14:paraId="710605E9" w14:textId="77777777" w:rsidR="008B308A" w:rsidRPr="00A41B49" w:rsidRDefault="008B308A" w:rsidP="00D75056">
            <w:pPr>
              <w:jc w:val="center"/>
              <w:rPr>
                <w:rFonts w:ascii="Times New Roman" w:hAnsi="Times New Roman" w:cs="Times New Roman"/>
                <w:sz w:val="24"/>
                <w:szCs w:val="24"/>
                <w:lang w:val="uk-UA"/>
              </w:rPr>
            </w:pPr>
            <w:r w:rsidRPr="00A41B49">
              <w:rPr>
                <w:rFonts w:ascii="Times New Roman" w:hAnsi="Times New Roman" w:cs="Times New Roman"/>
                <w:lang w:val="uk-UA"/>
              </w:rPr>
              <w:t>15,5</w:t>
            </w:r>
          </w:p>
        </w:tc>
      </w:tr>
    </w:tbl>
    <w:p w14:paraId="7F806AD2" w14:textId="77777777" w:rsidR="008B308A" w:rsidRPr="00A41B49" w:rsidRDefault="008B308A" w:rsidP="008B308A">
      <w:pPr>
        <w:spacing w:after="0" w:line="240" w:lineRule="auto"/>
        <w:rPr>
          <w:rFonts w:ascii="Times New Roman" w:hAnsi="Times New Roman" w:cs="Times New Roman"/>
          <w:i/>
          <w:sz w:val="24"/>
          <w:szCs w:val="24"/>
          <w:lang w:val="uk-UA"/>
        </w:rPr>
      </w:pPr>
      <w:r w:rsidRPr="00A41B49">
        <w:rPr>
          <w:rFonts w:ascii="Times New Roman" w:hAnsi="Times New Roman" w:cs="Times New Roman"/>
          <w:i/>
          <w:sz w:val="24"/>
          <w:szCs w:val="24"/>
          <w:lang w:val="uk-UA"/>
        </w:rPr>
        <w:t>Джерело: складено автором на основі даних джерела [2]</w:t>
      </w:r>
    </w:p>
    <w:p w14:paraId="7C8EFE9C" w14:textId="77777777" w:rsidR="003A3FBB" w:rsidRPr="00A41B49" w:rsidRDefault="003A3FBB" w:rsidP="008B308A">
      <w:pPr>
        <w:spacing w:after="0" w:line="240" w:lineRule="auto"/>
        <w:rPr>
          <w:rFonts w:ascii="Times New Roman" w:hAnsi="Times New Roman" w:cs="Times New Roman"/>
          <w:i/>
          <w:sz w:val="24"/>
          <w:szCs w:val="24"/>
          <w:lang w:val="uk-UA"/>
        </w:rPr>
      </w:pPr>
    </w:p>
    <w:p w14:paraId="14CA9E7C" w14:textId="77777777" w:rsidR="00391DA8" w:rsidRPr="00A41B49" w:rsidRDefault="00280239" w:rsidP="00391DA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Покращення показників м. Кривий Ріг за параметрами прозорості та підзвітності у 20</w:t>
      </w:r>
      <w:r w:rsidR="00391DA8" w:rsidRPr="00A41B49">
        <w:rPr>
          <w:rFonts w:ascii="Times New Roman" w:hAnsi="Times New Roman" w:cs="Times New Roman"/>
          <w:sz w:val="28"/>
          <w:szCs w:val="28"/>
          <w:lang w:val="uk-UA"/>
        </w:rPr>
        <w:t>17</w:t>
      </w:r>
      <w:r w:rsidRPr="00A41B49">
        <w:rPr>
          <w:rFonts w:ascii="Times New Roman" w:hAnsi="Times New Roman" w:cs="Times New Roman"/>
          <w:sz w:val="28"/>
          <w:szCs w:val="28"/>
          <w:lang w:val="uk-UA"/>
        </w:rPr>
        <w:t xml:space="preserve">-2021 рр. </w:t>
      </w:r>
      <w:r w:rsidR="00391DA8" w:rsidRPr="00A41B49">
        <w:rPr>
          <w:rFonts w:ascii="Times New Roman" w:hAnsi="Times New Roman" w:cs="Times New Roman"/>
          <w:sz w:val="28"/>
          <w:szCs w:val="28"/>
          <w:lang w:val="uk-UA"/>
        </w:rPr>
        <w:t>було пов’язано із активною та цілеспрямованою робота над підвищенням інвестиційної привабливості міста Кривий Ріг у зазначений період. Так, протягом 2017-2020 рр.:</w:t>
      </w:r>
    </w:p>
    <w:p w14:paraId="3C2EBF9B" w14:textId="77777777" w:rsidR="00391DA8" w:rsidRPr="00A41B49" w:rsidRDefault="00391DA8" w:rsidP="00391DA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місто самостійно інвестувало (інвестування коштом міського бюджету) у розвиток житлово-комунального господарства, охорони здоров’я, освіти, фізичної культури і спорту, соціального захисту та соціального забезпечення, транспорту тощо;</w:t>
      </w:r>
    </w:p>
    <w:p w14:paraId="68797EDD" w14:textId="77777777" w:rsidR="00391DA8" w:rsidRPr="00A41B49" w:rsidRDefault="00F11999" w:rsidP="00391DA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органами місцевого самоврядування було </w:t>
      </w:r>
      <w:r w:rsidR="00391DA8" w:rsidRPr="00A41B49">
        <w:rPr>
          <w:rFonts w:ascii="Times New Roman" w:hAnsi="Times New Roman" w:cs="Times New Roman"/>
          <w:sz w:val="28"/>
          <w:szCs w:val="28"/>
          <w:lang w:val="uk-UA"/>
        </w:rPr>
        <w:t>створено та систематично оновлювався «Путівник інвестора», створено та забезпечено широке розповсюдження Інвестиційного паспорту міста</w:t>
      </w:r>
      <w:r w:rsidR="00F13369" w:rsidRPr="00A41B49">
        <w:rPr>
          <w:rFonts w:ascii="Times New Roman" w:hAnsi="Times New Roman" w:cs="Times New Roman"/>
          <w:sz w:val="28"/>
          <w:szCs w:val="28"/>
          <w:lang w:val="uk-UA"/>
        </w:rPr>
        <w:t>, здійснювалися презентації інвестиційних можливостей міста для іноземних партнерів</w:t>
      </w:r>
      <w:r w:rsidR="00391DA8" w:rsidRPr="00A41B49">
        <w:rPr>
          <w:rFonts w:ascii="Times New Roman" w:hAnsi="Times New Roman" w:cs="Times New Roman"/>
          <w:sz w:val="28"/>
          <w:szCs w:val="28"/>
          <w:lang w:val="uk-UA"/>
        </w:rPr>
        <w:t>;</w:t>
      </w:r>
    </w:p>
    <w:p w14:paraId="1804D129" w14:textId="77777777" w:rsidR="00391DA8" w:rsidRPr="00A41B49" w:rsidRDefault="00F11999" w:rsidP="00391DA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у місті </w:t>
      </w:r>
      <w:r w:rsidR="00391DA8" w:rsidRPr="00A41B49">
        <w:rPr>
          <w:rFonts w:ascii="Times New Roman" w:hAnsi="Times New Roman" w:cs="Times New Roman"/>
          <w:sz w:val="28"/>
          <w:szCs w:val="28"/>
          <w:lang w:val="uk-UA"/>
        </w:rPr>
        <w:t>було розпочато реалізацію цілої низки інвестиційних проєктів, спрямованих на розвиток інфраструктури, підвищення рівня ділової активності, інноваційності та підвищення інвестиційної привабливості міста (інвестиційний проєкт «Центр креативної економіки м. Кривого Рогу», «Програма розвитку муніципальної інфраструктури України», «Модернізація системи теплопостачання міста Кривого Рогу»</w:t>
      </w:r>
      <w:r w:rsidR="00D02366" w:rsidRPr="00A41B49">
        <w:rPr>
          <w:rFonts w:ascii="Times New Roman" w:hAnsi="Times New Roman" w:cs="Times New Roman"/>
          <w:sz w:val="28"/>
          <w:szCs w:val="28"/>
          <w:lang w:val="uk-UA"/>
        </w:rPr>
        <w:t>, «Підвищення енергоефективності громадських будівель у м. Кривому Розі»</w:t>
      </w:r>
      <w:r w:rsidR="00D0177C" w:rsidRPr="00A41B49">
        <w:rPr>
          <w:rFonts w:ascii="Times New Roman" w:hAnsi="Times New Roman" w:cs="Times New Roman"/>
          <w:sz w:val="28"/>
          <w:szCs w:val="28"/>
          <w:lang w:val="uk-UA"/>
        </w:rPr>
        <w:t xml:space="preserve">, </w:t>
      </w:r>
      <w:r w:rsidR="00D0177C" w:rsidRPr="00A41B49">
        <w:rPr>
          <w:rFonts w:ascii="Times New Roman" w:hAnsi="Times New Roman" w:cs="Times New Roman"/>
          <w:iCs/>
          <w:sz w:val="28"/>
          <w:szCs w:val="28"/>
          <w:lang w:val="uk-UA"/>
        </w:rPr>
        <w:t>проєкт з видобутку залізної руди на Шиманівському родовищі в південній частині Кривого Рогу</w:t>
      </w:r>
      <w:r w:rsidR="006845AC" w:rsidRPr="00A41B49">
        <w:rPr>
          <w:rFonts w:ascii="Times New Roman" w:hAnsi="Times New Roman" w:cs="Times New Roman"/>
          <w:iCs/>
          <w:sz w:val="28"/>
          <w:szCs w:val="28"/>
          <w:lang w:val="uk-UA"/>
        </w:rPr>
        <w:t xml:space="preserve">, </w:t>
      </w:r>
      <w:r w:rsidR="006845AC" w:rsidRPr="00A41B49">
        <w:rPr>
          <w:rFonts w:ascii="Times New Roman" w:hAnsi="Times New Roman" w:cs="Times New Roman"/>
          <w:sz w:val="28"/>
          <w:szCs w:val="28"/>
          <w:lang w:val="uk-UA"/>
        </w:rPr>
        <w:t>«Danida Business Finance»</w:t>
      </w:r>
      <w:r w:rsidR="00F333B2" w:rsidRPr="00A41B49">
        <w:rPr>
          <w:rFonts w:ascii="Times New Roman" w:hAnsi="Times New Roman" w:cs="Times New Roman"/>
          <w:sz w:val="28"/>
          <w:szCs w:val="28"/>
          <w:lang w:val="uk-UA"/>
        </w:rPr>
        <w:t xml:space="preserve"> тощо);</w:t>
      </w:r>
    </w:p>
    <w:p w14:paraId="0BD8C274" w14:textId="77777777" w:rsidR="00391DA8" w:rsidRPr="00A41B49" w:rsidRDefault="00D02366" w:rsidP="00391DA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органами місцевого самоврядування, підприємствами м. Кривий Ріг було </w:t>
      </w:r>
      <w:r w:rsidR="00391DA8" w:rsidRPr="00A41B49">
        <w:rPr>
          <w:rFonts w:ascii="Times New Roman" w:hAnsi="Times New Roman" w:cs="Times New Roman"/>
          <w:sz w:val="28"/>
          <w:szCs w:val="28"/>
          <w:lang w:val="uk-UA"/>
        </w:rPr>
        <w:t xml:space="preserve">укладено низку угод із </w:t>
      </w:r>
      <w:r w:rsidRPr="00A41B49">
        <w:rPr>
          <w:rFonts w:ascii="Times New Roman" w:hAnsi="Times New Roman" w:cs="Times New Roman"/>
          <w:sz w:val="28"/>
          <w:szCs w:val="28"/>
          <w:lang w:val="uk-UA"/>
        </w:rPr>
        <w:t xml:space="preserve">національними та </w:t>
      </w:r>
      <w:r w:rsidR="00391DA8" w:rsidRPr="00A41B49">
        <w:rPr>
          <w:rFonts w:ascii="Times New Roman" w:hAnsi="Times New Roman" w:cs="Times New Roman"/>
          <w:sz w:val="28"/>
          <w:szCs w:val="28"/>
          <w:lang w:val="uk-UA"/>
        </w:rPr>
        <w:t>міжнародними інституціями (угода із Міжнародною фінансовою корпорацією, Українським фондом соціальних інвестицій, Європейським інвестиційним банком, Європейським банком реконструкції та розвитку, Німецьким товариством міжнародного співробітництва щодо охорони здоров’я та соціального захисту тощо)</w:t>
      </w:r>
      <w:r w:rsidR="00601D3B" w:rsidRPr="00A41B49">
        <w:rPr>
          <w:rFonts w:ascii="Times New Roman" w:hAnsi="Times New Roman" w:cs="Times New Roman"/>
          <w:sz w:val="28"/>
          <w:szCs w:val="28"/>
          <w:lang w:val="uk-UA"/>
        </w:rPr>
        <w:t xml:space="preserve"> [19]</w:t>
      </w:r>
      <w:r w:rsidR="00391DA8" w:rsidRPr="00A41B49">
        <w:rPr>
          <w:rFonts w:ascii="Times New Roman" w:hAnsi="Times New Roman" w:cs="Times New Roman"/>
          <w:sz w:val="28"/>
          <w:szCs w:val="28"/>
          <w:lang w:val="uk-UA"/>
        </w:rPr>
        <w:t xml:space="preserve">.  </w:t>
      </w:r>
    </w:p>
    <w:p w14:paraId="15A8843B" w14:textId="77777777" w:rsidR="003054C3" w:rsidRPr="00A41B49" w:rsidRDefault="003054C3" w:rsidP="00352765">
      <w:pPr>
        <w:spacing w:after="0" w:line="240" w:lineRule="auto"/>
        <w:ind w:firstLine="709"/>
        <w:jc w:val="both"/>
        <w:rPr>
          <w:rFonts w:ascii="Times New Roman" w:hAnsi="Times New Roman" w:cs="Times New Roman"/>
          <w:sz w:val="28"/>
          <w:szCs w:val="28"/>
          <w:shd w:val="clear" w:color="auto" w:fill="FFFFFF"/>
          <w:lang w:val="uk-UA"/>
        </w:rPr>
      </w:pPr>
      <w:r w:rsidRPr="00A41B49">
        <w:rPr>
          <w:rFonts w:ascii="Times New Roman" w:hAnsi="Times New Roman" w:cs="Times New Roman"/>
          <w:sz w:val="28"/>
          <w:szCs w:val="28"/>
          <w:lang w:val="uk-UA"/>
        </w:rPr>
        <w:t xml:space="preserve">Крім того, у 2020 році </w:t>
      </w:r>
      <w:r w:rsidR="00E60B9F" w:rsidRPr="00A41B49">
        <w:rPr>
          <w:rFonts w:ascii="Times New Roman" w:hAnsi="Times New Roman" w:cs="Times New Roman"/>
          <w:sz w:val="28"/>
          <w:szCs w:val="28"/>
          <w:lang w:val="uk-UA"/>
        </w:rPr>
        <w:t xml:space="preserve">у рамкам консалтингової угоди м. </w:t>
      </w:r>
      <w:r w:rsidR="00BB2722" w:rsidRPr="00A41B49">
        <w:rPr>
          <w:rFonts w:ascii="Times New Roman" w:hAnsi="Times New Roman" w:cs="Times New Roman"/>
          <w:sz w:val="28"/>
          <w:szCs w:val="28"/>
          <w:lang w:val="uk-UA"/>
        </w:rPr>
        <w:t xml:space="preserve">Кривий Ріг з </w:t>
      </w:r>
      <w:r w:rsidR="00BB2722" w:rsidRPr="00A41B49">
        <w:rPr>
          <w:rFonts w:ascii="Times New Roman" w:hAnsi="Times New Roman" w:cs="Times New Roman"/>
          <w:sz w:val="28"/>
          <w:szCs w:val="28"/>
          <w:shd w:val="clear" w:color="auto" w:fill="FFFFFF"/>
          <w:lang w:val="uk-UA"/>
        </w:rPr>
        <w:t xml:space="preserve">Міжнародною фінансовою корпорацією (IFC) було здійснено оцінку кредитоспроможності міста – визначено його кредитний рейтинг, що </w:t>
      </w:r>
      <w:r w:rsidR="00BB2722" w:rsidRPr="00A41B49">
        <w:rPr>
          <w:rFonts w:ascii="Times New Roman" w:hAnsi="Times New Roman" w:cs="Times New Roman"/>
          <w:sz w:val="28"/>
          <w:szCs w:val="28"/>
          <w:shd w:val="clear" w:color="auto" w:fill="FFFFFF"/>
          <w:lang w:val="uk-UA"/>
        </w:rPr>
        <w:lastRenderedPageBreak/>
        <w:t xml:space="preserve">представляє собою </w:t>
      </w:r>
      <w:r w:rsidR="00BB2722" w:rsidRPr="00A41B49">
        <w:rPr>
          <w:rFonts w:ascii="Times New Roman" w:hAnsi="Times New Roman" w:cs="Times New Roman"/>
          <w:sz w:val="28"/>
          <w:szCs w:val="28"/>
          <w:lang w:val="uk-UA"/>
        </w:rPr>
        <w:t>умовний вираз кредитоспроможності об'єкта рейтингування в цілому та/або його окремого боргового зобов'язання за шкалою кредитних рейтингів</w:t>
      </w:r>
      <w:r w:rsidR="005C2B37" w:rsidRPr="00A41B49">
        <w:rPr>
          <w:rFonts w:ascii="Times New Roman" w:hAnsi="Times New Roman" w:cs="Times New Roman"/>
          <w:sz w:val="28"/>
          <w:szCs w:val="28"/>
          <w:lang w:val="uk-UA"/>
        </w:rPr>
        <w:t xml:space="preserve"> [17], «є важливою умовою відкритого фінансового ринку і використовується на міжнародному рівні в тому числі при проведенні переговорів з інвесторами і залученні коштів як шляхом публічних розміщень, так і у вигляді синдикованих або приватних розміщень» [17].</w:t>
      </w:r>
      <w:r w:rsidR="00352765" w:rsidRPr="00A41B49">
        <w:rPr>
          <w:rFonts w:ascii="Times New Roman" w:hAnsi="Times New Roman" w:cs="Times New Roman"/>
          <w:sz w:val="28"/>
          <w:szCs w:val="28"/>
          <w:lang w:val="uk-UA"/>
        </w:rPr>
        <w:t xml:space="preserve"> Відповідно до оцінок міжнародного рейтингового агентства Fitch Ratings м. Кривий Ріг було «…присвоєно довгостроковий рейтинг дефолту емітента (РДЕ) в іноземній та національній валюті на рівні «B» з прогнозом «Стабільний», короткостроковий РДЕ в іноземній валюті «B» та національний рейтинг «A+(ukr)» зі «Стабільним» прогнозом» [19].</w:t>
      </w:r>
    </w:p>
    <w:p w14:paraId="7CE585B9" w14:textId="77777777" w:rsidR="00CC43A3" w:rsidRPr="00A41B49" w:rsidRDefault="00C80B84" w:rsidP="00601D3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За рахунок </w:t>
      </w:r>
      <w:r w:rsidR="00601D3B" w:rsidRPr="00A41B49">
        <w:rPr>
          <w:rFonts w:ascii="Times New Roman" w:hAnsi="Times New Roman" w:cs="Times New Roman"/>
          <w:sz w:val="28"/>
          <w:szCs w:val="28"/>
          <w:lang w:val="uk-UA"/>
        </w:rPr>
        <w:t xml:space="preserve">такої </w:t>
      </w:r>
      <w:r w:rsidRPr="00A41B49">
        <w:rPr>
          <w:rFonts w:ascii="Times New Roman" w:hAnsi="Times New Roman" w:cs="Times New Roman"/>
          <w:sz w:val="28"/>
          <w:szCs w:val="28"/>
          <w:lang w:val="uk-UA"/>
        </w:rPr>
        <w:t>цілеспрямованої</w:t>
      </w:r>
      <w:r w:rsidR="0024021C" w:rsidRPr="00A41B49">
        <w:rPr>
          <w:rFonts w:ascii="Times New Roman" w:hAnsi="Times New Roman" w:cs="Times New Roman"/>
          <w:sz w:val="28"/>
          <w:szCs w:val="28"/>
          <w:lang w:val="uk-UA"/>
        </w:rPr>
        <w:t xml:space="preserve"> робота над підвищенням інв</w:t>
      </w:r>
      <w:r w:rsidRPr="00A41B49">
        <w:rPr>
          <w:rFonts w:ascii="Times New Roman" w:hAnsi="Times New Roman" w:cs="Times New Roman"/>
          <w:sz w:val="28"/>
          <w:szCs w:val="28"/>
          <w:lang w:val="uk-UA"/>
        </w:rPr>
        <w:t>естиційної привабливості міста м. Кривий Ріг</w:t>
      </w:r>
      <w:r w:rsidR="006D2386" w:rsidRPr="00A41B49">
        <w:rPr>
          <w:rFonts w:ascii="Times New Roman" w:hAnsi="Times New Roman" w:cs="Times New Roman"/>
          <w:sz w:val="28"/>
          <w:szCs w:val="28"/>
          <w:lang w:val="uk-UA"/>
        </w:rPr>
        <w:t xml:space="preserve"> у 2017-20</w:t>
      </w:r>
      <w:r w:rsidR="007418A1" w:rsidRPr="00A41B49">
        <w:rPr>
          <w:rFonts w:ascii="Times New Roman" w:hAnsi="Times New Roman" w:cs="Times New Roman"/>
          <w:sz w:val="28"/>
          <w:szCs w:val="28"/>
          <w:lang w:val="uk-UA"/>
        </w:rPr>
        <w:t>20 рр</w:t>
      </w:r>
      <w:r w:rsidR="009E2B57" w:rsidRPr="00A41B49">
        <w:rPr>
          <w:rFonts w:ascii="Times New Roman" w:hAnsi="Times New Roman" w:cs="Times New Roman"/>
          <w:sz w:val="28"/>
          <w:szCs w:val="28"/>
          <w:lang w:val="uk-UA"/>
        </w:rPr>
        <w:t>.</w:t>
      </w:r>
      <w:r w:rsidR="0044726A" w:rsidRPr="00A41B49">
        <w:rPr>
          <w:rFonts w:ascii="Times New Roman" w:hAnsi="Times New Roman" w:cs="Times New Roman"/>
          <w:sz w:val="28"/>
          <w:szCs w:val="28"/>
          <w:lang w:val="uk-UA"/>
        </w:rPr>
        <w:t xml:space="preserve"> «станом на 01.10.2020 обсяг унесених в економіку міста прямих іноземних інвестицій становив 1 912,9 млн дол. США, що складає 40,4% від загального обсягу по Дніпропетровській області (на 24,4% більше, ніж на початок 2020 року)» [19]. </w:t>
      </w:r>
    </w:p>
    <w:p w14:paraId="0C48168D" w14:textId="77777777" w:rsidR="00747F81" w:rsidRPr="00A41B49" w:rsidRDefault="0044726A" w:rsidP="00601D3B">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Основними донорами іноземних інвестицій м. Кривий Ріг були такі країни, як Німеччина, Франція, Туреччина, Данії, Іспанії, США, Польща, Грузія тощо.</w:t>
      </w:r>
      <w:r w:rsidR="00601D3B" w:rsidRPr="00A41B49">
        <w:rPr>
          <w:rFonts w:ascii="Times New Roman" w:hAnsi="Times New Roman" w:cs="Times New Roman"/>
          <w:sz w:val="28"/>
          <w:szCs w:val="28"/>
          <w:lang w:val="uk-UA"/>
        </w:rPr>
        <w:t xml:space="preserve"> К</w:t>
      </w:r>
      <w:r w:rsidR="00462C16" w:rsidRPr="00A41B49">
        <w:rPr>
          <w:rFonts w:ascii="Times New Roman" w:hAnsi="Times New Roman" w:cs="Times New Roman"/>
          <w:sz w:val="28"/>
          <w:szCs w:val="28"/>
          <w:lang w:val="uk-UA"/>
        </w:rPr>
        <w:t xml:space="preserve">рім того, заходи, спрямовані на підвищення інвестиційної привабливості міста позитивно позначилися не тільки на рівні привабливості міста для іноземних інвесторів, а й його інвестиційній привабливості для національних інвесторів, зокрема суб’єктів господарювання </w:t>
      </w:r>
      <w:r w:rsidR="00A10EE2" w:rsidRPr="00A41B49">
        <w:rPr>
          <w:rFonts w:ascii="Times New Roman" w:hAnsi="Times New Roman" w:cs="Times New Roman"/>
          <w:sz w:val="28"/>
          <w:szCs w:val="28"/>
          <w:lang w:val="uk-UA"/>
        </w:rPr>
        <w:t>–</w:t>
      </w:r>
      <w:r w:rsidR="00462C16" w:rsidRPr="00A41B49">
        <w:rPr>
          <w:rFonts w:ascii="Times New Roman" w:hAnsi="Times New Roman" w:cs="Times New Roman"/>
          <w:sz w:val="28"/>
          <w:szCs w:val="28"/>
          <w:lang w:val="uk-UA"/>
        </w:rPr>
        <w:t xml:space="preserve"> </w:t>
      </w:r>
      <w:r w:rsidR="00A10EE2" w:rsidRPr="00A41B49">
        <w:rPr>
          <w:rFonts w:ascii="Times New Roman" w:hAnsi="Times New Roman" w:cs="Times New Roman"/>
          <w:sz w:val="28"/>
          <w:szCs w:val="28"/>
          <w:lang w:val="uk-UA"/>
        </w:rPr>
        <w:t>підприємства міста стабільно вкладали фінансові ресурси у модернізацію виробництва, придбання машин та устаткування</w:t>
      </w:r>
      <w:r w:rsidR="008C04FB" w:rsidRPr="00A41B49">
        <w:rPr>
          <w:rFonts w:ascii="Times New Roman" w:hAnsi="Times New Roman" w:cs="Times New Roman"/>
          <w:sz w:val="28"/>
          <w:szCs w:val="28"/>
          <w:lang w:val="uk-UA"/>
        </w:rPr>
        <w:t>, проведення природоохоронних заходів</w:t>
      </w:r>
      <w:r w:rsidR="00A10EE2" w:rsidRPr="00A41B49">
        <w:rPr>
          <w:rFonts w:ascii="Times New Roman" w:hAnsi="Times New Roman" w:cs="Times New Roman"/>
          <w:sz w:val="28"/>
          <w:szCs w:val="28"/>
          <w:lang w:val="uk-UA"/>
        </w:rPr>
        <w:t xml:space="preserve"> [19</w:t>
      </w:r>
      <w:r w:rsidR="008C04FB" w:rsidRPr="00A41B49">
        <w:rPr>
          <w:rFonts w:ascii="Times New Roman" w:hAnsi="Times New Roman" w:cs="Times New Roman"/>
          <w:sz w:val="28"/>
          <w:szCs w:val="28"/>
          <w:lang w:val="uk-UA"/>
        </w:rPr>
        <w:t>, 20</w:t>
      </w:r>
      <w:r w:rsidR="00A10EE2" w:rsidRPr="00A41B49">
        <w:rPr>
          <w:rFonts w:ascii="Times New Roman" w:hAnsi="Times New Roman" w:cs="Times New Roman"/>
          <w:sz w:val="28"/>
          <w:szCs w:val="28"/>
          <w:lang w:val="uk-UA"/>
        </w:rPr>
        <w:t>].</w:t>
      </w:r>
    </w:p>
    <w:p w14:paraId="4495DAF1" w14:textId="77777777" w:rsidR="00C80B84" w:rsidRPr="00A41B49" w:rsidRDefault="00601D3B" w:rsidP="004F219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Як наслідок, </w:t>
      </w:r>
      <w:r w:rsidR="0074075A" w:rsidRPr="00A41B49">
        <w:rPr>
          <w:rFonts w:ascii="Times New Roman" w:hAnsi="Times New Roman" w:cs="Times New Roman"/>
          <w:sz w:val="28"/>
          <w:szCs w:val="28"/>
          <w:lang w:val="uk-UA"/>
        </w:rPr>
        <w:t>станом на 2021 рік м. </w:t>
      </w:r>
      <w:r w:rsidR="006D2386" w:rsidRPr="00A41B49">
        <w:rPr>
          <w:rFonts w:ascii="Times New Roman" w:hAnsi="Times New Roman" w:cs="Times New Roman"/>
          <w:sz w:val="28"/>
          <w:szCs w:val="28"/>
          <w:lang w:val="uk-UA"/>
        </w:rPr>
        <w:t>Кривий Ріг</w:t>
      </w:r>
      <w:r w:rsidR="00C80B84" w:rsidRPr="00A41B49">
        <w:rPr>
          <w:rFonts w:ascii="Times New Roman" w:hAnsi="Times New Roman" w:cs="Times New Roman"/>
          <w:sz w:val="28"/>
          <w:szCs w:val="28"/>
          <w:lang w:val="uk-UA"/>
        </w:rPr>
        <w:t xml:space="preserve"> вдалося випер</w:t>
      </w:r>
      <w:r w:rsidR="0074075A" w:rsidRPr="00A41B49">
        <w:rPr>
          <w:rFonts w:ascii="Times New Roman" w:hAnsi="Times New Roman" w:cs="Times New Roman"/>
          <w:sz w:val="28"/>
          <w:szCs w:val="28"/>
          <w:lang w:val="uk-UA"/>
        </w:rPr>
        <w:t>едити за показниками прозорості</w:t>
      </w:r>
      <w:r w:rsidR="006D2386" w:rsidRPr="00A41B49">
        <w:rPr>
          <w:rFonts w:ascii="Times New Roman" w:hAnsi="Times New Roman" w:cs="Times New Roman"/>
          <w:sz w:val="28"/>
          <w:szCs w:val="28"/>
          <w:lang w:val="uk-UA"/>
        </w:rPr>
        <w:t xml:space="preserve"> такі міста України</w:t>
      </w:r>
      <w:r w:rsidR="0074075A" w:rsidRPr="00A41B49">
        <w:rPr>
          <w:rFonts w:ascii="Times New Roman" w:hAnsi="Times New Roman" w:cs="Times New Roman"/>
          <w:sz w:val="28"/>
          <w:szCs w:val="28"/>
          <w:lang w:val="uk-UA"/>
        </w:rPr>
        <w:t xml:space="preserve">, як: Чернівці, Мелітополь, Фастів, Дунаївці, Охтирка; за показниками підзвітності </w:t>
      </w:r>
      <w:r w:rsidR="004F2198" w:rsidRPr="00A41B49">
        <w:rPr>
          <w:rFonts w:ascii="Times New Roman" w:hAnsi="Times New Roman" w:cs="Times New Roman"/>
          <w:sz w:val="28"/>
          <w:szCs w:val="28"/>
          <w:lang w:val="uk-UA"/>
        </w:rPr>
        <w:t>– Кропивницький, Павлоград, Чернігів, Олександрія, Бровари (табл.</w:t>
      </w:r>
      <w:r w:rsidR="0012064A" w:rsidRPr="00A41B49">
        <w:rPr>
          <w:rFonts w:ascii="Times New Roman" w:hAnsi="Times New Roman" w:cs="Times New Roman"/>
          <w:sz w:val="28"/>
          <w:szCs w:val="28"/>
          <w:lang w:val="uk-UA"/>
        </w:rPr>
        <w:t>3.</w:t>
      </w:r>
      <w:r w:rsidR="00AA4952" w:rsidRPr="00A41B49">
        <w:rPr>
          <w:rFonts w:ascii="Times New Roman" w:hAnsi="Times New Roman" w:cs="Times New Roman"/>
          <w:sz w:val="28"/>
          <w:szCs w:val="28"/>
          <w:lang w:val="uk-UA"/>
        </w:rPr>
        <w:t>9</w:t>
      </w:r>
      <w:r w:rsidR="00AE10B3" w:rsidRPr="00A41B49">
        <w:rPr>
          <w:rFonts w:ascii="Times New Roman" w:hAnsi="Times New Roman" w:cs="Times New Roman"/>
          <w:sz w:val="28"/>
          <w:szCs w:val="28"/>
          <w:lang w:val="uk-UA"/>
        </w:rPr>
        <w:t>), містом було продовжено роботу у напрямку реалізації заходів, спрямованих на підвищення інвестиційної привабливості міста, зокрема реалізац</w:t>
      </w:r>
      <w:r w:rsidR="009A405A" w:rsidRPr="00A41B49">
        <w:rPr>
          <w:rFonts w:ascii="Times New Roman" w:hAnsi="Times New Roman" w:cs="Times New Roman"/>
          <w:sz w:val="28"/>
          <w:szCs w:val="28"/>
          <w:lang w:val="uk-UA"/>
        </w:rPr>
        <w:t>ію низки інвестиційних проєктів, у т.ч. на засадах держав</w:t>
      </w:r>
      <w:r w:rsidR="006A047C" w:rsidRPr="00A41B49">
        <w:rPr>
          <w:rFonts w:ascii="Times New Roman" w:hAnsi="Times New Roman" w:cs="Times New Roman"/>
          <w:sz w:val="28"/>
          <w:szCs w:val="28"/>
          <w:lang w:val="uk-UA"/>
        </w:rPr>
        <w:t>но-приватного партнерства, розвитку міжнародного партнерства.</w:t>
      </w:r>
    </w:p>
    <w:p w14:paraId="43FD2079" w14:textId="77777777" w:rsidR="00AB3308" w:rsidRPr="00A41B49" w:rsidRDefault="00AB3308" w:rsidP="00AB3308">
      <w:pPr>
        <w:spacing w:after="0" w:line="240" w:lineRule="auto"/>
        <w:ind w:firstLine="709"/>
        <w:jc w:val="both"/>
        <w:rPr>
          <w:rFonts w:ascii="Times New Roman" w:hAnsi="Times New Roman" w:cs="Times New Roman"/>
          <w:bCs/>
          <w:sz w:val="28"/>
          <w:szCs w:val="28"/>
          <w:lang w:val="uk-UA"/>
        </w:rPr>
      </w:pPr>
      <w:r w:rsidRPr="00A41B49">
        <w:rPr>
          <w:rFonts w:ascii="Times New Roman" w:eastAsia="Times New Roman" w:hAnsi="Times New Roman" w:cs="Times New Roman"/>
          <w:bCs/>
          <w:kern w:val="36"/>
          <w:sz w:val="28"/>
          <w:szCs w:val="28"/>
          <w:lang w:val="uk-UA" w:eastAsia="ru-RU"/>
        </w:rPr>
        <w:t xml:space="preserve">Для збереження досягнень за 2017-2020 рр., у 2021 р. органами місцевого самоврядування м. Кривий Ріг було продовжено роботу у напрямку підвищення інвестиційної привабливості міста, зокрема дістала подальшого розвитку практика розбудови мережі партнерських відносин - було налагоджено співпрацю з Генеральним консульством України в Гуанчжоу (Китай), містом Дунгуань, </w:t>
      </w:r>
      <w:r w:rsidRPr="00A41B49">
        <w:rPr>
          <w:rFonts w:ascii="Times New Roman" w:hAnsi="Times New Roman" w:cs="Times New Roman"/>
          <w:sz w:val="28"/>
          <w:szCs w:val="28"/>
          <w:lang w:val="uk-UA"/>
        </w:rPr>
        <w:t xml:space="preserve">Китайською асоціацією малого та середнього бізнесу, </w:t>
      </w:r>
      <w:r w:rsidRPr="00A41B49">
        <w:rPr>
          <w:rFonts w:ascii="Times New Roman" w:hAnsi="Times New Roman" w:cs="Times New Roman"/>
          <w:bCs/>
          <w:sz w:val="28"/>
          <w:szCs w:val="28"/>
          <w:lang w:val="uk-UA"/>
        </w:rPr>
        <w:t>Фондом Ганса Зайделя (Німеччина) та Фондом Ебергарда Шьотка (Німеччина) тощо [20].</w:t>
      </w:r>
    </w:p>
    <w:p w14:paraId="60D3A263" w14:textId="77777777" w:rsidR="00AB3308" w:rsidRPr="00A41B49" w:rsidRDefault="00AB3308" w:rsidP="00AB3308">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bCs/>
          <w:sz w:val="28"/>
          <w:szCs w:val="28"/>
          <w:lang w:val="uk-UA"/>
        </w:rPr>
        <w:t xml:space="preserve">За результатами такої роботи </w:t>
      </w:r>
      <w:r w:rsidRPr="00A41B49">
        <w:rPr>
          <w:rFonts w:ascii="Times New Roman" w:hAnsi="Times New Roman" w:cs="Times New Roman"/>
          <w:sz w:val="28"/>
          <w:szCs w:val="28"/>
          <w:lang w:val="uk-UA"/>
        </w:rPr>
        <w:t xml:space="preserve">міжнародним рейтинговим агентством Fitch у 2021 році було підтверджено як короткостроковий, так і довгострокові кредитні рейтинги м. Кривий Ріг на рівні «B» (табл. </w:t>
      </w:r>
      <w:r w:rsidR="0012064A" w:rsidRPr="00A41B49">
        <w:rPr>
          <w:rFonts w:ascii="Times New Roman" w:hAnsi="Times New Roman" w:cs="Times New Roman"/>
          <w:sz w:val="28"/>
          <w:szCs w:val="28"/>
          <w:lang w:val="uk-UA"/>
        </w:rPr>
        <w:t>3.</w:t>
      </w:r>
      <w:r w:rsidRPr="00A41B49">
        <w:rPr>
          <w:rFonts w:ascii="Times New Roman" w:hAnsi="Times New Roman" w:cs="Times New Roman"/>
          <w:sz w:val="28"/>
          <w:szCs w:val="28"/>
          <w:lang w:val="uk-UA"/>
        </w:rPr>
        <w:t>10).</w:t>
      </w:r>
    </w:p>
    <w:p w14:paraId="3209A767" w14:textId="77777777" w:rsidR="008B308A" w:rsidRPr="00A41B49" w:rsidRDefault="004F2198" w:rsidP="004F2198">
      <w:pPr>
        <w:spacing w:after="0" w:line="240" w:lineRule="auto"/>
        <w:jc w:val="center"/>
        <w:rPr>
          <w:rFonts w:ascii="Times New Roman" w:hAnsi="Times New Roman" w:cs="Times New Roman"/>
          <w:sz w:val="28"/>
          <w:szCs w:val="28"/>
          <w:lang w:val="uk-UA"/>
        </w:rPr>
      </w:pPr>
      <w:r w:rsidRPr="00A41B49">
        <w:rPr>
          <w:rFonts w:ascii="Times New Roman" w:hAnsi="Times New Roman" w:cs="Times New Roman"/>
          <w:sz w:val="28"/>
          <w:szCs w:val="28"/>
          <w:lang w:val="uk-UA"/>
        </w:rPr>
        <w:lastRenderedPageBreak/>
        <w:t xml:space="preserve">Таблиця </w:t>
      </w:r>
      <w:r w:rsidR="0012064A" w:rsidRPr="00A41B49">
        <w:rPr>
          <w:rFonts w:ascii="Times New Roman" w:hAnsi="Times New Roman" w:cs="Times New Roman"/>
          <w:sz w:val="28"/>
          <w:szCs w:val="28"/>
          <w:lang w:val="uk-UA"/>
        </w:rPr>
        <w:t>3.</w:t>
      </w:r>
      <w:r w:rsidR="00AA4952" w:rsidRPr="00A41B49">
        <w:rPr>
          <w:rFonts w:ascii="Times New Roman" w:hAnsi="Times New Roman" w:cs="Times New Roman"/>
          <w:sz w:val="28"/>
          <w:szCs w:val="28"/>
          <w:lang w:val="uk-UA"/>
        </w:rPr>
        <w:t>9</w:t>
      </w:r>
      <w:r w:rsidRPr="00A41B49">
        <w:rPr>
          <w:rFonts w:ascii="Times New Roman" w:hAnsi="Times New Roman" w:cs="Times New Roman"/>
          <w:sz w:val="28"/>
          <w:szCs w:val="28"/>
          <w:lang w:val="uk-UA"/>
        </w:rPr>
        <w:t xml:space="preserve"> - </w:t>
      </w:r>
      <w:r w:rsidR="00F02649" w:rsidRPr="00A41B49">
        <w:rPr>
          <w:rFonts w:ascii="Times New Roman" w:hAnsi="Times New Roman" w:cs="Times New Roman"/>
          <w:sz w:val="28"/>
          <w:szCs w:val="28"/>
          <w:lang w:val="uk-UA"/>
        </w:rPr>
        <w:t xml:space="preserve">Порівняльний аналіз позицій м. Кривий Ріг у рейтингу </w:t>
      </w:r>
      <w:r w:rsidR="008B308A" w:rsidRPr="00A41B49">
        <w:rPr>
          <w:rFonts w:ascii="Times New Roman" w:hAnsi="Times New Roman" w:cs="Times New Roman"/>
          <w:sz w:val="28"/>
          <w:szCs w:val="28"/>
          <w:lang w:val="uk-UA"/>
        </w:rPr>
        <w:t xml:space="preserve">прозорості та підзвітності міста Кривий Ріг Transparency International </w:t>
      </w:r>
      <w:r w:rsidR="00F02649" w:rsidRPr="00A41B49">
        <w:rPr>
          <w:rFonts w:ascii="Times New Roman" w:hAnsi="Times New Roman" w:cs="Times New Roman"/>
          <w:sz w:val="28"/>
          <w:szCs w:val="28"/>
          <w:lang w:val="uk-UA"/>
        </w:rPr>
        <w:t xml:space="preserve">2021 р. </w:t>
      </w:r>
      <w:r w:rsidR="008B308A" w:rsidRPr="00A41B49">
        <w:rPr>
          <w:rFonts w:ascii="Times New Roman" w:hAnsi="Times New Roman" w:cs="Times New Roman"/>
          <w:sz w:val="28"/>
          <w:szCs w:val="28"/>
          <w:lang w:val="uk-UA"/>
        </w:rPr>
        <w:t>у</w:t>
      </w:r>
      <w:r w:rsidR="00F02649" w:rsidRPr="00A41B49">
        <w:rPr>
          <w:rFonts w:ascii="Times New Roman" w:hAnsi="Times New Roman" w:cs="Times New Roman"/>
          <w:sz w:val="28"/>
          <w:szCs w:val="28"/>
          <w:lang w:val="uk-UA"/>
        </w:rPr>
        <w:t xml:space="preserve"> </w:t>
      </w:r>
      <w:r w:rsidR="008B308A" w:rsidRPr="00A41B49">
        <w:rPr>
          <w:rFonts w:ascii="Times New Roman" w:hAnsi="Times New Roman" w:cs="Times New Roman"/>
          <w:sz w:val="28"/>
          <w:szCs w:val="28"/>
          <w:lang w:val="uk-UA"/>
        </w:rPr>
        <w:t>порівнянні із іншими містами України</w:t>
      </w:r>
    </w:p>
    <w:tbl>
      <w:tblPr>
        <w:tblStyle w:val="a3"/>
        <w:tblW w:w="5000" w:type="pct"/>
        <w:tblLook w:val="04A0" w:firstRow="1" w:lastRow="0" w:firstColumn="1" w:lastColumn="0" w:noHBand="0" w:noVBand="1"/>
      </w:tblPr>
      <w:tblGrid>
        <w:gridCol w:w="1809"/>
        <w:gridCol w:w="2835"/>
        <w:gridCol w:w="4927"/>
      </w:tblGrid>
      <w:tr w:rsidR="00A41B49" w:rsidRPr="00A41B49" w14:paraId="7B7C00A1" w14:textId="77777777" w:rsidTr="00F02649">
        <w:tc>
          <w:tcPr>
            <w:tcW w:w="945" w:type="pct"/>
          </w:tcPr>
          <w:p w14:paraId="3767E26D" w14:textId="77777777" w:rsidR="00F02649" w:rsidRPr="00A41B49" w:rsidRDefault="00F02649" w:rsidP="00DA3487">
            <w:pPr>
              <w:rPr>
                <w:rFonts w:ascii="Times New Roman" w:hAnsi="Times New Roman" w:cs="Times New Roman"/>
                <w:sz w:val="24"/>
                <w:szCs w:val="24"/>
                <w:lang w:val="uk-UA"/>
              </w:rPr>
            </w:pPr>
            <w:r w:rsidRPr="00A41B49">
              <w:rPr>
                <w:rFonts w:ascii="Times New Roman" w:hAnsi="Times New Roman" w:cs="Times New Roman"/>
                <w:sz w:val="24"/>
                <w:szCs w:val="24"/>
                <w:lang w:val="uk-UA"/>
              </w:rPr>
              <w:t>Показники</w:t>
            </w:r>
          </w:p>
        </w:tc>
        <w:tc>
          <w:tcPr>
            <w:tcW w:w="1481" w:type="pct"/>
            <w:vAlign w:val="center"/>
          </w:tcPr>
          <w:p w14:paraId="2766386E" w14:textId="77777777" w:rsidR="00F02649" w:rsidRPr="00A41B49" w:rsidRDefault="00F02649"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Якісна характеристика міста</w:t>
            </w:r>
          </w:p>
        </w:tc>
        <w:tc>
          <w:tcPr>
            <w:tcW w:w="2574" w:type="pct"/>
            <w:vAlign w:val="center"/>
          </w:tcPr>
          <w:p w14:paraId="178F9CB8" w14:textId="77777777" w:rsidR="00F02649" w:rsidRPr="00A41B49" w:rsidRDefault="00F02649"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Міста</w:t>
            </w:r>
          </w:p>
        </w:tc>
      </w:tr>
      <w:tr w:rsidR="00A41B49" w:rsidRPr="00A41B49" w14:paraId="528B3B03" w14:textId="77777777" w:rsidTr="00F02649">
        <w:tc>
          <w:tcPr>
            <w:tcW w:w="945" w:type="pct"/>
            <w:vMerge w:val="restart"/>
            <w:textDirection w:val="btLr"/>
            <w:vAlign w:val="center"/>
          </w:tcPr>
          <w:p w14:paraId="5F310CC2" w14:textId="77777777" w:rsidR="00F02649" w:rsidRPr="00A41B49" w:rsidRDefault="00F02649" w:rsidP="00F02649">
            <w:pPr>
              <w:ind w:left="113" w:right="113"/>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Прозорість</w:t>
            </w:r>
          </w:p>
        </w:tc>
        <w:tc>
          <w:tcPr>
            <w:tcW w:w="1481" w:type="pct"/>
            <w:vAlign w:val="center"/>
          </w:tcPr>
          <w:p w14:paraId="77C35A72" w14:textId="77777777" w:rsidR="00F02649" w:rsidRPr="00A41B49" w:rsidRDefault="00F02649"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 xml:space="preserve">Лідери </w:t>
            </w:r>
          </w:p>
        </w:tc>
        <w:tc>
          <w:tcPr>
            <w:tcW w:w="2574" w:type="pct"/>
            <w:vAlign w:val="center"/>
          </w:tcPr>
          <w:p w14:paraId="1C71BDCE" w14:textId="77777777" w:rsidR="00F02649" w:rsidRPr="00A41B49" w:rsidRDefault="00F02649" w:rsidP="00DF7D68">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Маріуполь</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Львів</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Дніпро</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Дрогобич</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Мукачево</w:t>
            </w:r>
          </w:p>
        </w:tc>
      </w:tr>
      <w:tr w:rsidR="00A41B49" w:rsidRPr="00A41B49" w14:paraId="00598D8A" w14:textId="77777777" w:rsidTr="00F02649">
        <w:tc>
          <w:tcPr>
            <w:tcW w:w="945" w:type="pct"/>
            <w:vMerge/>
            <w:textDirection w:val="btLr"/>
            <w:vAlign w:val="center"/>
          </w:tcPr>
          <w:p w14:paraId="4263BE40" w14:textId="77777777" w:rsidR="00F02649" w:rsidRPr="00A41B49" w:rsidRDefault="00F02649" w:rsidP="00F02649">
            <w:pPr>
              <w:ind w:left="113" w:right="113"/>
              <w:jc w:val="center"/>
              <w:rPr>
                <w:rFonts w:ascii="Times New Roman" w:hAnsi="Times New Roman" w:cs="Times New Roman"/>
                <w:sz w:val="24"/>
                <w:szCs w:val="24"/>
                <w:lang w:val="uk-UA"/>
              </w:rPr>
            </w:pPr>
          </w:p>
        </w:tc>
        <w:tc>
          <w:tcPr>
            <w:tcW w:w="1481" w:type="pct"/>
            <w:vAlign w:val="center"/>
          </w:tcPr>
          <w:p w14:paraId="07868721" w14:textId="77777777" w:rsidR="00F02649" w:rsidRPr="00A41B49" w:rsidRDefault="00F02649"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 xml:space="preserve">Аутсайдери </w:t>
            </w:r>
          </w:p>
        </w:tc>
        <w:tc>
          <w:tcPr>
            <w:tcW w:w="2574" w:type="pct"/>
            <w:vAlign w:val="center"/>
          </w:tcPr>
          <w:p w14:paraId="4EFAA35A" w14:textId="77777777" w:rsidR="00F02649" w:rsidRPr="00A41B49" w:rsidRDefault="00F02649" w:rsidP="00DF7D68">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Ізмаїл</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Вишневе</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Шепетівка</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Подільськ</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Самбір</w:t>
            </w:r>
          </w:p>
        </w:tc>
      </w:tr>
      <w:tr w:rsidR="00A41B49" w:rsidRPr="00A41B49" w14:paraId="412A57D9" w14:textId="77777777" w:rsidTr="00F02649">
        <w:tc>
          <w:tcPr>
            <w:tcW w:w="945" w:type="pct"/>
            <w:vMerge/>
            <w:textDirection w:val="btLr"/>
            <w:vAlign w:val="center"/>
          </w:tcPr>
          <w:p w14:paraId="06979272" w14:textId="77777777" w:rsidR="00F02649" w:rsidRPr="00A41B49" w:rsidRDefault="00F02649" w:rsidP="00F02649">
            <w:pPr>
              <w:ind w:left="113" w:right="113"/>
              <w:jc w:val="center"/>
              <w:rPr>
                <w:rFonts w:ascii="Times New Roman" w:hAnsi="Times New Roman" w:cs="Times New Roman"/>
                <w:sz w:val="24"/>
                <w:szCs w:val="24"/>
                <w:lang w:val="uk-UA"/>
              </w:rPr>
            </w:pPr>
          </w:p>
        </w:tc>
        <w:tc>
          <w:tcPr>
            <w:tcW w:w="1481" w:type="pct"/>
            <w:vAlign w:val="center"/>
          </w:tcPr>
          <w:p w14:paraId="7FD9D270" w14:textId="77777777" w:rsidR="00F02649" w:rsidRPr="00A41B49" w:rsidRDefault="00F02649"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Міста, що є більш прозорими, ніж Кривий Ріг</w:t>
            </w:r>
          </w:p>
        </w:tc>
        <w:tc>
          <w:tcPr>
            <w:tcW w:w="2574" w:type="pct"/>
            <w:vAlign w:val="center"/>
          </w:tcPr>
          <w:p w14:paraId="626B15A5" w14:textId="77777777" w:rsidR="00F02649" w:rsidRPr="00A41B49" w:rsidRDefault="00F02649" w:rsidP="00DF7D68">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Одеса</w:t>
            </w:r>
            <w:r w:rsidR="00DF7D68" w:rsidRPr="00A41B49">
              <w:rPr>
                <w:rFonts w:ascii="Times New Roman" w:hAnsi="Times New Roman" w:cs="Times New Roman"/>
                <w:sz w:val="24"/>
                <w:szCs w:val="24"/>
                <w:lang w:val="uk-UA"/>
              </w:rPr>
              <w:t xml:space="preserve">, </w:t>
            </w:r>
            <w:r w:rsidR="00F551AD" w:rsidRPr="00A41B49">
              <w:rPr>
                <w:rFonts w:ascii="Times New Roman" w:hAnsi="Times New Roman" w:cs="Times New Roman"/>
                <w:sz w:val="24"/>
                <w:szCs w:val="24"/>
                <w:lang w:val="uk-UA"/>
              </w:rPr>
              <w:t>Киї</w:t>
            </w:r>
            <w:r w:rsidRPr="00A41B49">
              <w:rPr>
                <w:rFonts w:ascii="Times New Roman" w:hAnsi="Times New Roman" w:cs="Times New Roman"/>
                <w:sz w:val="24"/>
                <w:szCs w:val="24"/>
                <w:lang w:val="uk-UA"/>
              </w:rPr>
              <w:t>в</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Нікополь</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Суми</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Луцьк</w:t>
            </w:r>
          </w:p>
        </w:tc>
      </w:tr>
      <w:tr w:rsidR="00A41B49" w:rsidRPr="00A41B49" w14:paraId="2A0F96AC" w14:textId="77777777" w:rsidTr="00F02649">
        <w:tc>
          <w:tcPr>
            <w:tcW w:w="945" w:type="pct"/>
            <w:vMerge/>
            <w:textDirection w:val="btLr"/>
            <w:vAlign w:val="center"/>
          </w:tcPr>
          <w:p w14:paraId="1078F1CF" w14:textId="77777777" w:rsidR="00F02649" w:rsidRPr="00A41B49" w:rsidRDefault="00F02649" w:rsidP="00F02649">
            <w:pPr>
              <w:ind w:left="113" w:right="113"/>
              <w:jc w:val="center"/>
              <w:rPr>
                <w:rFonts w:ascii="Times New Roman" w:hAnsi="Times New Roman" w:cs="Times New Roman"/>
                <w:sz w:val="24"/>
                <w:szCs w:val="24"/>
                <w:lang w:val="uk-UA"/>
              </w:rPr>
            </w:pPr>
          </w:p>
        </w:tc>
        <w:tc>
          <w:tcPr>
            <w:tcW w:w="1481" w:type="pct"/>
            <w:vAlign w:val="center"/>
          </w:tcPr>
          <w:p w14:paraId="0AE13ABD" w14:textId="77777777" w:rsidR="00F02649" w:rsidRPr="00A41B49" w:rsidRDefault="00F02649"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Міста, що є менш прозорими, ніж Кривий Ріг</w:t>
            </w:r>
          </w:p>
        </w:tc>
        <w:tc>
          <w:tcPr>
            <w:tcW w:w="2574" w:type="pct"/>
            <w:vAlign w:val="center"/>
          </w:tcPr>
          <w:p w14:paraId="7D972266" w14:textId="77777777" w:rsidR="00F02649" w:rsidRPr="00A41B49" w:rsidRDefault="00F02649" w:rsidP="00DF7D68">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Чернівці</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Мелітополь</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Фастів</w:t>
            </w:r>
            <w:r w:rsidR="00DF7D68" w:rsidRPr="00A41B49">
              <w:rPr>
                <w:rFonts w:ascii="Times New Roman" w:hAnsi="Times New Roman" w:cs="Times New Roman"/>
                <w:sz w:val="24"/>
                <w:szCs w:val="24"/>
                <w:lang w:val="uk-UA"/>
              </w:rPr>
              <w:t xml:space="preserve">, </w:t>
            </w:r>
            <w:r w:rsidR="00F551AD" w:rsidRPr="00A41B49">
              <w:rPr>
                <w:rFonts w:ascii="Times New Roman" w:hAnsi="Times New Roman" w:cs="Times New Roman"/>
                <w:sz w:val="24"/>
                <w:szCs w:val="24"/>
                <w:lang w:val="uk-UA"/>
              </w:rPr>
              <w:t>Дунаївці</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Охтирка</w:t>
            </w:r>
          </w:p>
        </w:tc>
      </w:tr>
      <w:tr w:rsidR="00A41B49" w:rsidRPr="00A41B49" w14:paraId="24C71FCB" w14:textId="77777777" w:rsidTr="00F02649">
        <w:tc>
          <w:tcPr>
            <w:tcW w:w="945" w:type="pct"/>
            <w:vMerge w:val="restart"/>
            <w:textDirection w:val="btLr"/>
            <w:vAlign w:val="center"/>
          </w:tcPr>
          <w:p w14:paraId="33140274" w14:textId="77777777" w:rsidR="00F02649" w:rsidRPr="00A41B49" w:rsidRDefault="00F02649" w:rsidP="00F02649">
            <w:pPr>
              <w:ind w:left="113" w:right="113"/>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Підзвітність</w:t>
            </w:r>
          </w:p>
        </w:tc>
        <w:tc>
          <w:tcPr>
            <w:tcW w:w="1481" w:type="pct"/>
            <w:vAlign w:val="center"/>
          </w:tcPr>
          <w:p w14:paraId="21AED7F0" w14:textId="77777777" w:rsidR="00F02649" w:rsidRPr="00A41B49" w:rsidRDefault="00F02649"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 xml:space="preserve">Лідери </w:t>
            </w:r>
          </w:p>
        </w:tc>
        <w:tc>
          <w:tcPr>
            <w:tcW w:w="2574" w:type="pct"/>
            <w:vAlign w:val="center"/>
          </w:tcPr>
          <w:p w14:paraId="4B9EC3B7" w14:textId="77777777" w:rsidR="00F02649" w:rsidRPr="00A41B49" w:rsidRDefault="00F02649" w:rsidP="00DF7D68">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Маріуполь</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Тернопіль</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Дніпро</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Львів</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Бахмут</w:t>
            </w:r>
          </w:p>
        </w:tc>
      </w:tr>
      <w:tr w:rsidR="00A41B49" w:rsidRPr="00A41B49" w14:paraId="21AAFFD2" w14:textId="77777777" w:rsidTr="00F02649">
        <w:tc>
          <w:tcPr>
            <w:tcW w:w="945" w:type="pct"/>
            <w:vMerge/>
          </w:tcPr>
          <w:p w14:paraId="061B8032" w14:textId="77777777" w:rsidR="00F02649" w:rsidRPr="00A41B49" w:rsidRDefault="00F02649" w:rsidP="00DA3487">
            <w:pPr>
              <w:rPr>
                <w:rFonts w:ascii="Times New Roman" w:hAnsi="Times New Roman" w:cs="Times New Roman"/>
                <w:sz w:val="24"/>
                <w:szCs w:val="24"/>
                <w:lang w:val="uk-UA"/>
              </w:rPr>
            </w:pPr>
          </w:p>
        </w:tc>
        <w:tc>
          <w:tcPr>
            <w:tcW w:w="1481" w:type="pct"/>
            <w:vAlign w:val="center"/>
          </w:tcPr>
          <w:p w14:paraId="6811C2A5" w14:textId="77777777" w:rsidR="00F02649" w:rsidRPr="00A41B49" w:rsidRDefault="00F02649"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 xml:space="preserve">Аутсайдери </w:t>
            </w:r>
          </w:p>
        </w:tc>
        <w:tc>
          <w:tcPr>
            <w:tcW w:w="2574" w:type="pct"/>
            <w:vAlign w:val="center"/>
          </w:tcPr>
          <w:p w14:paraId="0C6534E5" w14:textId="77777777" w:rsidR="00F02649" w:rsidRPr="00A41B49" w:rsidRDefault="00F02649" w:rsidP="00DF7D68">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Ізмаїл</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Черкаси</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Кременчук</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Полтава</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Костянтинівка</w:t>
            </w:r>
          </w:p>
        </w:tc>
      </w:tr>
      <w:tr w:rsidR="00A41B49" w:rsidRPr="00A41B49" w14:paraId="537D0466" w14:textId="77777777" w:rsidTr="00F02649">
        <w:tc>
          <w:tcPr>
            <w:tcW w:w="945" w:type="pct"/>
            <w:vMerge/>
          </w:tcPr>
          <w:p w14:paraId="3824F1D5" w14:textId="77777777" w:rsidR="00F02649" w:rsidRPr="00A41B49" w:rsidRDefault="00F02649" w:rsidP="00DA3487">
            <w:pPr>
              <w:rPr>
                <w:rFonts w:ascii="Times New Roman" w:hAnsi="Times New Roman" w:cs="Times New Roman"/>
                <w:sz w:val="24"/>
                <w:szCs w:val="24"/>
                <w:lang w:val="uk-UA"/>
              </w:rPr>
            </w:pPr>
          </w:p>
        </w:tc>
        <w:tc>
          <w:tcPr>
            <w:tcW w:w="1481" w:type="pct"/>
            <w:vAlign w:val="center"/>
          </w:tcPr>
          <w:p w14:paraId="7C5E4A59" w14:textId="77777777" w:rsidR="00F02649" w:rsidRPr="00A41B49" w:rsidRDefault="00F02649"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Міста, що є більш прозорими, ніж Кривий Ріг</w:t>
            </w:r>
          </w:p>
        </w:tc>
        <w:tc>
          <w:tcPr>
            <w:tcW w:w="2574" w:type="pct"/>
            <w:vAlign w:val="center"/>
          </w:tcPr>
          <w:p w14:paraId="48572D98" w14:textId="77777777" w:rsidR="00F02649" w:rsidRPr="00A41B49" w:rsidRDefault="00F02649" w:rsidP="00DF7D68">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Бердичів</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Херсон</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Краматорськ</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Вінниця</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Луцьк</w:t>
            </w:r>
          </w:p>
        </w:tc>
      </w:tr>
      <w:tr w:rsidR="00A41B49" w:rsidRPr="00A41B49" w14:paraId="560F76CF" w14:textId="77777777" w:rsidTr="00F02649">
        <w:tc>
          <w:tcPr>
            <w:tcW w:w="945" w:type="pct"/>
            <w:vMerge/>
          </w:tcPr>
          <w:p w14:paraId="7E1E9145" w14:textId="77777777" w:rsidR="00F02649" w:rsidRPr="00A41B49" w:rsidRDefault="00F02649" w:rsidP="00DA3487">
            <w:pPr>
              <w:rPr>
                <w:rFonts w:ascii="Times New Roman" w:hAnsi="Times New Roman" w:cs="Times New Roman"/>
                <w:sz w:val="24"/>
                <w:szCs w:val="24"/>
                <w:lang w:val="uk-UA"/>
              </w:rPr>
            </w:pPr>
          </w:p>
        </w:tc>
        <w:tc>
          <w:tcPr>
            <w:tcW w:w="1481" w:type="pct"/>
            <w:vAlign w:val="center"/>
          </w:tcPr>
          <w:p w14:paraId="75B80A8F" w14:textId="77777777" w:rsidR="00F02649" w:rsidRPr="00A41B49" w:rsidRDefault="00F02649"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Міста, що є менш прозорими, ніж Кривий Ріг</w:t>
            </w:r>
          </w:p>
        </w:tc>
        <w:tc>
          <w:tcPr>
            <w:tcW w:w="2574" w:type="pct"/>
            <w:vAlign w:val="center"/>
          </w:tcPr>
          <w:p w14:paraId="307A11F3" w14:textId="77777777" w:rsidR="00F02649" w:rsidRPr="00A41B49" w:rsidRDefault="00F02649" w:rsidP="00DF7D68">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Кропивницький</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Павлоград</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Чернігів</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Олександрія</w:t>
            </w:r>
            <w:r w:rsidR="00DF7D68" w:rsidRPr="00A41B49">
              <w:rPr>
                <w:rFonts w:ascii="Times New Roman" w:hAnsi="Times New Roman" w:cs="Times New Roman"/>
                <w:sz w:val="24"/>
                <w:szCs w:val="24"/>
                <w:lang w:val="uk-UA"/>
              </w:rPr>
              <w:t xml:space="preserve">, </w:t>
            </w:r>
            <w:r w:rsidRPr="00A41B49">
              <w:rPr>
                <w:rFonts w:ascii="Times New Roman" w:hAnsi="Times New Roman" w:cs="Times New Roman"/>
                <w:sz w:val="24"/>
                <w:szCs w:val="24"/>
                <w:lang w:val="uk-UA"/>
              </w:rPr>
              <w:t>Бровари</w:t>
            </w:r>
          </w:p>
        </w:tc>
      </w:tr>
    </w:tbl>
    <w:p w14:paraId="2A4DD3BE" w14:textId="77777777" w:rsidR="008B308A" w:rsidRPr="00A41B49" w:rsidRDefault="008B308A" w:rsidP="008B308A">
      <w:pPr>
        <w:spacing w:after="0" w:line="240" w:lineRule="auto"/>
        <w:rPr>
          <w:rFonts w:ascii="Times New Roman" w:hAnsi="Times New Roman" w:cs="Times New Roman"/>
          <w:i/>
          <w:sz w:val="24"/>
          <w:szCs w:val="24"/>
          <w:lang w:val="uk-UA"/>
        </w:rPr>
      </w:pPr>
      <w:r w:rsidRPr="00A41B49">
        <w:rPr>
          <w:rFonts w:ascii="Times New Roman" w:hAnsi="Times New Roman" w:cs="Times New Roman"/>
          <w:i/>
          <w:sz w:val="24"/>
          <w:szCs w:val="24"/>
          <w:lang w:val="uk-UA"/>
        </w:rPr>
        <w:t>Джерело: складено автором на основі даних джерела [2]</w:t>
      </w:r>
    </w:p>
    <w:p w14:paraId="06C0F31F" w14:textId="77777777" w:rsidR="008B308A" w:rsidRPr="00A41B49" w:rsidRDefault="008B308A" w:rsidP="008B308A">
      <w:pPr>
        <w:spacing w:after="0" w:line="240" w:lineRule="auto"/>
        <w:rPr>
          <w:rFonts w:ascii="Times New Roman" w:hAnsi="Times New Roman" w:cs="Times New Roman"/>
          <w:sz w:val="28"/>
          <w:szCs w:val="28"/>
          <w:lang w:val="uk-UA"/>
        </w:rPr>
      </w:pPr>
    </w:p>
    <w:p w14:paraId="333BB099" w14:textId="77777777" w:rsidR="00B338D4" w:rsidRPr="00A41B49" w:rsidRDefault="00947BFF" w:rsidP="006047E1">
      <w:pPr>
        <w:pBdr>
          <w:top w:val="nil"/>
          <w:left w:val="nil"/>
          <w:bottom w:val="nil"/>
          <w:right w:val="nil"/>
          <w:between w:val="nil"/>
        </w:pBdr>
        <w:spacing w:after="0" w:line="240" w:lineRule="auto"/>
        <w:ind w:firstLineChars="251" w:firstLine="703"/>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Незважаючи на суттєві здобутки м. Кривий Ріг у 2017-2021 рр. у напрямку розбудови інвестиційної привабливості міста, у 2022 році війна внесла </w:t>
      </w:r>
      <w:r w:rsidR="000D29D6" w:rsidRPr="00A41B49">
        <w:rPr>
          <w:rFonts w:ascii="Times New Roman" w:hAnsi="Times New Roman" w:cs="Times New Roman"/>
          <w:sz w:val="28"/>
          <w:szCs w:val="28"/>
          <w:lang w:val="uk-UA"/>
        </w:rPr>
        <w:t xml:space="preserve">суттєві негативні </w:t>
      </w:r>
      <w:r w:rsidRPr="00A41B49">
        <w:rPr>
          <w:rFonts w:ascii="Times New Roman" w:hAnsi="Times New Roman" w:cs="Times New Roman"/>
          <w:sz w:val="28"/>
          <w:szCs w:val="28"/>
          <w:lang w:val="uk-UA"/>
        </w:rPr>
        <w:t xml:space="preserve">корективи у </w:t>
      </w:r>
      <w:r w:rsidR="000D29D6" w:rsidRPr="00A41B49">
        <w:rPr>
          <w:rFonts w:ascii="Times New Roman" w:hAnsi="Times New Roman" w:cs="Times New Roman"/>
          <w:sz w:val="28"/>
          <w:szCs w:val="28"/>
          <w:lang w:val="uk-UA"/>
        </w:rPr>
        <w:t xml:space="preserve">інвестиційну діяльність міста та рівень його інвестиційної привабливості. </w:t>
      </w:r>
      <w:r w:rsidR="00F73964" w:rsidRPr="00A41B49">
        <w:rPr>
          <w:rFonts w:ascii="Times New Roman" w:hAnsi="Times New Roman" w:cs="Times New Roman"/>
          <w:sz w:val="28"/>
          <w:szCs w:val="28"/>
          <w:lang w:val="uk-UA"/>
        </w:rPr>
        <w:t xml:space="preserve">Так, </w:t>
      </w:r>
      <w:r w:rsidR="006047E1" w:rsidRPr="00A41B49">
        <w:rPr>
          <w:rFonts w:ascii="Times New Roman" w:hAnsi="Times New Roman" w:cs="Times New Roman"/>
          <w:sz w:val="28"/>
          <w:szCs w:val="28"/>
          <w:lang w:val="uk-UA"/>
        </w:rPr>
        <w:t>починаючи із</w:t>
      </w:r>
      <w:r w:rsidR="00F73964" w:rsidRPr="00A41B49">
        <w:rPr>
          <w:rFonts w:ascii="Times New Roman" w:hAnsi="Times New Roman" w:cs="Times New Roman"/>
          <w:sz w:val="28"/>
          <w:szCs w:val="28"/>
          <w:lang w:val="uk-UA"/>
        </w:rPr>
        <w:t xml:space="preserve"> 2022 році міжнародне рейтингове агентства Fitch суттєво знизил</w:t>
      </w:r>
      <w:r w:rsidR="006047E1" w:rsidRPr="00A41B49">
        <w:rPr>
          <w:rFonts w:ascii="Times New Roman" w:hAnsi="Times New Roman" w:cs="Times New Roman"/>
          <w:sz w:val="28"/>
          <w:szCs w:val="28"/>
          <w:lang w:val="uk-UA"/>
        </w:rPr>
        <w:t>о оцінку кредитоспроможності м. </w:t>
      </w:r>
      <w:r w:rsidR="00F73964" w:rsidRPr="00A41B49">
        <w:rPr>
          <w:rFonts w:ascii="Times New Roman" w:hAnsi="Times New Roman" w:cs="Times New Roman"/>
          <w:sz w:val="28"/>
          <w:szCs w:val="28"/>
          <w:lang w:val="uk-UA"/>
        </w:rPr>
        <w:t>Кривий Ріг до рівня «СС» (довгостроковий рейтинг дефолту емітенту</w:t>
      </w:r>
      <w:r w:rsidR="000E5E84" w:rsidRPr="00A41B49">
        <w:rPr>
          <w:rFonts w:ascii="Times New Roman" w:hAnsi="Times New Roman" w:cs="Times New Roman"/>
          <w:sz w:val="28"/>
          <w:szCs w:val="28"/>
          <w:lang w:val="uk-UA"/>
        </w:rPr>
        <w:t xml:space="preserve"> в іноземній валюті</w:t>
      </w:r>
      <w:r w:rsidR="00F73964" w:rsidRPr="00A41B49">
        <w:rPr>
          <w:rFonts w:ascii="Times New Roman" w:hAnsi="Times New Roman" w:cs="Times New Roman"/>
          <w:sz w:val="28"/>
          <w:szCs w:val="28"/>
          <w:lang w:val="uk-UA"/>
        </w:rPr>
        <w:t xml:space="preserve">), </w:t>
      </w:r>
      <w:r w:rsidR="000E5E84" w:rsidRPr="00A41B49">
        <w:rPr>
          <w:rFonts w:ascii="Times New Roman" w:hAnsi="Times New Roman" w:cs="Times New Roman"/>
          <w:sz w:val="28"/>
          <w:szCs w:val="28"/>
          <w:lang w:val="uk-UA"/>
        </w:rPr>
        <w:t xml:space="preserve">до рівня «ССС-» (довгостроковий рейтинг дефолта емітента в національній валюті), до рівня «С» (короткостроковий </w:t>
      </w:r>
      <w:r w:rsidR="00161629" w:rsidRPr="00A41B49">
        <w:rPr>
          <w:rFonts w:ascii="Times New Roman" w:hAnsi="Times New Roman" w:cs="Times New Roman"/>
          <w:sz w:val="28"/>
          <w:szCs w:val="28"/>
          <w:lang w:val="uk-UA"/>
        </w:rPr>
        <w:t>рейтинг</w:t>
      </w:r>
      <w:r w:rsidR="000E5E84" w:rsidRPr="00A41B49">
        <w:rPr>
          <w:rFonts w:ascii="Times New Roman" w:hAnsi="Times New Roman" w:cs="Times New Roman"/>
          <w:sz w:val="28"/>
          <w:szCs w:val="28"/>
          <w:lang w:val="uk-UA"/>
        </w:rPr>
        <w:t xml:space="preserve"> дефолту емітенту) [1]</w:t>
      </w:r>
      <w:r w:rsidR="004852E8" w:rsidRPr="00A41B49">
        <w:rPr>
          <w:rFonts w:ascii="Times New Roman" w:hAnsi="Times New Roman" w:cs="Times New Roman"/>
          <w:sz w:val="28"/>
          <w:szCs w:val="28"/>
          <w:lang w:val="uk-UA"/>
        </w:rPr>
        <w:t>.</w:t>
      </w:r>
      <w:r w:rsidR="006047E1" w:rsidRPr="00A41B49">
        <w:rPr>
          <w:rFonts w:ascii="Times New Roman" w:hAnsi="Times New Roman" w:cs="Times New Roman"/>
          <w:sz w:val="28"/>
          <w:szCs w:val="28"/>
          <w:lang w:val="uk-UA"/>
        </w:rPr>
        <w:t xml:space="preserve"> Станом на 2023 рік оцінка кредитоспроможності м. Кривий Ріг Fitch не змінилася - міжнародне рейтингове агентства Fitch</w:t>
      </w:r>
      <w:r w:rsidR="00286998" w:rsidRPr="00A41B49">
        <w:rPr>
          <w:rFonts w:ascii="Times New Roman" w:hAnsi="Times New Roman" w:cs="Times New Roman"/>
          <w:sz w:val="28"/>
          <w:szCs w:val="28"/>
          <w:lang w:val="uk-UA"/>
        </w:rPr>
        <w:t xml:space="preserve"> оцінює кредитоспроможність м. Кривий Ріг як дуже ни</w:t>
      </w:r>
      <w:r w:rsidR="004852E8" w:rsidRPr="00A41B49">
        <w:rPr>
          <w:rFonts w:ascii="Times New Roman" w:hAnsi="Times New Roman" w:cs="Times New Roman"/>
          <w:sz w:val="28"/>
          <w:szCs w:val="28"/>
          <w:lang w:val="uk-UA"/>
        </w:rPr>
        <w:t xml:space="preserve">зьку, для якої характерний високий ризик дефолту (табл. </w:t>
      </w:r>
      <w:r w:rsidR="0012064A" w:rsidRPr="00A41B49">
        <w:rPr>
          <w:rFonts w:ascii="Times New Roman" w:hAnsi="Times New Roman" w:cs="Times New Roman"/>
          <w:sz w:val="28"/>
          <w:szCs w:val="28"/>
          <w:lang w:val="uk-UA"/>
        </w:rPr>
        <w:t>3.</w:t>
      </w:r>
      <w:r w:rsidR="00AA4952" w:rsidRPr="00A41B49">
        <w:rPr>
          <w:rFonts w:ascii="Times New Roman" w:hAnsi="Times New Roman" w:cs="Times New Roman"/>
          <w:sz w:val="28"/>
          <w:szCs w:val="28"/>
          <w:lang w:val="uk-UA"/>
        </w:rPr>
        <w:t>10</w:t>
      </w:r>
      <w:r w:rsidR="004852E8" w:rsidRPr="00A41B49">
        <w:rPr>
          <w:rFonts w:ascii="Times New Roman" w:hAnsi="Times New Roman" w:cs="Times New Roman"/>
          <w:sz w:val="28"/>
          <w:szCs w:val="28"/>
          <w:lang w:val="uk-UA"/>
        </w:rPr>
        <w:t>).</w:t>
      </w:r>
    </w:p>
    <w:p w14:paraId="13F2AA3D" w14:textId="77777777" w:rsidR="00AB3308" w:rsidRPr="00A41B49" w:rsidRDefault="00AB3308" w:rsidP="00AB3308">
      <w:pPr>
        <w:pBdr>
          <w:top w:val="nil"/>
          <w:left w:val="nil"/>
          <w:bottom w:val="nil"/>
          <w:right w:val="nil"/>
          <w:between w:val="nil"/>
        </w:pBd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Як свідчать дані документу «Звіт про виконання у 2022 році програми економічного та соціального розвитку м. Кривого Рогу на 2017–2023  роки», «в умовах воєнного стану повноцінна інвестиційна діяльність в місті не здійснювалася» [21], «..ключовими місцевими інвесторами, якими виступали промислові підприємства, значно призупинено виробництво у зв’язку з їх нестабільною господарською діяльністю, як результат – капітальні інвестиції в об’єкти виробничого призначення значно зменшені. Підприємствами міста проведено низку стабілізаційних заходів для підтримки власної фінансової спроможності задля збереження робочих місць» [21]. </w:t>
      </w:r>
    </w:p>
    <w:p w14:paraId="5F7992AA" w14:textId="77777777" w:rsidR="00AB3308" w:rsidRPr="00A41B49" w:rsidRDefault="00AB3308" w:rsidP="006047E1">
      <w:pPr>
        <w:pBdr>
          <w:top w:val="nil"/>
          <w:left w:val="nil"/>
          <w:bottom w:val="nil"/>
          <w:right w:val="nil"/>
          <w:between w:val="nil"/>
        </w:pBdr>
        <w:spacing w:after="0" w:line="240" w:lineRule="auto"/>
        <w:ind w:firstLineChars="251" w:firstLine="703"/>
        <w:jc w:val="both"/>
        <w:rPr>
          <w:rFonts w:ascii="Times New Roman" w:hAnsi="Times New Roman" w:cs="Times New Roman"/>
          <w:sz w:val="28"/>
          <w:szCs w:val="28"/>
          <w:lang w:val="uk-UA"/>
        </w:rPr>
      </w:pPr>
    </w:p>
    <w:p w14:paraId="55FC7FEA" w14:textId="77777777" w:rsidR="00B338D4" w:rsidRPr="00A41B49" w:rsidRDefault="00B338D4" w:rsidP="00B338D4">
      <w:pPr>
        <w:spacing w:after="0" w:line="240" w:lineRule="auto"/>
        <w:rPr>
          <w:rFonts w:ascii="Times New Roman" w:hAnsi="Times New Roman" w:cs="Times New Roman"/>
          <w:sz w:val="28"/>
          <w:szCs w:val="28"/>
          <w:lang w:val="uk-UA"/>
        </w:rPr>
      </w:pPr>
      <w:r w:rsidRPr="00A41B49">
        <w:rPr>
          <w:rFonts w:ascii="Times New Roman" w:hAnsi="Times New Roman" w:cs="Times New Roman"/>
          <w:sz w:val="28"/>
          <w:szCs w:val="28"/>
          <w:lang w:val="uk-UA"/>
        </w:rPr>
        <w:lastRenderedPageBreak/>
        <w:t xml:space="preserve">Таблиця  </w:t>
      </w:r>
      <w:r w:rsidR="0012064A" w:rsidRPr="00A41B49">
        <w:rPr>
          <w:rFonts w:ascii="Times New Roman" w:hAnsi="Times New Roman" w:cs="Times New Roman"/>
          <w:sz w:val="28"/>
          <w:szCs w:val="28"/>
          <w:lang w:val="uk-UA"/>
        </w:rPr>
        <w:t>3.</w:t>
      </w:r>
      <w:r w:rsidR="00AA4952" w:rsidRPr="00A41B49">
        <w:rPr>
          <w:rFonts w:ascii="Times New Roman" w:hAnsi="Times New Roman" w:cs="Times New Roman"/>
          <w:sz w:val="28"/>
          <w:szCs w:val="28"/>
          <w:lang w:val="uk-UA"/>
        </w:rPr>
        <w:t>10</w:t>
      </w:r>
      <w:r w:rsidR="00DC55E9" w:rsidRPr="00A41B49">
        <w:rPr>
          <w:rFonts w:ascii="Times New Roman" w:hAnsi="Times New Roman" w:cs="Times New Roman"/>
          <w:sz w:val="28"/>
          <w:szCs w:val="28"/>
          <w:lang w:val="uk-UA"/>
        </w:rPr>
        <w:t xml:space="preserve"> </w:t>
      </w:r>
      <w:r w:rsidRPr="00A41B49">
        <w:rPr>
          <w:rFonts w:ascii="Times New Roman" w:hAnsi="Times New Roman" w:cs="Times New Roman"/>
          <w:sz w:val="28"/>
          <w:szCs w:val="28"/>
          <w:lang w:val="uk-UA"/>
        </w:rPr>
        <w:t xml:space="preserve">- Fitch Ratings м. Кривий Ріг (жовтень-грудень 2020-2023 р.) </w:t>
      </w:r>
    </w:p>
    <w:tbl>
      <w:tblPr>
        <w:tblStyle w:val="a3"/>
        <w:tblW w:w="5000" w:type="pct"/>
        <w:tblLook w:val="04A0" w:firstRow="1" w:lastRow="0" w:firstColumn="1" w:lastColumn="0" w:noHBand="0" w:noVBand="1"/>
      </w:tblPr>
      <w:tblGrid>
        <w:gridCol w:w="1624"/>
        <w:gridCol w:w="2624"/>
        <w:gridCol w:w="1300"/>
        <w:gridCol w:w="1336"/>
        <w:gridCol w:w="1336"/>
        <w:gridCol w:w="1351"/>
      </w:tblGrid>
      <w:tr w:rsidR="00A41B49" w:rsidRPr="00A41B49" w14:paraId="5D2142ED" w14:textId="77777777" w:rsidTr="00DA3487">
        <w:tc>
          <w:tcPr>
            <w:tcW w:w="2219" w:type="pct"/>
            <w:gridSpan w:val="2"/>
          </w:tcPr>
          <w:p w14:paraId="52C40D06" w14:textId="77777777" w:rsidR="00B338D4" w:rsidRPr="00A41B49" w:rsidRDefault="00161629"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Рейтинг</w:t>
            </w:r>
          </w:p>
        </w:tc>
        <w:tc>
          <w:tcPr>
            <w:tcW w:w="679" w:type="pct"/>
          </w:tcPr>
          <w:p w14:paraId="463470ED"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2020 р.</w:t>
            </w:r>
          </w:p>
        </w:tc>
        <w:tc>
          <w:tcPr>
            <w:tcW w:w="698" w:type="pct"/>
          </w:tcPr>
          <w:p w14:paraId="64DD1474"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2021 р.</w:t>
            </w:r>
          </w:p>
        </w:tc>
        <w:tc>
          <w:tcPr>
            <w:tcW w:w="698" w:type="pct"/>
          </w:tcPr>
          <w:p w14:paraId="1066969C"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2022 р.</w:t>
            </w:r>
          </w:p>
        </w:tc>
        <w:tc>
          <w:tcPr>
            <w:tcW w:w="707" w:type="pct"/>
          </w:tcPr>
          <w:p w14:paraId="4AACAACC"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2023 р.</w:t>
            </w:r>
          </w:p>
        </w:tc>
      </w:tr>
      <w:tr w:rsidR="00A41B49" w:rsidRPr="00A41B49" w14:paraId="26C27BB3" w14:textId="77777777" w:rsidTr="00DA3487">
        <w:tc>
          <w:tcPr>
            <w:tcW w:w="848" w:type="pct"/>
          </w:tcPr>
          <w:p w14:paraId="601170BC" w14:textId="77777777" w:rsidR="00B338D4" w:rsidRPr="00A41B49" w:rsidRDefault="00B338D4" w:rsidP="00DA3487">
            <w:pPr>
              <w:rPr>
                <w:rFonts w:ascii="Times New Roman" w:hAnsi="Times New Roman" w:cs="Times New Roman"/>
                <w:sz w:val="24"/>
                <w:szCs w:val="24"/>
                <w:lang w:val="uk-UA"/>
              </w:rPr>
            </w:pPr>
            <w:r w:rsidRPr="00A41B49">
              <w:rPr>
                <w:rFonts w:ascii="Times New Roman" w:hAnsi="Times New Roman" w:cs="Times New Roman"/>
                <w:sz w:val="24"/>
                <w:szCs w:val="24"/>
                <w:lang w:val="uk-UA"/>
              </w:rPr>
              <w:t>Long Term Issuer Default Rating</w:t>
            </w:r>
          </w:p>
        </w:tc>
        <w:tc>
          <w:tcPr>
            <w:tcW w:w="1370" w:type="pct"/>
          </w:tcPr>
          <w:p w14:paraId="181ED90E"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Довгостроковий рейтинг дефолту емітента</w:t>
            </w:r>
            <w:r w:rsidR="000E5E84" w:rsidRPr="00A41B49">
              <w:rPr>
                <w:rFonts w:ascii="Times New Roman" w:hAnsi="Times New Roman" w:cs="Times New Roman"/>
                <w:sz w:val="24"/>
                <w:szCs w:val="24"/>
                <w:lang w:val="uk-UA"/>
              </w:rPr>
              <w:t xml:space="preserve"> в іноземній валюті</w:t>
            </w:r>
          </w:p>
        </w:tc>
        <w:tc>
          <w:tcPr>
            <w:tcW w:w="679" w:type="pct"/>
            <w:vAlign w:val="center"/>
          </w:tcPr>
          <w:p w14:paraId="7279B21E"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B</w:t>
            </w:r>
          </w:p>
        </w:tc>
        <w:tc>
          <w:tcPr>
            <w:tcW w:w="698" w:type="pct"/>
            <w:vAlign w:val="center"/>
          </w:tcPr>
          <w:p w14:paraId="41B32667"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B</w:t>
            </w:r>
          </w:p>
        </w:tc>
        <w:tc>
          <w:tcPr>
            <w:tcW w:w="698" w:type="pct"/>
            <w:vAlign w:val="center"/>
          </w:tcPr>
          <w:p w14:paraId="10D520DA"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CC</w:t>
            </w:r>
          </w:p>
        </w:tc>
        <w:tc>
          <w:tcPr>
            <w:tcW w:w="707" w:type="pct"/>
            <w:vAlign w:val="center"/>
          </w:tcPr>
          <w:p w14:paraId="5B5A0018"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CC</w:t>
            </w:r>
          </w:p>
        </w:tc>
      </w:tr>
      <w:tr w:rsidR="00A41B49" w:rsidRPr="00A41B49" w14:paraId="7D361CC0" w14:textId="77777777" w:rsidTr="00DA3487">
        <w:tc>
          <w:tcPr>
            <w:tcW w:w="848" w:type="pct"/>
          </w:tcPr>
          <w:p w14:paraId="0E1059D9" w14:textId="77777777" w:rsidR="00B338D4" w:rsidRPr="00A41B49" w:rsidRDefault="00B338D4" w:rsidP="00DA3487">
            <w:pPr>
              <w:rPr>
                <w:rFonts w:ascii="Times New Roman" w:hAnsi="Times New Roman" w:cs="Times New Roman"/>
                <w:sz w:val="24"/>
                <w:szCs w:val="24"/>
                <w:lang w:val="uk-UA"/>
              </w:rPr>
            </w:pPr>
            <w:r w:rsidRPr="00A41B49">
              <w:rPr>
                <w:rFonts w:ascii="Times New Roman" w:hAnsi="Times New Roman" w:cs="Times New Roman"/>
                <w:sz w:val="24"/>
                <w:szCs w:val="24"/>
                <w:lang w:val="uk-UA"/>
              </w:rPr>
              <w:t>Short Term Issuer Default Rating</w:t>
            </w:r>
          </w:p>
        </w:tc>
        <w:tc>
          <w:tcPr>
            <w:tcW w:w="1370" w:type="pct"/>
          </w:tcPr>
          <w:p w14:paraId="245388D0"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Короткостроковий рейтинг дефолту емітента</w:t>
            </w:r>
          </w:p>
        </w:tc>
        <w:tc>
          <w:tcPr>
            <w:tcW w:w="679" w:type="pct"/>
            <w:vAlign w:val="center"/>
          </w:tcPr>
          <w:p w14:paraId="33B46922"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B</w:t>
            </w:r>
          </w:p>
        </w:tc>
        <w:tc>
          <w:tcPr>
            <w:tcW w:w="698" w:type="pct"/>
            <w:vAlign w:val="center"/>
          </w:tcPr>
          <w:p w14:paraId="2B320177"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B</w:t>
            </w:r>
          </w:p>
        </w:tc>
        <w:tc>
          <w:tcPr>
            <w:tcW w:w="698" w:type="pct"/>
            <w:vAlign w:val="center"/>
          </w:tcPr>
          <w:p w14:paraId="386EE9FA"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C</w:t>
            </w:r>
          </w:p>
        </w:tc>
        <w:tc>
          <w:tcPr>
            <w:tcW w:w="707" w:type="pct"/>
            <w:vAlign w:val="center"/>
          </w:tcPr>
          <w:p w14:paraId="1212FB0F"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C</w:t>
            </w:r>
          </w:p>
        </w:tc>
      </w:tr>
      <w:tr w:rsidR="00A41B49" w:rsidRPr="00A41B49" w14:paraId="4C85C00F" w14:textId="77777777" w:rsidTr="00DA3487">
        <w:tc>
          <w:tcPr>
            <w:tcW w:w="848" w:type="pct"/>
          </w:tcPr>
          <w:p w14:paraId="1FF9FBB2" w14:textId="77777777" w:rsidR="00B338D4" w:rsidRPr="00A41B49" w:rsidRDefault="00B338D4" w:rsidP="00DA3487">
            <w:pPr>
              <w:rPr>
                <w:rFonts w:ascii="Times New Roman" w:hAnsi="Times New Roman" w:cs="Times New Roman"/>
                <w:sz w:val="24"/>
                <w:szCs w:val="24"/>
                <w:lang w:val="uk-UA"/>
              </w:rPr>
            </w:pPr>
            <w:r w:rsidRPr="00A41B49">
              <w:rPr>
                <w:rFonts w:ascii="Times New Roman" w:hAnsi="Times New Roman" w:cs="Times New Roman"/>
                <w:sz w:val="24"/>
                <w:szCs w:val="24"/>
                <w:lang w:val="uk-UA"/>
              </w:rPr>
              <w:t>Local Currency Long Term Issuer Default Rating</w:t>
            </w:r>
          </w:p>
        </w:tc>
        <w:tc>
          <w:tcPr>
            <w:tcW w:w="1370" w:type="pct"/>
          </w:tcPr>
          <w:p w14:paraId="54399E93"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Довгостроковий рейтинг дефолту емітента в національній валюті</w:t>
            </w:r>
          </w:p>
        </w:tc>
        <w:tc>
          <w:tcPr>
            <w:tcW w:w="679" w:type="pct"/>
            <w:vAlign w:val="center"/>
          </w:tcPr>
          <w:p w14:paraId="41854F1C"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B</w:t>
            </w:r>
          </w:p>
        </w:tc>
        <w:tc>
          <w:tcPr>
            <w:tcW w:w="698" w:type="pct"/>
            <w:vAlign w:val="center"/>
          </w:tcPr>
          <w:p w14:paraId="3238B99E"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B</w:t>
            </w:r>
          </w:p>
        </w:tc>
        <w:tc>
          <w:tcPr>
            <w:tcW w:w="698" w:type="pct"/>
            <w:vAlign w:val="center"/>
          </w:tcPr>
          <w:p w14:paraId="4535B113"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CCC-</w:t>
            </w:r>
          </w:p>
        </w:tc>
        <w:tc>
          <w:tcPr>
            <w:tcW w:w="707" w:type="pct"/>
            <w:vAlign w:val="center"/>
          </w:tcPr>
          <w:p w14:paraId="37D6F51A"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CCC-</w:t>
            </w:r>
          </w:p>
        </w:tc>
      </w:tr>
      <w:tr w:rsidR="00A41B49" w:rsidRPr="00A41B49" w14:paraId="5B9073A0" w14:textId="77777777" w:rsidTr="00DA3487">
        <w:tc>
          <w:tcPr>
            <w:tcW w:w="848" w:type="pct"/>
          </w:tcPr>
          <w:p w14:paraId="4225E294" w14:textId="77777777" w:rsidR="00B338D4" w:rsidRPr="00A41B49" w:rsidRDefault="00B338D4" w:rsidP="00DA3487">
            <w:pPr>
              <w:rPr>
                <w:rFonts w:ascii="Times New Roman" w:hAnsi="Times New Roman" w:cs="Times New Roman"/>
                <w:sz w:val="24"/>
                <w:szCs w:val="24"/>
                <w:lang w:val="uk-UA"/>
              </w:rPr>
            </w:pPr>
            <w:r w:rsidRPr="00A41B49">
              <w:rPr>
                <w:rFonts w:ascii="Times New Roman" w:hAnsi="Times New Roman" w:cs="Times New Roman"/>
                <w:sz w:val="24"/>
                <w:szCs w:val="24"/>
                <w:lang w:val="uk-UA"/>
              </w:rPr>
              <w:t>Standalone Credit Profile</w:t>
            </w:r>
          </w:p>
        </w:tc>
        <w:tc>
          <w:tcPr>
            <w:tcW w:w="1370" w:type="pct"/>
          </w:tcPr>
          <w:p w14:paraId="42722D85"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Окремий кредитний профіль</w:t>
            </w:r>
          </w:p>
        </w:tc>
        <w:tc>
          <w:tcPr>
            <w:tcW w:w="679" w:type="pct"/>
            <w:vAlign w:val="center"/>
          </w:tcPr>
          <w:p w14:paraId="3149146B"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b</w:t>
            </w:r>
          </w:p>
        </w:tc>
        <w:tc>
          <w:tcPr>
            <w:tcW w:w="698" w:type="pct"/>
            <w:vAlign w:val="center"/>
          </w:tcPr>
          <w:p w14:paraId="5BA12330"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b</w:t>
            </w:r>
          </w:p>
        </w:tc>
        <w:tc>
          <w:tcPr>
            <w:tcW w:w="698" w:type="pct"/>
            <w:vAlign w:val="center"/>
          </w:tcPr>
          <w:p w14:paraId="4FCFCBDE"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ccc</w:t>
            </w:r>
          </w:p>
        </w:tc>
        <w:tc>
          <w:tcPr>
            <w:tcW w:w="707" w:type="pct"/>
            <w:vAlign w:val="center"/>
          </w:tcPr>
          <w:p w14:paraId="71CCDEE9"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ccc</w:t>
            </w:r>
          </w:p>
        </w:tc>
      </w:tr>
      <w:tr w:rsidR="00A41B49" w:rsidRPr="00A41B49" w14:paraId="4832565A" w14:textId="77777777" w:rsidTr="00DA3487">
        <w:tc>
          <w:tcPr>
            <w:tcW w:w="848" w:type="pct"/>
          </w:tcPr>
          <w:p w14:paraId="4FB09904" w14:textId="77777777" w:rsidR="00B338D4" w:rsidRPr="00A41B49" w:rsidRDefault="00B338D4" w:rsidP="00DA3487">
            <w:pPr>
              <w:rPr>
                <w:rFonts w:ascii="Times New Roman" w:hAnsi="Times New Roman" w:cs="Times New Roman"/>
                <w:sz w:val="24"/>
                <w:szCs w:val="24"/>
                <w:lang w:val="uk-UA"/>
              </w:rPr>
            </w:pPr>
            <w:r w:rsidRPr="00A41B49">
              <w:rPr>
                <w:rFonts w:ascii="Times New Roman" w:hAnsi="Times New Roman" w:cs="Times New Roman"/>
                <w:sz w:val="24"/>
                <w:szCs w:val="24"/>
                <w:lang w:val="uk-UA"/>
              </w:rPr>
              <w:t>National Long Term Rating</w:t>
            </w:r>
          </w:p>
        </w:tc>
        <w:tc>
          <w:tcPr>
            <w:tcW w:w="1370" w:type="pct"/>
          </w:tcPr>
          <w:p w14:paraId="44EB0AC4"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Національний довгостроковий рейтинг</w:t>
            </w:r>
          </w:p>
        </w:tc>
        <w:tc>
          <w:tcPr>
            <w:tcW w:w="679" w:type="pct"/>
            <w:vAlign w:val="center"/>
          </w:tcPr>
          <w:p w14:paraId="0808D2A7"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A+(ukr)</w:t>
            </w:r>
          </w:p>
        </w:tc>
        <w:tc>
          <w:tcPr>
            <w:tcW w:w="698" w:type="pct"/>
            <w:vAlign w:val="center"/>
          </w:tcPr>
          <w:p w14:paraId="55861527"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A+(ukr)</w:t>
            </w:r>
          </w:p>
        </w:tc>
        <w:tc>
          <w:tcPr>
            <w:tcW w:w="698" w:type="pct"/>
            <w:vAlign w:val="center"/>
          </w:tcPr>
          <w:p w14:paraId="13E653C2"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A+(ukr)</w:t>
            </w:r>
          </w:p>
        </w:tc>
        <w:tc>
          <w:tcPr>
            <w:tcW w:w="707" w:type="pct"/>
            <w:vAlign w:val="center"/>
          </w:tcPr>
          <w:p w14:paraId="0628041C" w14:textId="77777777" w:rsidR="00B338D4" w:rsidRPr="00A41B49" w:rsidRDefault="00B338D4" w:rsidP="00DA3487">
            <w:pPr>
              <w:jc w:val="center"/>
              <w:rPr>
                <w:rFonts w:ascii="Times New Roman" w:hAnsi="Times New Roman" w:cs="Times New Roman"/>
                <w:sz w:val="24"/>
                <w:szCs w:val="24"/>
                <w:lang w:val="uk-UA"/>
              </w:rPr>
            </w:pPr>
            <w:r w:rsidRPr="00A41B49">
              <w:rPr>
                <w:rFonts w:ascii="Times New Roman" w:hAnsi="Times New Roman" w:cs="Times New Roman"/>
                <w:sz w:val="24"/>
                <w:szCs w:val="24"/>
                <w:lang w:val="uk-UA"/>
              </w:rPr>
              <w:t>A+(ukr)</w:t>
            </w:r>
          </w:p>
        </w:tc>
      </w:tr>
    </w:tbl>
    <w:p w14:paraId="4E278CAB" w14:textId="77777777" w:rsidR="00B338D4" w:rsidRPr="00A41B49" w:rsidRDefault="00B338D4" w:rsidP="00B338D4">
      <w:pPr>
        <w:spacing w:after="0" w:line="240" w:lineRule="auto"/>
        <w:jc w:val="both"/>
        <w:rPr>
          <w:rFonts w:ascii="Times New Roman" w:hAnsi="Times New Roman" w:cs="Times New Roman"/>
          <w:i/>
          <w:sz w:val="24"/>
          <w:szCs w:val="24"/>
          <w:lang w:val="uk-UA"/>
        </w:rPr>
      </w:pPr>
      <w:r w:rsidRPr="00A41B49">
        <w:rPr>
          <w:rFonts w:ascii="Times New Roman" w:hAnsi="Times New Roman" w:cs="Times New Roman"/>
          <w:i/>
          <w:sz w:val="24"/>
          <w:szCs w:val="24"/>
          <w:lang w:val="uk-UA"/>
        </w:rPr>
        <w:t>Джерело: складено автором на основі даних джерела [1]</w:t>
      </w:r>
    </w:p>
    <w:p w14:paraId="5E4C4B05" w14:textId="77777777" w:rsidR="00B338D4" w:rsidRPr="00A41B49" w:rsidRDefault="00B338D4" w:rsidP="00C87D07">
      <w:pPr>
        <w:spacing w:after="0" w:line="240" w:lineRule="auto"/>
        <w:jc w:val="both"/>
        <w:rPr>
          <w:rFonts w:ascii="Times New Roman" w:eastAsia="Times New Roman" w:hAnsi="Times New Roman" w:cs="Times New Roman"/>
          <w:i/>
          <w:sz w:val="24"/>
          <w:szCs w:val="24"/>
          <w:lang w:val="uk-UA" w:eastAsia="ru-RU"/>
        </w:rPr>
      </w:pPr>
      <w:r w:rsidRPr="00A41B49">
        <w:rPr>
          <w:rFonts w:ascii="Times New Roman" w:hAnsi="Times New Roman" w:cs="Times New Roman"/>
          <w:i/>
          <w:sz w:val="24"/>
          <w:szCs w:val="24"/>
          <w:shd w:val="clear" w:color="auto" w:fill="FFFFFF"/>
          <w:lang w:val="uk-UA"/>
        </w:rPr>
        <w:t xml:space="preserve">Довідково: </w:t>
      </w:r>
      <w:r w:rsidRPr="00A41B49">
        <w:rPr>
          <w:rFonts w:ascii="Times New Roman" w:hAnsi="Times New Roman" w:cs="Times New Roman"/>
          <w:b/>
          <w:i/>
          <w:sz w:val="24"/>
          <w:szCs w:val="24"/>
          <w:shd w:val="clear" w:color="auto" w:fill="FFFFFF"/>
          <w:lang w:val="uk-UA"/>
        </w:rPr>
        <w:t>оцінка А</w:t>
      </w:r>
      <w:r w:rsidRPr="00A41B49">
        <w:rPr>
          <w:rFonts w:ascii="Times New Roman" w:hAnsi="Times New Roman" w:cs="Times New Roman"/>
          <w:i/>
          <w:sz w:val="24"/>
          <w:szCs w:val="24"/>
          <w:shd w:val="clear" w:color="auto" w:fill="FFFFFF"/>
          <w:lang w:val="uk-UA"/>
        </w:rPr>
        <w:t xml:space="preserve"> - висока кредитоспроможність, низькі очікування по кредитних ризиках, висока здатність своєчасно погашати фінансові зобов'язання оцінюється як висока, роте, дана здатність може бути більш схильна до впливу негативних обставин або змін економічної кон'юнктури, ніж у випадку більш високих рівнів рейтингу; </w:t>
      </w:r>
      <w:r w:rsidRPr="00A41B49">
        <w:rPr>
          <w:rFonts w:ascii="Times New Roman" w:hAnsi="Times New Roman" w:cs="Times New Roman"/>
          <w:b/>
          <w:i/>
          <w:sz w:val="24"/>
          <w:szCs w:val="24"/>
          <w:shd w:val="clear" w:color="auto" w:fill="FFFFFF"/>
          <w:lang w:val="uk-UA"/>
        </w:rPr>
        <w:t>оцінка В</w:t>
      </w:r>
      <w:r w:rsidRPr="00A41B49">
        <w:rPr>
          <w:rFonts w:ascii="Times New Roman" w:hAnsi="Times New Roman" w:cs="Times New Roman"/>
          <w:i/>
          <w:sz w:val="24"/>
          <w:szCs w:val="24"/>
          <w:shd w:val="clear" w:color="auto" w:fill="FFFFFF"/>
          <w:lang w:val="uk-UA"/>
        </w:rPr>
        <w:t xml:space="preserve"> - мінімальна спроможність проводити своєчасні платежі за фінансовими зобов'язаннями, високі ризики при негативних змінах фінансової та економічної кон'юнктури в короткостроковій перспективі; </w:t>
      </w:r>
      <w:r w:rsidRPr="00A41B49">
        <w:rPr>
          <w:rFonts w:ascii="Times New Roman" w:hAnsi="Times New Roman" w:cs="Times New Roman"/>
          <w:b/>
          <w:i/>
          <w:sz w:val="24"/>
          <w:szCs w:val="24"/>
          <w:shd w:val="clear" w:color="auto" w:fill="FFFFFF"/>
          <w:lang w:val="uk-UA"/>
        </w:rPr>
        <w:t xml:space="preserve">оцінка </w:t>
      </w:r>
      <w:r w:rsidRPr="00A41B49">
        <w:rPr>
          <w:rFonts w:ascii="Times New Roman" w:hAnsi="Times New Roman" w:cs="Times New Roman"/>
          <w:b/>
          <w:i/>
          <w:sz w:val="24"/>
          <w:szCs w:val="24"/>
          <w:lang w:val="uk-UA"/>
        </w:rPr>
        <w:t>C</w:t>
      </w:r>
      <w:r w:rsidRPr="00A41B49">
        <w:rPr>
          <w:rFonts w:ascii="Times New Roman" w:hAnsi="Times New Roman" w:cs="Times New Roman"/>
          <w:i/>
          <w:sz w:val="24"/>
          <w:szCs w:val="24"/>
          <w:lang w:val="uk-UA"/>
        </w:rPr>
        <w:t xml:space="preserve"> — високий ризик дефолту, дефолт реально можливий, здатність виконувати фінансові зобов'язання повністю залежить від стійкої та сприятливого ділового середовища та економічної кон'юнктури; </w:t>
      </w:r>
      <w:r w:rsidRPr="00A41B49">
        <w:rPr>
          <w:rFonts w:ascii="Times New Roman" w:hAnsi="Times New Roman" w:cs="Times New Roman"/>
          <w:b/>
          <w:i/>
          <w:sz w:val="24"/>
          <w:szCs w:val="24"/>
          <w:lang w:val="uk-UA"/>
        </w:rPr>
        <w:t>оцінка СС</w:t>
      </w:r>
      <w:r w:rsidRPr="00A41B49">
        <w:rPr>
          <w:rFonts w:ascii="Times New Roman" w:hAnsi="Times New Roman" w:cs="Times New Roman"/>
          <w:i/>
          <w:sz w:val="24"/>
          <w:szCs w:val="24"/>
          <w:lang w:val="uk-UA"/>
        </w:rPr>
        <w:t xml:space="preserve"> - </w:t>
      </w:r>
      <w:r w:rsidRPr="00A41B49">
        <w:rPr>
          <w:rFonts w:ascii="Times New Roman" w:eastAsia="Times New Roman" w:hAnsi="Times New Roman" w:cs="Times New Roman"/>
          <w:i/>
          <w:sz w:val="24"/>
          <w:szCs w:val="24"/>
          <w:lang w:val="uk-UA" w:eastAsia="ru-RU"/>
        </w:rPr>
        <w:t xml:space="preserve">ймовірний дефолт; оцінка </w:t>
      </w:r>
      <w:r w:rsidRPr="00A41B49">
        <w:rPr>
          <w:rFonts w:ascii="Times New Roman" w:eastAsia="Times New Roman" w:hAnsi="Times New Roman" w:cs="Times New Roman"/>
          <w:b/>
          <w:bCs/>
          <w:i/>
          <w:sz w:val="24"/>
          <w:szCs w:val="24"/>
          <w:lang w:val="uk-UA" w:eastAsia="ru-RU"/>
        </w:rPr>
        <w:t>CCC</w:t>
      </w:r>
      <w:r w:rsidRPr="00A41B49">
        <w:rPr>
          <w:rFonts w:ascii="Times New Roman" w:eastAsia="Times New Roman" w:hAnsi="Times New Roman" w:cs="Times New Roman"/>
          <w:i/>
          <w:sz w:val="24"/>
          <w:szCs w:val="24"/>
          <w:lang w:val="uk-UA" w:eastAsia="ru-RU"/>
        </w:rPr>
        <w:t> —дефолт видається реальною можливістю, здатність виконувати фінансові зобов'язання цілком залежить від стійкої та сприятливої ділов</w:t>
      </w:r>
      <w:r w:rsidR="00C87D07" w:rsidRPr="00A41B49">
        <w:rPr>
          <w:rFonts w:ascii="Times New Roman" w:eastAsia="Times New Roman" w:hAnsi="Times New Roman" w:cs="Times New Roman"/>
          <w:i/>
          <w:sz w:val="24"/>
          <w:szCs w:val="24"/>
          <w:lang w:val="uk-UA" w:eastAsia="ru-RU"/>
        </w:rPr>
        <w:t>ої або економічної кон'юнктури.</w:t>
      </w:r>
    </w:p>
    <w:p w14:paraId="2FE6E2EC" w14:textId="77777777" w:rsidR="00C87D07" w:rsidRPr="00A41B49" w:rsidRDefault="00C87D07" w:rsidP="00C87D07">
      <w:pPr>
        <w:spacing w:after="0" w:line="240" w:lineRule="auto"/>
        <w:jc w:val="both"/>
        <w:rPr>
          <w:rFonts w:ascii="Times New Roman" w:eastAsia="Times New Roman" w:hAnsi="Times New Roman" w:cs="Times New Roman"/>
          <w:i/>
          <w:sz w:val="24"/>
          <w:szCs w:val="24"/>
          <w:lang w:val="uk-UA" w:eastAsia="ru-RU"/>
        </w:rPr>
      </w:pPr>
    </w:p>
    <w:p w14:paraId="479C44FC" w14:textId="77777777" w:rsidR="008C7F4E" w:rsidRPr="00A41B49" w:rsidRDefault="008C7F4E" w:rsidP="008C7F4E">
      <w:pPr>
        <w:pBdr>
          <w:top w:val="nil"/>
          <w:left w:val="nil"/>
          <w:bottom w:val="nil"/>
          <w:right w:val="nil"/>
          <w:between w:val="nil"/>
        </w:pBd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Для стабілізації ситуації та забезпечення стабільності показника інвестиційної привабливості м. Кривий Ріг «…виконком міської ради продовжив та посилив співробітництво з різними міжнародними інституціями, містами-партнерами….» [21], продовжив реалізовувати проєкт щодо розвитку індустріального парку «Кривбас» тощо, потребує нових підходів до забезпечення та підвищення інвестиційної привабливості міста, залучення в економіку міста інвестицій.</w:t>
      </w:r>
    </w:p>
    <w:p w14:paraId="510F5BCD" w14:textId="77777777" w:rsidR="00FC08F8" w:rsidRPr="00A41B49" w:rsidRDefault="00FC08F8">
      <w:pPr>
        <w:rPr>
          <w:rFonts w:ascii="Times New Roman" w:hAnsi="Times New Roman" w:cs="Times New Roman"/>
          <w:sz w:val="28"/>
          <w:szCs w:val="28"/>
          <w:lang w:val="uk-UA"/>
        </w:rPr>
      </w:pPr>
      <w:r w:rsidRPr="00A41B49">
        <w:rPr>
          <w:rFonts w:ascii="Times New Roman" w:hAnsi="Times New Roman" w:cs="Times New Roman"/>
          <w:sz w:val="28"/>
          <w:szCs w:val="28"/>
          <w:lang w:val="uk-UA"/>
        </w:rPr>
        <w:br w:type="page"/>
      </w:r>
    </w:p>
    <w:p w14:paraId="5541A2A9" w14:textId="77777777" w:rsidR="00BA34C3" w:rsidRPr="00A41B49" w:rsidRDefault="00FC08F8" w:rsidP="00FC08F8">
      <w:pPr>
        <w:spacing w:after="0" w:line="240" w:lineRule="auto"/>
        <w:jc w:val="center"/>
        <w:rPr>
          <w:rFonts w:ascii="Times New Roman" w:eastAsia="Times New Roman" w:hAnsi="Times New Roman" w:cs="Times New Roman"/>
          <w:b/>
          <w:sz w:val="28"/>
          <w:szCs w:val="28"/>
          <w:lang w:val="uk-UA" w:eastAsia="ru-RU"/>
        </w:rPr>
      </w:pPr>
      <w:r w:rsidRPr="00A41B49">
        <w:rPr>
          <w:rFonts w:ascii="Times New Roman" w:eastAsia="Times New Roman" w:hAnsi="Times New Roman" w:cs="Times New Roman"/>
          <w:b/>
          <w:sz w:val="28"/>
          <w:szCs w:val="28"/>
          <w:lang w:val="uk-UA" w:eastAsia="ru-RU"/>
        </w:rPr>
        <w:lastRenderedPageBreak/>
        <w:t>ВИСНОВКИ ТА РЕКОМЕНДАЦІЇ</w:t>
      </w:r>
    </w:p>
    <w:p w14:paraId="520A0968" w14:textId="77777777" w:rsidR="00915386" w:rsidRPr="00A41B49" w:rsidRDefault="00915386" w:rsidP="00FC08F8">
      <w:pPr>
        <w:spacing w:after="0" w:line="240" w:lineRule="auto"/>
        <w:jc w:val="center"/>
        <w:rPr>
          <w:rFonts w:ascii="Times New Roman" w:eastAsia="Times New Roman" w:hAnsi="Times New Roman" w:cs="Times New Roman"/>
          <w:b/>
          <w:sz w:val="28"/>
          <w:szCs w:val="28"/>
          <w:lang w:val="uk-UA" w:eastAsia="ru-RU"/>
        </w:rPr>
      </w:pPr>
    </w:p>
    <w:p w14:paraId="6617B6B7" w14:textId="77777777" w:rsidR="00E91C55" w:rsidRPr="00A41B49" w:rsidRDefault="00BB258E"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На основі вивчення, аналізу та систематизації наукової літератури, що віддзеркалює стан та особливості розвитку теорії та практики забезпечення інвестиційної привабливості різнорівневих соціально-економічних систем</w:t>
      </w:r>
      <w:r w:rsidR="00E91C55" w:rsidRPr="00A41B49">
        <w:rPr>
          <w:rFonts w:ascii="Times New Roman" w:hAnsi="Times New Roman" w:cs="Times New Roman"/>
          <w:sz w:val="28"/>
          <w:szCs w:val="28"/>
          <w:lang w:val="uk-UA"/>
        </w:rPr>
        <w:t xml:space="preserve"> (соціально-економічних систем макрорівня – країн, мезорівня – регіонів, галузей, міст; мікрорівня – підприємств)</w:t>
      </w:r>
      <w:r w:rsidRPr="00A41B49">
        <w:rPr>
          <w:rFonts w:ascii="Times New Roman" w:hAnsi="Times New Roman" w:cs="Times New Roman"/>
          <w:sz w:val="28"/>
          <w:szCs w:val="28"/>
          <w:lang w:val="uk-UA"/>
        </w:rPr>
        <w:t xml:space="preserve"> установлено, що</w:t>
      </w:r>
      <w:r w:rsidR="00E91C55" w:rsidRPr="00A41B49">
        <w:rPr>
          <w:rFonts w:ascii="Times New Roman" w:hAnsi="Times New Roman" w:cs="Times New Roman"/>
          <w:sz w:val="28"/>
          <w:szCs w:val="28"/>
          <w:lang w:val="uk-UA"/>
        </w:rPr>
        <w:t xml:space="preserve"> на сучасному етапі розвитку ефективна інвестиційна діяльність соціально-економічних систем є домінантним детермінантом</w:t>
      </w:r>
      <w:r w:rsidR="00C42103" w:rsidRPr="00A41B49">
        <w:rPr>
          <w:rFonts w:ascii="Times New Roman" w:hAnsi="Times New Roman" w:cs="Times New Roman"/>
          <w:sz w:val="28"/>
          <w:szCs w:val="28"/>
          <w:lang w:val="uk-UA"/>
        </w:rPr>
        <w:t xml:space="preserve"> та індикатором</w:t>
      </w:r>
      <w:r w:rsidR="00E91C55" w:rsidRPr="00A41B49">
        <w:rPr>
          <w:rFonts w:ascii="Times New Roman" w:hAnsi="Times New Roman" w:cs="Times New Roman"/>
          <w:sz w:val="28"/>
          <w:szCs w:val="28"/>
          <w:lang w:val="uk-UA"/>
        </w:rPr>
        <w:t xml:space="preserve"> їх конкурентоспроможності та сталого розвитку.</w:t>
      </w:r>
    </w:p>
    <w:p w14:paraId="36C985D0" w14:textId="77777777" w:rsidR="00030B2E" w:rsidRPr="00A41B49" w:rsidRDefault="008D31F8"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Визначено, </w:t>
      </w:r>
      <w:r w:rsidR="001E5ED6" w:rsidRPr="00A41B49">
        <w:rPr>
          <w:rFonts w:ascii="Times New Roman" w:hAnsi="Times New Roman" w:cs="Times New Roman"/>
          <w:sz w:val="28"/>
          <w:szCs w:val="28"/>
          <w:lang w:val="uk-UA"/>
        </w:rPr>
        <w:t xml:space="preserve">що поняття «інвестиційна діяльність» доцільно розуміти як специфічний різновид господарської діяльності, </w:t>
      </w:r>
      <w:r w:rsidR="00037003" w:rsidRPr="00A41B49">
        <w:rPr>
          <w:rFonts w:ascii="Times New Roman" w:hAnsi="Times New Roman" w:cs="Times New Roman"/>
          <w:sz w:val="28"/>
          <w:szCs w:val="28"/>
          <w:lang w:val="uk-UA"/>
        </w:rPr>
        <w:t>що пов’язаний</w:t>
      </w:r>
      <w:r w:rsidR="005D7DA8" w:rsidRPr="00A41B49">
        <w:rPr>
          <w:rFonts w:ascii="Times New Roman" w:hAnsi="Times New Roman" w:cs="Times New Roman"/>
          <w:sz w:val="28"/>
          <w:szCs w:val="28"/>
          <w:lang w:val="uk-UA"/>
        </w:rPr>
        <w:t xml:space="preserve"> із реалізацією інвестицій, що можуть набувати вигляду: нематеріальних, матеріальних та фінансових активів</w:t>
      </w:r>
      <w:r w:rsidR="00030B2E" w:rsidRPr="00A41B49">
        <w:rPr>
          <w:rFonts w:ascii="Times New Roman" w:hAnsi="Times New Roman" w:cs="Times New Roman"/>
          <w:sz w:val="28"/>
          <w:szCs w:val="28"/>
          <w:lang w:val="uk-UA"/>
        </w:rPr>
        <w:t>, розрізняються за терміном, цільовою орієнтацією, природою, розміром тощо</w:t>
      </w:r>
      <w:r w:rsidR="00C42103" w:rsidRPr="00A41B49">
        <w:rPr>
          <w:rFonts w:ascii="Times New Roman" w:hAnsi="Times New Roman" w:cs="Times New Roman"/>
          <w:sz w:val="28"/>
          <w:szCs w:val="28"/>
          <w:lang w:val="uk-UA"/>
        </w:rPr>
        <w:t xml:space="preserve">. </w:t>
      </w:r>
    </w:p>
    <w:p w14:paraId="6C1F55A6" w14:textId="77777777" w:rsidR="001E5ED6" w:rsidRPr="00A41B49" w:rsidRDefault="00C42103"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Обґрунтовано, що в інвестиційному процесі беруть участь </w:t>
      </w:r>
      <w:r w:rsidR="00A61FBD" w:rsidRPr="00A41B49">
        <w:rPr>
          <w:rFonts w:ascii="Times New Roman" w:hAnsi="Times New Roman" w:cs="Times New Roman"/>
          <w:sz w:val="28"/>
          <w:szCs w:val="28"/>
          <w:lang w:val="uk-UA"/>
        </w:rPr>
        <w:t>суб’єкти</w:t>
      </w:r>
      <w:r w:rsidRPr="00A41B49">
        <w:rPr>
          <w:rFonts w:ascii="Times New Roman" w:hAnsi="Times New Roman" w:cs="Times New Roman"/>
          <w:sz w:val="28"/>
          <w:szCs w:val="28"/>
          <w:lang w:val="uk-UA"/>
        </w:rPr>
        <w:t xml:space="preserve"> </w:t>
      </w:r>
      <w:r w:rsidR="00A61FBD" w:rsidRPr="00A41B49">
        <w:rPr>
          <w:rFonts w:ascii="Times New Roman" w:hAnsi="Times New Roman" w:cs="Times New Roman"/>
          <w:sz w:val="28"/>
          <w:szCs w:val="28"/>
          <w:lang w:val="uk-UA"/>
        </w:rPr>
        <w:t>інвестиційної</w:t>
      </w:r>
      <w:r w:rsidRPr="00A41B49">
        <w:rPr>
          <w:rFonts w:ascii="Times New Roman" w:hAnsi="Times New Roman" w:cs="Times New Roman"/>
          <w:sz w:val="28"/>
          <w:szCs w:val="28"/>
          <w:lang w:val="uk-UA"/>
        </w:rPr>
        <w:t xml:space="preserve"> діяльності, що </w:t>
      </w:r>
      <w:r w:rsidR="0036344F" w:rsidRPr="00A41B49">
        <w:rPr>
          <w:rFonts w:ascii="Times New Roman" w:hAnsi="Times New Roman" w:cs="Times New Roman"/>
          <w:sz w:val="28"/>
          <w:szCs w:val="28"/>
          <w:lang w:val="uk-UA"/>
        </w:rPr>
        <w:t>представлені як інвесторами (здійснюють інвестиції), так іншими учасниками інвестиційного процесу</w:t>
      </w:r>
      <w:r w:rsidR="001437C6" w:rsidRPr="00A41B49">
        <w:rPr>
          <w:rFonts w:ascii="Times New Roman" w:hAnsi="Times New Roman" w:cs="Times New Roman"/>
          <w:sz w:val="28"/>
          <w:szCs w:val="28"/>
          <w:lang w:val="uk-UA"/>
        </w:rPr>
        <w:t xml:space="preserve">, </w:t>
      </w:r>
      <w:r w:rsidR="0076348A" w:rsidRPr="00A41B49">
        <w:rPr>
          <w:rFonts w:ascii="Times New Roman" w:hAnsi="Times New Roman" w:cs="Times New Roman"/>
          <w:sz w:val="28"/>
          <w:szCs w:val="28"/>
          <w:lang w:val="uk-UA"/>
        </w:rPr>
        <w:t xml:space="preserve">мають у своєму розпорядженні різні інструменти інвестування (інструменти участі у капіталі, боргові інструменти), </w:t>
      </w:r>
      <w:r w:rsidR="001437C6" w:rsidRPr="00A41B49">
        <w:rPr>
          <w:rFonts w:ascii="Times New Roman" w:hAnsi="Times New Roman" w:cs="Times New Roman"/>
          <w:sz w:val="28"/>
          <w:szCs w:val="28"/>
          <w:lang w:val="uk-UA"/>
        </w:rPr>
        <w:t xml:space="preserve">цілі, </w:t>
      </w:r>
      <w:r w:rsidR="00951904" w:rsidRPr="00A41B49">
        <w:rPr>
          <w:rFonts w:ascii="Times New Roman" w:hAnsi="Times New Roman" w:cs="Times New Roman"/>
          <w:sz w:val="28"/>
          <w:szCs w:val="28"/>
          <w:lang w:val="uk-UA"/>
        </w:rPr>
        <w:t>пов’язані із об’єктом інвестування – отримання прибутку</w:t>
      </w:r>
      <w:r w:rsidR="00E06EBC" w:rsidRPr="00A41B49">
        <w:rPr>
          <w:rFonts w:ascii="Times New Roman" w:hAnsi="Times New Roman" w:cs="Times New Roman"/>
          <w:sz w:val="28"/>
          <w:szCs w:val="28"/>
          <w:lang w:val="uk-UA"/>
        </w:rPr>
        <w:t xml:space="preserve"> (портфельне інвестування)</w:t>
      </w:r>
      <w:r w:rsidR="00951904" w:rsidRPr="00A41B49">
        <w:rPr>
          <w:rFonts w:ascii="Times New Roman" w:hAnsi="Times New Roman" w:cs="Times New Roman"/>
          <w:sz w:val="28"/>
          <w:szCs w:val="28"/>
          <w:lang w:val="uk-UA"/>
        </w:rPr>
        <w:t>, отримання ко</w:t>
      </w:r>
      <w:r w:rsidR="006A43B4" w:rsidRPr="00A41B49">
        <w:rPr>
          <w:rFonts w:ascii="Times New Roman" w:hAnsi="Times New Roman" w:cs="Times New Roman"/>
          <w:sz w:val="28"/>
          <w:szCs w:val="28"/>
          <w:lang w:val="uk-UA"/>
        </w:rPr>
        <w:t>нтролю над об’єктом інвестування</w:t>
      </w:r>
      <w:r w:rsidR="001437C6" w:rsidRPr="00A41B49">
        <w:rPr>
          <w:rFonts w:ascii="Times New Roman" w:hAnsi="Times New Roman" w:cs="Times New Roman"/>
          <w:sz w:val="28"/>
          <w:szCs w:val="28"/>
          <w:lang w:val="uk-UA"/>
        </w:rPr>
        <w:t xml:space="preserve"> (пряме інвестування)</w:t>
      </w:r>
      <w:r w:rsidR="006A43B4" w:rsidRPr="00A41B49">
        <w:rPr>
          <w:rFonts w:ascii="Times New Roman" w:hAnsi="Times New Roman" w:cs="Times New Roman"/>
          <w:sz w:val="28"/>
          <w:szCs w:val="28"/>
          <w:lang w:val="uk-UA"/>
        </w:rPr>
        <w:t xml:space="preserve"> тощо</w:t>
      </w:r>
      <w:r w:rsidR="00716B7F" w:rsidRPr="00A41B49">
        <w:rPr>
          <w:rFonts w:ascii="Times New Roman" w:hAnsi="Times New Roman" w:cs="Times New Roman"/>
          <w:sz w:val="28"/>
          <w:szCs w:val="28"/>
          <w:lang w:val="uk-UA"/>
        </w:rPr>
        <w:t>, враховують ризики, пов’язані із такою діяльністю.</w:t>
      </w:r>
      <w:r w:rsidR="006A43B4" w:rsidRPr="00A41B49">
        <w:rPr>
          <w:rFonts w:ascii="Times New Roman" w:hAnsi="Times New Roman" w:cs="Times New Roman"/>
          <w:sz w:val="28"/>
          <w:szCs w:val="28"/>
          <w:lang w:val="uk-UA"/>
        </w:rPr>
        <w:t xml:space="preserve"> </w:t>
      </w:r>
    </w:p>
    <w:p w14:paraId="0925C063" w14:textId="77777777" w:rsidR="00E91C55" w:rsidRPr="00A41B49" w:rsidRDefault="00465EFF"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Обґрунтовано, що </w:t>
      </w:r>
      <w:r w:rsidR="008D31F8" w:rsidRPr="00A41B49">
        <w:rPr>
          <w:rFonts w:ascii="Times New Roman" w:hAnsi="Times New Roman" w:cs="Times New Roman"/>
          <w:sz w:val="28"/>
          <w:szCs w:val="28"/>
          <w:lang w:val="uk-UA"/>
        </w:rPr>
        <w:t>у процесі реалізації інвестиційної діяльності соціально-економічна система або її складова, незалежно від рівня агрегування, може виступати як об’єкт та як суб’єкт інвестування, залежно від можливостей та цілей цієї системи. Таким чином, різнорівневі соціально-економічні системи постійно знаходяться у процесі пошуку ресурсів, вибору ефективних об’єктів інвестування або одразу у цих двох процесах.</w:t>
      </w:r>
      <w:r w:rsidRPr="00A41B49">
        <w:rPr>
          <w:rFonts w:ascii="Times New Roman" w:hAnsi="Times New Roman" w:cs="Times New Roman"/>
          <w:sz w:val="28"/>
          <w:szCs w:val="28"/>
          <w:lang w:val="uk-UA"/>
        </w:rPr>
        <w:t xml:space="preserve"> </w:t>
      </w:r>
    </w:p>
    <w:p w14:paraId="08524BD8" w14:textId="77777777" w:rsidR="0076348A" w:rsidRPr="00A41B49" w:rsidRDefault="0076348A"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Доведено, що в умовах, коли соціально-економічна система виступає у ролі суб’єкта інвестування, вона виступає у процесі вибору ефективних об’єктів інвестування, найважливішим параметром, що буде визначати активність включення цієї системи у зазначений про</w:t>
      </w:r>
      <w:r w:rsidR="000034C4" w:rsidRPr="00A41B49">
        <w:rPr>
          <w:rFonts w:ascii="Times New Roman" w:hAnsi="Times New Roman" w:cs="Times New Roman"/>
          <w:sz w:val="28"/>
          <w:szCs w:val="28"/>
          <w:lang w:val="uk-UA"/>
        </w:rPr>
        <w:t>цес, є інвестиційний потенціал; в</w:t>
      </w:r>
      <w:r w:rsidRPr="00A41B49">
        <w:rPr>
          <w:rFonts w:ascii="Times New Roman" w:hAnsi="Times New Roman" w:cs="Times New Roman"/>
          <w:sz w:val="28"/>
          <w:szCs w:val="28"/>
          <w:lang w:val="uk-UA"/>
        </w:rPr>
        <w:t xml:space="preserve"> умовах, коли соціально-економічна система виступає у ролі об’єкта інвестування вона знаходиться у процесі пошуку ресурсів, найважливішим параметром, що буде визначати активність та ефективність включення системи у зазначений процес, є інвестиційна привабливість.</w:t>
      </w:r>
    </w:p>
    <w:p w14:paraId="58344195" w14:textId="77777777" w:rsidR="00B473BA" w:rsidRPr="00A41B49" w:rsidRDefault="00B473BA"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На основі узагальнення підходів до розуміння сутності поняття «інвестиційний потенціал» та «інвестиційна привабливість» </w:t>
      </w:r>
      <w:r w:rsidR="008E0B4B" w:rsidRPr="00A41B49">
        <w:rPr>
          <w:rFonts w:ascii="Times New Roman" w:hAnsi="Times New Roman" w:cs="Times New Roman"/>
          <w:sz w:val="28"/>
          <w:szCs w:val="28"/>
          <w:lang w:val="uk-UA"/>
        </w:rPr>
        <w:t>запропоновано трактувати поняття:</w:t>
      </w:r>
    </w:p>
    <w:p w14:paraId="67C4E018" w14:textId="77777777" w:rsidR="00B473BA" w:rsidRPr="00A41B49" w:rsidRDefault="00B473BA" w:rsidP="00283EDD">
      <w:pPr>
        <w:spacing w:after="0" w:line="240" w:lineRule="auto"/>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«інвестиційний потенціал» як сукупність ресурсів, факторів та умов для інвестування соціально-економічної системи, що формують її базу відтворення та сталого розвитку, можуть бути спрямовані на реалізацію її цілей;</w:t>
      </w:r>
    </w:p>
    <w:p w14:paraId="06D5F94D" w14:textId="77777777" w:rsidR="00B473BA" w:rsidRPr="00A41B49" w:rsidRDefault="00B473BA" w:rsidP="00283EDD">
      <w:pPr>
        <w:spacing w:after="0" w:line="240" w:lineRule="auto"/>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lastRenderedPageBreak/>
        <w:t>«</w:t>
      </w:r>
      <w:r w:rsidR="008E0B4B" w:rsidRPr="00A41B49">
        <w:rPr>
          <w:rFonts w:ascii="Times New Roman" w:hAnsi="Times New Roman" w:cs="Times New Roman"/>
          <w:sz w:val="28"/>
          <w:szCs w:val="28"/>
          <w:lang w:val="uk-UA"/>
        </w:rPr>
        <w:t>і</w:t>
      </w:r>
      <w:r w:rsidRPr="00A41B49">
        <w:rPr>
          <w:rFonts w:ascii="Times New Roman" w:hAnsi="Times New Roman" w:cs="Times New Roman"/>
          <w:sz w:val="28"/>
          <w:szCs w:val="28"/>
          <w:lang w:val="uk-UA"/>
        </w:rPr>
        <w:t xml:space="preserve">нвестиційна привабливість» - інтегральну характеристику об’єкту інвестування, що визначає інтерес інвестора до цього об’єкта. </w:t>
      </w:r>
    </w:p>
    <w:p w14:paraId="59C9A6C2" w14:textId="77777777" w:rsidR="0058329D" w:rsidRPr="00A41B49" w:rsidRDefault="00335668"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Визначено, що поняття «</w:t>
      </w:r>
      <w:r w:rsidR="009612E6" w:rsidRPr="00A41B49">
        <w:rPr>
          <w:rFonts w:ascii="Times New Roman" w:hAnsi="Times New Roman" w:cs="Times New Roman"/>
          <w:sz w:val="28"/>
          <w:szCs w:val="28"/>
          <w:lang w:val="uk-UA"/>
        </w:rPr>
        <w:t>інвестиційний</w:t>
      </w:r>
      <w:r w:rsidRPr="00A41B49">
        <w:rPr>
          <w:rFonts w:ascii="Times New Roman" w:hAnsi="Times New Roman" w:cs="Times New Roman"/>
          <w:sz w:val="28"/>
          <w:szCs w:val="28"/>
          <w:lang w:val="uk-UA"/>
        </w:rPr>
        <w:t xml:space="preserve"> потенціал» та «</w:t>
      </w:r>
      <w:r w:rsidR="009612E6" w:rsidRPr="00A41B49">
        <w:rPr>
          <w:rFonts w:ascii="Times New Roman" w:hAnsi="Times New Roman" w:cs="Times New Roman"/>
          <w:sz w:val="28"/>
          <w:szCs w:val="28"/>
          <w:lang w:val="uk-UA"/>
        </w:rPr>
        <w:t>інвестиційна</w:t>
      </w:r>
      <w:r w:rsidRPr="00A41B49">
        <w:rPr>
          <w:rFonts w:ascii="Times New Roman" w:hAnsi="Times New Roman" w:cs="Times New Roman"/>
          <w:sz w:val="28"/>
          <w:szCs w:val="28"/>
          <w:lang w:val="uk-UA"/>
        </w:rPr>
        <w:t xml:space="preserve"> привабливість» тісно </w:t>
      </w:r>
      <w:r w:rsidR="009612E6" w:rsidRPr="00A41B49">
        <w:rPr>
          <w:rFonts w:ascii="Times New Roman" w:hAnsi="Times New Roman" w:cs="Times New Roman"/>
          <w:sz w:val="28"/>
          <w:szCs w:val="28"/>
          <w:lang w:val="uk-UA"/>
        </w:rPr>
        <w:t>пов’язані</w:t>
      </w:r>
      <w:r w:rsidRPr="00A41B49">
        <w:rPr>
          <w:rFonts w:ascii="Times New Roman" w:hAnsi="Times New Roman" w:cs="Times New Roman"/>
          <w:sz w:val="28"/>
          <w:szCs w:val="28"/>
          <w:lang w:val="uk-UA"/>
        </w:rPr>
        <w:t xml:space="preserve"> із поняттям «</w:t>
      </w:r>
      <w:r w:rsidR="009612E6" w:rsidRPr="00A41B49">
        <w:rPr>
          <w:rFonts w:ascii="Times New Roman" w:hAnsi="Times New Roman" w:cs="Times New Roman"/>
          <w:sz w:val="28"/>
          <w:szCs w:val="28"/>
          <w:lang w:val="uk-UA"/>
        </w:rPr>
        <w:t>інвестиційний</w:t>
      </w:r>
      <w:r w:rsidRPr="00A41B49">
        <w:rPr>
          <w:rFonts w:ascii="Times New Roman" w:hAnsi="Times New Roman" w:cs="Times New Roman"/>
          <w:sz w:val="28"/>
          <w:szCs w:val="28"/>
          <w:lang w:val="uk-UA"/>
        </w:rPr>
        <w:t xml:space="preserve"> клімат», що </w:t>
      </w:r>
      <w:r w:rsidR="00C45C5E" w:rsidRPr="00A41B49">
        <w:rPr>
          <w:rFonts w:ascii="Times New Roman" w:hAnsi="Times New Roman" w:cs="Times New Roman"/>
          <w:sz w:val="28"/>
          <w:szCs w:val="28"/>
          <w:lang w:val="uk-UA"/>
        </w:rPr>
        <w:t>відображає умови, що склалися на певний момент часу для інвестування.</w:t>
      </w:r>
      <w:r w:rsidR="0058329D" w:rsidRPr="00A41B49">
        <w:rPr>
          <w:rFonts w:ascii="Times New Roman" w:hAnsi="Times New Roman" w:cs="Times New Roman"/>
          <w:sz w:val="28"/>
          <w:szCs w:val="28"/>
          <w:lang w:val="uk-UA"/>
        </w:rPr>
        <w:t xml:space="preserve"> У кваліфікаційній роботі запропоновано авторську схему, що ілюструє взаємозв’язок між зазначеними вище поняттями. </w:t>
      </w:r>
    </w:p>
    <w:p w14:paraId="280F4BA0" w14:textId="77777777" w:rsidR="0058329D" w:rsidRPr="00A41B49" w:rsidRDefault="0058329D"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Беручи до уваги наявний </w:t>
      </w:r>
      <w:r w:rsidR="009612E6" w:rsidRPr="00A41B49">
        <w:rPr>
          <w:rFonts w:ascii="Times New Roman" w:hAnsi="Times New Roman" w:cs="Times New Roman"/>
          <w:sz w:val="28"/>
          <w:szCs w:val="28"/>
          <w:lang w:val="uk-UA"/>
        </w:rPr>
        <w:t>взаємозв’язок</w:t>
      </w:r>
      <w:r w:rsidRPr="00A41B49">
        <w:rPr>
          <w:rFonts w:ascii="Times New Roman" w:hAnsi="Times New Roman" w:cs="Times New Roman"/>
          <w:sz w:val="28"/>
          <w:szCs w:val="28"/>
          <w:lang w:val="uk-UA"/>
        </w:rPr>
        <w:t xml:space="preserve"> між </w:t>
      </w:r>
      <w:r w:rsidR="009612E6" w:rsidRPr="00A41B49">
        <w:rPr>
          <w:rFonts w:ascii="Times New Roman" w:hAnsi="Times New Roman" w:cs="Times New Roman"/>
          <w:sz w:val="28"/>
          <w:szCs w:val="28"/>
          <w:lang w:val="uk-UA"/>
        </w:rPr>
        <w:t>інвестиційним</w:t>
      </w:r>
      <w:r w:rsidRPr="00A41B49">
        <w:rPr>
          <w:rFonts w:ascii="Times New Roman" w:hAnsi="Times New Roman" w:cs="Times New Roman"/>
          <w:sz w:val="28"/>
          <w:szCs w:val="28"/>
          <w:lang w:val="uk-UA"/>
        </w:rPr>
        <w:t xml:space="preserve"> потенціалом, </w:t>
      </w:r>
      <w:r w:rsidR="009612E6" w:rsidRPr="00A41B49">
        <w:rPr>
          <w:rFonts w:ascii="Times New Roman" w:hAnsi="Times New Roman" w:cs="Times New Roman"/>
          <w:sz w:val="28"/>
          <w:szCs w:val="28"/>
          <w:lang w:val="uk-UA"/>
        </w:rPr>
        <w:t>інвестиційною</w:t>
      </w:r>
      <w:r w:rsidRPr="00A41B49">
        <w:rPr>
          <w:rFonts w:ascii="Times New Roman" w:hAnsi="Times New Roman" w:cs="Times New Roman"/>
          <w:sz w:val="28"/>
          <w:szCs w:val="28"/>
          <w:lang w:val="uk-UA"/>
        </w:rPr>
        <w:t xml:space="preserve"> </w:t>
      </w:r>
      <w:r w:rsidR="009612E6" w:rsidRPr="00A41B49">
        <w:rPr>
          <w:rFonts w:ascii="Times New Roman" w:hAnsi="Times New Roman" w:cs="Times New Roman"/>
          <w:sz w:val="28"/>
          <w:szCs w:val="28"/>
          <w:lang w:val="uk-UA"/>
        </w:rPr>
        <w:t>привабливістю</w:t>
      </w:r>
      <w:r w:rsidRPr="00A41B49">
        <w:rPr>
          <w:rFonts w:ascii="Times New Roman" w:hAnsi="Times New Roman" w:cs="Times New Roman"/>
          <w:sz w:val="28"/>
          <w:szCs w:val="28"/>
          <w:lang w:val="uk-UA"/>
        </w:rPr>
        <w:t xml:space="preserve"> та </w:t>
      </w:r>
      <w:r w:rsidR="009612E6" w:rsidRPr="00A41B49">
        <w:rPr>
          <w:rFonts w:ascii="Times New Roman" w:hAnsi="Times New Roman" w:cs="Times New Roman"/>
          <w:sz w:val="28"/>
          <w:szCs w:val="28"/>
          <w:lang w:val="uk-UA"/>
        </w:rPr>
        <w:t>інвестиційним</w:t>
      </w:r>
      <w:r w:rsidRPr="00A41B49">
        <w:rPr>
          <w:rFonts w:ascii="Times New Roman" w:hAnsi="Times New Roman" w:cs="Times New Roman"/>
          <w:sz w:val="28"/>
          <w:szCs w:val="28"/>
          <w:lang w:val="uk-UA"/>
        </w:rPr>
        <w:t xml:space="preserve"> кліматом певної соціально-економічної системи у роботі </w:t>
      </w:r>
      <w:r w:rsidR="009612E6" w:rsidRPr="00A41B49">
        <w:rPr>
          <w:rFonts w:ascii="Times New Roman" w:hAnsi="Times New Roman" w:cs="Times New Roman"/>
          <w:sz w:val="28"/>
          <w:szCs w:val="28"/>
          <w:lang w:val="uk-UA"/>
        </w:rPr>
        <w:t>обґрунтовано</w:t>
      </w:r>
      <w:r w:rsidRPr="00A41B49">
        <w:rPr>
          <w:rFonts w:ascii="Times New Roman" w:hAnsi="Times New Roman" w:cs="Times New Roman"/>
          <w:sz w:val="28"/>
          <w:szCs w:val="28"/>
          <w:lang w:val="uk-UA"/>
        </w:rPr>
        <w:t>, що інвестиційний клімат є вихідною умовою, що визначає інвестиційну привабливість та спроможність різнорівневих соціально-економічних систем реалізувати свій інвестиційний потенціал.</w:t>
      </w:r>
    </w:p>
    <w:p w14:paraId="6DD50939" w14:textId="77777777" w:rsidR="0058329D" w:rsidRPr="00A41B49" w:rsidRDefault="007D613C"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Установлено, що в умовах реалізації в Україні реформи децентралізації, соціально-економічні системи мезорівня (регіони та міста), крім зростання власної фінансової спроможності, отримали нові повноваження та можливості щодо задоволення своїх фінансових потреб  – здійснення зовнішніх запозичень, самостійне обрання установ з обслуговування коштів місцевих бюджетів відносно розвитку та власних надходжень бюджетних установ тощо, що суттєво актуалізувала проблему чіткого визначення сутності поняття «інвестиційна привабливість міста» та дієвих факторів та інструментів її підвищення.</w:t>
      </w:r>
    </w:p>
    <w:p w14:paraId="20CFB038" w14:textId="77777777" w:rsidR="007D613C" w:rsidRPr="00A41B49" w:rsidRDefault="009203CC"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Визначено, що під поняттям  «</w:t>
      </w:r>
      <w:r w:rsidR="009612E6" w:rsidRPr="00A41B49">
        <w:rPr>
          <w:rFonts w:ascii="Times New Roman" w:hAnsi="Times New Roman" w:cs="Times New Roman"/>
          <w:sz w:val="28"/>
          <w:szCs w:val="28"/>
          <w:lang w:val="uk-UA"/>
        </w:rPr>
        <w:t>інвестиційна</w:t>
      </w:r>
      <w:r w:rsidRPr="00A41B49">
        <w:rPr>
          <w:rFonts w:ascii="Times New Roman" w:hAnsi="Times New Roman" w:cs="Times New Roman"/>
          <w:sz w:val="28"/>
          <w:szCs w:val="28"/>
          <w:lang w:val="uk-UA"/>
        </w:rPr>
        <w:t xml:space="preserve"> привабливість міста» доцільно розуміти його інтегральну характеристику спроможності виступати привабливим для інвестування об’єктом.</w:t>
      </w:r>
    </w:p>
    <w:p w14:paraId="5AA80605" w14:textId="77777777" w:rsidR="009203CC" w:rsidRPr="00A41B49" w:rsidRDefault="009612E6"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Обґрунтовано</w:t>
      </w:r>
      <w:r w:rsidR="009203CC" w:rsidRPr="00A41B49">
        <w:rPr>
          <w:rFonts w:ascii="Times New Roman" w:hAnsi="Times New Roman" w:cs="Times New Roman"/>
          <w:sz w:val="28"/>
          <w:szCs w:val="28"/>
          <w:lang w:val="uk-UA"/>
        </w:rPr>
        <w:t>, що  органи місцевого самоврядування мають активно включатися у процес забезпечення та підвищення інвестиційної привабливості міста, адже залучення інвестицій на місцевий рівень є показником та фактором стабільності й успішності його соціально-економічного розвитку.</w:t>
      </w:r>
    </w:p>
    <w:p w14:paraId="7AFBD810" w14:textId="77777777" w:rsidR="002613FB" w:rsidRPr="00A41B49" w:rsidRDefault="009203CC"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Визначено, що </w:t>
      </w:r>
      <w:r w:rsidR="004957DE" w:rsidRPr="00A41B49">
        <w:rPr>
          <w:rFonts w:ascii="Times New Roman" w:hAnsi="Times New Roman" w:cs="Times New Roman"/>
          <w:sz w:val="28"/>
          <w:szCs w:val="28"/>
          <w:lang w:val="uk-UA"/>
        </w:rPr>
        <w:t xml:space="preserve">джерела </w:t>
      </w:r>
      <w:r w:rsidR="008928F3" w:rsidRPr="00A41B49">
        <w:rPr>
          <w:rFonts w:ascii="Times New Roman" w:hAnsi="Times New Roman" w:cs="Times New Roman"/>
          <w:sz w:val="28"/>
          <w:szCs w:val="28"/>
          <w:lang w:val="uk-UA"/>
        </w:rPr>
        <w:t>інвестиційного забезпечення розвитку міста суттєво різнять за рівнем ризикованості та джерелами формування інвестиційних ресурсів. На сучасному етапі розвитку інвестиційне забезпечення розвитку міста формується за рахунок таких джерел: бюджетне інвестування; інвестування за рахунок власних коштів підприємств, організацій; інвестування за рахунок кредитів і позик; внутрішні і зовнішні інвестиції. Перші два джерела інвестиційної діяльності (бюджетне інвестування; інвестування за рахунок власних коштів підприємств, організацій) характеризуються, як правило, низьким рівнем ризику, другі дві (інвестування за рахунок кредитів і позик; внутрішні і зовнішні інвестиції) – високим та середнім відповідно.</w:t>
      </w:r>
    </w:p>
    <w:p w14:paraId="2A9CCD62" w14:textId="77777777" w:rsidR="00861DCE" w:rsidRPr="00A41B49" w:rsidRDefault="004957DE"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Установлено</w:t>
      </w:r>
      <w:r w:rsidR="00861DCE" w:rsidRPr="00A41B49">
        <w:rPr>
          <w:rFonts w:ascii="Times New Roman" w:hAnsi="Times New Roman" w:cs="Times New Roman"/>
          <w:sz w:val="28"/>
          <w:szCs w:val="28"/>
          <w:lang w:val="uk-UA"/>
        </w:rPr>
        <w:t xml:space="preserve">, що перелік детермінантів </w:t>
      </w:r>
      <w:r w:rsidRPr="00A41B49">
        <w:rPr>
          <w:rFonts w:ascii="Times New Roman" w:hAnsi="Times New Roman" w:cs="Times New Roman"/>
          <w:sz w:val="28"/>
          <w:szCs w:val="28"/>
          <w:lang w:val="uk-UA"/>
        </w:rPr>
        <w:t>інвестиційної</w:t>
      </w:r>
      <w:r w:rsidR="00861DCE" w:rsidRPr="00A41B49">
        <w:rPr>
          <w:rFonts w:ascii="Times New Roman" w:hAnsi="Times New Roman" w:cs="Times New Roman"/>
          <w:sz w:val="28"/>
          <w:szCs w:val="28"/>
          <w:lang w:val="uk-UA"/>
        </w:rPr>
        <w:t xml:space="preserve"> привабливості, що визначаються в науковій літературі, суттєво варіюється залежно від того, інвестиційну привабливість якої соціально-економічної системи розглядають (залежно від рівня); взаємозв’язок між соціально-економічними системами </w:t>
      </w:r>
      <w:r w:rsidR="00861DCE" w:rsidRPr="00A41B49">
        <w:rPr>
          <w:rFonts w:ascii="Times New Roman" w:hAnsi="Times New Roman" w:cs="Times New Roman"/>
          <w:sz w:val="28"/>
          <w:szCs w:val="28"/>
          <w:lang w:val="uk-UA"/>
        </w:rPr>
        <w:lastRenderedPageBreak/>
        <w:t>різних рівнів (макро</w:t>
      </w:r>
      <w:r w:rsidR="00161629" w:rsidRPr="00A41B49">
        <w:rPr>
          <w:rFonts w:ascii="Times New Roman" w:hAnsi="Times New Roman" w:cs="Times New Roman"/>
          <w:sz w:val="28"/>
          <w:szCs w:val="28"/>
          <w:lang w:val="uk-UA"/>
        </w:rPr>
        <w:t>-</w:t>
      </w:r>
      <w:r w:rsidR="00861DCE" w:rsidRPr="00A41B49">
        <w:rPr>
          <w:rFonts w:ascii="Times New Roman" w:hAnsi="Times New Roman" w:cs="Times New Roman"/>
          <w:sz w:val="28"/>
          <w:szCs w:val="28"/>
          <w:lang w:val="uk-UA"/>
        </w:rPr>
        <w:t xml:space="preserve">, мікро- та мезо-) обумовлює широке застосування рівневого підходу до визначення факторів та оцінки рівня інвестиційної привабливості. </w:t>
      </w:r>
      <w:r w:rsidRPr="00A41B49">
        <w:rPr>
          <w:rFonts w:ascii="Times New Roman" w:hAnsi="Times New Roman" w:cs="Times New Roman"/>
          <w:sz w:val="28"/>
          <w:szCs w:val="28"/>
          <w:lang w:val="uk-UA"/>
        </w:rPr>
        <w:t>Відповідно до цього підходу інвестиційна привабливість соціально-економічних систем вищого рівня агрегування впливає, а отже є детермінантом, інвестиційної привабливості соціально-економічних систем нижчого рівня агрегування і навпаки – рівень інвестиційної привабливості соціально-економічних систем нижчого рівня агрегування впливає на рівень інвестиційної привабливості соціально-економічних систем вищої рівня агрегування (інвестиційна привабливість країни формується під впливом інвестиційної привабливості її галузей, регіонів, міста, підприємства; на рівень інвестиційної привабливості галузі, регіону, міста, підприємства тощо суттєво впливає інвестиційна привабливість країни).</w:t>
      </w:r>
    </w:p>
    <w:p w14:paraId="5C7FEDE9" w14:textId="77777777" w:rsidR="00912BF6" w:rsidRPr="00A41B49" w:rsidRDefault="002613FB"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Обґрунтовано</w:t>
      </w:r>
      <w:r w:rsidR="00912BF6" w:rsidRPr="00A41B49">
        <w:rPr>
          <w:rFonts w:ascii="Times New Roman" w:hAnsi="Times New Roman" w:cs="Times New Roman"/>
          <w:sz w:val="28"/>
          <w:szCs w:val="28"/>
          <w:lang w:val="uk-UA"/>
        </w:rPr>
        <w:t>, що інвестиційну привабливість міста впливають фактори зовнішнього середовища (інвестиційна привабливість регіону, інвестиційна привабливість країни тощо) та фактори внутрішнього середовища (потенціал розвитку міста, що включає природно-ресурсний, виробничий, трудовий та інші компоненти; особливості адміністрування інвестиційного процесу в місті, зокрема наявність інвестиційної стратегії, інвестиційного паспорта, інвестиційної прозорості тощо).</w:t>
      </w:r>
    </w:p>
    <w:p w14:paraId="32D6DE29" w14:textId="77777777" w:rsidR="000F4195" w:rsidRPr="00A41B49" w:rsidRDefault="000F4195"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Визначено, що до факторів, що позитивно позначаються на рівні інвестиційної привабливості міста, сприяють нарощенню його ресурсної бази інвестицій: забезпечення підвищення взаємної відповідальності інвесторів та держави;  створення та розвиток агенцій економічного розвитку;  фокусування на залученні іноземних інвестицій для реалізації державних пріоритетних програм та проєктів, спрямованих на структурно-інноваційну перебудову економіки регіону, міста, фокусування на технічному переоснащенні, реконструкції діючих підприємств; бенчмаркінг міста;  розробка інвестиційного паспорту та/або інвестиційного веб-порталу міста, стандартних процедур роботи із інвесторами; розробка інвестиційних порталів міста з інтерактивними онлайн-картами об’єктів інвестування; облік та аналіз потенційних об’єктів інвестування, людського потенціалу, інфраструктурного та логістичного потенціалу, бізнес-структур в міста та регіоні.</w:t>
      </w:r>
    </w:p>
    <w:p w14:paraId="78158E8D" w14:textId="77777777" w:rsidR="000F4195" w:rsidRPr="00A41B49" w:rsidRDefault="00912BF6"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На основі систематизації існуючих підходів до оцінки </w:t>
      </w:r>
      <w:r w:rsidR="002613FB" w:rsidRPr="00A41B49">
        <w:rPr>
          <w:rFonts w:ascii="Times New Roman" w:hAnsi="Times New Roman" w:cs="Times New Roman"/>
          <w:sz w:val="28"/>
          <w:szCs w:val="28"/>
          <w:lang w:val="uk-UA"/>
        </w:rPr>
        <w:t>інвестиційної</w:t>
      </w:r>
      <w:r w:rsidRPr="00A41B49">
        <w:rPr>
          <w:rFonts w:ascii="Times New Roman" w:hAnsi="Times New Roman" w:cs="Times New Roman"/>
          <w:sz w:val="28"/>
          <w:szCs w:val="28"/>
          <w:lang w:val="uk-UA"/>
        </w:rPr>
        <w:t xml:space="preserve"> привабливості різнорівневих соціально-економічних систем установлено, що їх можна диференціювати за особливостями урахування факт</w:t>
      </w:r>
      <w:r w:rsidR="00F66DD8" w:rsidRPr="00A41B49">
        <w:rPr>
          <w:rFonts w:ascii="Times New Roman" w:hAnsi="Times New Roman" w:cs="Times New Roman"/>
          <w:sz w:val="28"/>
          <w:szCs w:val="28"/>
          <w:lang w:val="uk-UA"/>
        </w:rPr>
        <w:t xml:space="preserve">ору часу, способом оцінки, </w:t>
      </w:r>
      <w:r w:rsidR="002613FB" w:rsidRPr="00A41B49">
        <w:rPr>
          <w:rFonts w:ascii="Times New Roman" w:hAnsi="Times New Roman" w:cs="Times New Roman"/>
          <w:sz w:val="28"/>
          <w:szCs w:val="28"/>
          <w:lang w:val="uk-UA"/>
        </w:rPr>
        <w:t>специфікою</w:t>
      </w:r>
      <w:r w:rsidRPr="00A41B49">
        <w:rPr>
          <w:rFonts w:ascii="Times New Roman" w:hAnsi="Times New Roman" w:cs="Times New Roman"/>
          <w:sz w:val="28"/>
          <w:szCs w:val="28"/>
          <w:lang w:val="uk-UA"/>
        </w:rPr>
        <w:t xml:space="preserve"> показників, що використовуються для оцінки. Визначено, що кожен методичний підхід до оцінки інвестиційної привабливості соціально-економічних систем </w:t>
      </w:r>
      <w:r w:rsidR="0002715A" w:rsidRPr="00A41B49">
        <w:rPr>
          <w:rFonts w:ascii="Times New Roman" w:hAnsi="Times New Roman" w:cs="Times New Roman"/>
          <w:sz w:val="28"/>
          <w:szCs w:val="28"/>
          <w:lang w:val="uk-UA"/>
        </w:rPr>
        <w:t>характеризується своїми перевагами та недоліками, обмеженнями та можливостями.</w:t>
      </w:r>
    </w:p>
    <w:p w14:paraId="6E0AB83F" w14:textId="77777777" w:rsidR="00F66DD8" w:rsidRPr="00A41B49" w:rsidRDefault="0002715A"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Запропоновано авторський методичний підхід до оцінки </w:t>
      </w:r>
      <w:r w:rsidR="00F66DD8" w:rsidRPr="00A41B49">
        <w:rPr>
          <w:rFonts w:ascii="Times New Roman" w:hAnsi="Times New Roman" w:cs="Times New Roman"/>
          <w:sz w:val="28"/>
          <w:szCs w:val="28"/>
          <w:lang w:val="uk-UA"/>
        </w:rPr>
        <w:t xml:space="preserve">інвестиційної привабливості міста, що базується на рівневому підході, передбачає поєднання методу оцінки інвестиційної привабливості міста на основі динамічного аналізу фактичних обсягів залучених інвестицій та методу </w:t>
      </w:r>
      <w:r w:rsidR="00F66DD8" w:rsidRPr="00A41B49">
        <w:rPr>
          <w:rFonts w:ascii="Times New Roman" w:hAnsi="Times New Roman" w:cs="Times New Roman"/>
          <w:sz w:val="28"/>
          <w:szCs w:val="28"/>
          <w:lang w:val="uk-UA"/>
        </w:rPr>
        <w:lastRenderedPageBreak/>
        <w:t xml:space="preserve">оцінки інвестиційної привабливості на основі інтегральних показників інвестиційної привабливості. </w:t>
      </w:r>
    </w:p>
    <w:p w14:paraId="2C4B4100" w14:textId="77777777" w:rsidR="00F66DD8" w:rsidRPr="00A41B49" w:rsidRDefault="00F66DD8"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Методичний підхід, що пропонується, передбачає реалізацію наступног</w:t>
      </w:r>
      <w:r w:rsidR="002613FB" w:rsidRPr="00A41B49">
        <w:rPr>
          <w:rFonts w:ascii="Times New Roman" w:hAnsi="Times New Roman" w:cs="Times New Roman"/>
          <w:sz w:val="28"/>
          <w:szCs w:val="28"/>
          <w:lang w:val="uk-UA"/>
        </w:rPr>
        <w:t xml:space="preserve">о </w:t>
      </w:r>
      <w:r w:rsidRPr="00A41B49">
        <w:rPr>
          <w:rFonts w:ascii="Times New Roman" w:hAnsi="Times New Roman" w:cs="Times New Roman"/>
          <w:sz w:val="28"/>
          <w:szCs w:val="28"/>
          <w:lang w:val="uk-UA"/>
        </w:rPr>
        <w:t>авторського дослідницького алгоритму, що включає:</w:t>
      </w:r>
    </w:p>
    <w:p w14:paraId="5E095711" w14:textId="77777777" w:rsidR="00F66DD8" w:rsidRPr="00A41B49" w:rsidRDefault="00F66DD8" w:rsidP="00283EDD">
      <w:pPr>
        <w:tabs>
          <w:tab w:val="left" w:pos="993"/>
        </w:tabs>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1.</w:t>
      </w:r>
      <w:r w:rsidRPr="00A41B49">
        <w:rPr>
          <w:rFonts w:ascii="Times New Roman" w:hAnsi="Times New Roman" w:cs="Times New Roman"/>
          <w:sz w:val="28"/>
          <w:szCs w:val="28"/>
          <w:lang w:val="uk-UA"/>
        </w:rPr>
        <w:tab/>
        <w:t>Компаративний аналіз інвестиційної привабливості регіонів України</w:t>
      </w:r>
    </w:p>
    <w:p w14:paraId="275E1E9D" w14:textId="77777777" w:rsidR="00F66DD8" w:rsidRPr="00A41B49" w:rsidRDefault="00F66DD8" w:rsidP="00283EDD">
      <w:pPr>
        <w:tabs>
          <w:tab w:val="left" w:pos="993"/>
        </w:tabs>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2.</w:t>
      </w:r>
      <w:r w:rsidRPr="00A41B49">
        <w:rPr>
          <w:rFonts w:ascii="Times New Roman" w:hAnsi="Times New Roman" w:cs="Times New Roman"/>
          <w:sz w:val="28"/>
          <w:szCs w:val="28"/>
          <w:lang w:val="uk-UA"/>
        </w:rPr>
        <w:tab/>
        <w:t>Аналіз інвестиційної привабливості Дніпропетровської області та факторів, що її визначають.</w:t>
      </w:r>
    </w:p>
    <w:p w14:paraId="60C9350A" w14:textId="77777777" w:rsidR="00912BF6" w:rsidRPr="00A41B49" w:rsidRDefault="00F66DD8" w:rsidP="00283EDD">
      <w:pPr>
        <w:tabs>
          <w:tab w:val="left" w:pos="993"/>
        </w:tabs>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3.</w:t>
      </w:r>
      <w:r w:rsidRPr="00A41B49">
        <w:rPr>
          <w:rFonts w:ascii="Times New Roman" w:hAnsi="Times New Roman" w:cs="Times New Roman"/>
          <w:sz w:val="28"/>
          <w:szCs w:val="28"/>
          <w:lang w:val="uk-UA"/>
        </w:rPr>
        <w:tab/>
        <w:t>Аналіз інвестиційної привабливості м. Кривий Ріг.</w:t>
      </w:r>
    </w:p>
    <w:p w14:paraId="2204AFD4" w14:textId="77777777" w:rsidR="00F66DD8" w:rsidRPr="00A41B49" w:rsidRDefault="00BE74C8" w:rsidP="00283EDD">
      <w:pPr>
        <w:tabs>
          <w:tab w:val="left" w:pos="993"/>
        </w:tabs>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На основі реалізації авторського методичного підходу до </w:t>
      </w:r>
      <w:r w:rsidR="002613FB" w:rsidRPr="00A41B49">
        <w:rPr>
          <w:rFonts w:ascii="Times New Roman" w:hAnsi="Times New Roman" w:cs="Times New Roman"/>
          <w:sz w:val="28"/>
          <w:szCs w:val="28"/>
          <w:lang w:val="uk-UA"/>
        </w:rPr>
        <w:t>о</w:t>
      </w:r>
      <w:r w:rsidRPr="00A41B49">
        <w:rPr>
          <w:rFonts w:ascii="Times New Roman" w:hAnsi="Times New Roman" w:cs="Times New Roman"/>
          <w:sz w:val="28"/>
          <w:szCs w:val="28"/>
          <w:lang w:val="uk-UA"/>
        </w:rPr>
        <w:t xml:space="preserve">цінки </w:t>
      </w:r>
      <w:r w:rsidR="002613FB" w:rsidRPr="00A41B49">
        <w:rPr>
          <w:rFonts w:ascii="Times New Roman" w:hAnsi="Times New Roman" w:cs="Times New Roman"/>
          <w:sz w:val="28"/>
          <w:szCs w:val="28"/>
          <w:lang w:val="uk-UA"/>
        </w:rPr>
        <w:t>інвестиційної</w:t>
      </w:r>
      <w:r w:rsidRPr="00A41B49">
        <w:rPr>
          <w:rFonts w:ascii="Times New Roman" w:hAnsi="Times New Roman" w:cs="Times New Roman"/>
          <w:sz w:val="28"/>
          <w:szCs w:val="28"/>
          <w:lang w:val="uk-UA"/>
        </w:rPr>
        <w:t xml:space="preserve"> привабливості міста Кривий Ріг установлено, що</w:t>
      </w:r>
      <w:r w:rsidR="006717B0" w:rsidRPr="00A41B49">
        <w:rPr>
          <w:rFonts w:ascii="Times New Roman" w:hAnsi="Times New Roman" w:cs="Times New Roman"/>
          <w:sz w:val="28"/>
          <w:szCs w:val="28"/>
          <w:lang w:val="uk-UA"/>
        </w:rPr>
        <w:t xml:space="preserve"> у 2020-2022 рр.</w:t>
      </w:r>
      <w:r w:rsidRPr="00A41B49">
        <w:rPr>
          <w:rFonts w:ascii="Times New Roman" w:hAnsi="Times New Roman" w:cs="Times New Roman"/>
          <w:sz w:val="28"/>
          <w:szCs w:val="28"/>
          <w:lang w:val="uk-UA"/>
        </w:rPr>
        <w:t>:</w:t>
      </w:r>
    </w:p>
    <w:p w14:paraId="28DA20C6" w14:textId="77777777" w:rsidR="006717B0" w:rsidRPr="00A41B49" w:rsidRDefault="00905716"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О</w:t>
      </w:r>
      <w:r w:rsidR="00BE74C8" w:rsidRPr="00A41B49">
        <w:rPr>
          <w:rFonts w:ascii="Times New Roman" w:hAnsi="Times New Roman" w:cs="Times New Roman"/>
          <w:sz w:val="28"/>
          <w:szCs w:val="28"/>
          <w:lang w:val="uk-UA"/>
        </w:rPr>
        <w:t>бсяги ПІІ в економіку України зменшилися на 1104,4 млн дол, що було обумовлено погіршенням інвестиційного клімату та зниженням інвестиційної привабливості як країни в цілому, так і її регіонів внаслідок повномасштабного вторгнення росії в Україну.</w:t>
      </w:r>
    </w:p>
    <w:p w14:paraId="53280DB7" w14:textId="77777777" w:rsidR="00BE74C8" w:rsidRPr="00A41B49" w:rsidRDefault="00B903C7"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У структурі ПІІ в Україну у 2020-2022 рр. ПІІ в акціонерний капітал перевищують ПІІ в борговий капітал (в середньому співвідношення становить 69,5%/30,6%). Разом із тим, фіксується тенденція до зростання у структурі ПІІ країни частки боргового капіталу. Так, у 2020 році частка акціонерного капіталу у ПІІ України становила 72,2%, боргового -  27,8%, у 2022 р. – 66,9% та 33,1%. Таким чином, у 2020-2022 рр. частка ПІІ в акціонерний капітал в Україні скоротилася на 5,2%, частка у борговий капітал збільшилася на 5,3%. Протягом періоду, що  аналізується </w:t>
      </w:r>
      <w:r w:rsidR="006717B0" w:rsidRPr="00A41B49">
        <w:rPr>
          <w:rFonts w:ascii="Times New Roman" w:hAnsi="Times New Roman" w:cs="Times New Roman"/>
          <w:sz w:val="28"/>
          <w:szCs w:val="28"/>
          <w:lang w:val="uk-UA"/>
        </w:rPr>
        <w:t>обсяги ПІІ у вигляді акціонерного капіталу зменшилися на 3488,4 млн дол та станом на 2022 р. становили 34112 млн дол проти 37600,4 млн дол у 2020 р.; інвестиції у вигляді боргового капіталу – ПІІ (боргові інструменти) – збільшилися на 2383,7 млн дол і становили на 2022 р. – 16874,7 млн дол проти 14491 млн дол у 2020 р. Така ситуація із динамікою потоків ПІІ, нарощенням обсягів залучених ПІІ у вигляді боргового капіталу є достатньо негативною, адже ПІІ у вигляді боргового капіталу генеруються запозиченнями, призводять до зростання заборгованості, негативно позначаються на привабливості та економічній стійкості країни та її регіонів у довгостроковій перспективі.</w:t>
      </w:r>
    </w:p>
    <w:p w14:paraId="42A311C1" w14:textId="77777777" w:rsidR="00010129" w:rsidRPr="00A41B49" w:rsidRDefault="00010129"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Обсяги ПІІ суттєво збільшися у такі регіони України: Дніпропетровська область (+1882,7 млн дол), Івано-Франківська область (+641,8 млн дол). Крім того, у зазначений період також фіксувалося нарощення обсягів ПІІ в таких регіонах: Вінницька область (+187,5 млн дол), Волинська область (36,5 млн дол), Закарпатська область (+182 млн дол), Запорізька (+130,4 млн дол), Київська область (+92,9 млн дол), Кіровоградська область (+18,2 млн дол), Львівська область (+150,9 млн дол), Миколаївська область (+78,2), Тернопільська область (138,9 млн дол), Хмельницька область (+119,3 млн дол), Черкаська область (+161,1 млн дол), Чернівецька (+3,0 млн дол), Чернігівська (+111,8 млн дол).</w:t>
      </w:r>
    </w:p>
    <w:p w14:paraId="04ECDEA7" w14:textId="77777777" w:rsidR="00010129" w:rsidRPr="00A41B49" w:rsidRDefault="00010129"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Обсяги ПІІ у розрізі інструментів участі у капіталі та боргових інструментах по регіонах характеризувалися суттєвими відмінностями.</w:t>
      </w:r>
    </w:p>
    <w:p w14:paraId="0E264F5D" w14:textId="77777777" w:rsidR="00010129" w:rsidRPr="00A41B49" w:rsidRDefault="00010129"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lastRenderedPageBreak/>
        <w:t xml:space="preserve">Найбільший обсяг ПІІ у вигляді акціонерного капіталу, що не призводить до зростання заборгованості, мав місце в Дніпропетровській (6204,6 млн дол у 2022 р.), Запорізькій (1355,2 млн дол у 2022 р.), Київській (1456,8 млн дол у 2022 р.), Львіській (1693,5 млн дол), Полтавській (1658,8 млн дол у 2022 р.) областях, м. Київ (12307,9 млн дол), найменший – Тернопільській (68,4 млн дол), Чернівецькій (54,1 млн дол). </w:t>
      </w:r>
    </w:p>
    <w:p w14:paraId="6EBF5A14" w14:textId="77777777" w:rsidR="00010129" w:rsidRPr="00A41B49" w:rsidRDefault="00010129"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Найбільший обсяг ПІІ у вигляді боргового капіталу, що призводить до зростання заборгованості, мав місце в Дніпропетровській  (1450,8 млн дол у 2022 р.),  Івано-Франківській (899,6 млн дол у 2022 р.), м. Київ (12307,9 млн дол), найменший – Кіровоградській (31,8 млн дол), Чернівецькій (12,3 млн дол), Чернігівській (78,5 млн дол) областях.</w:t>
      </w:r>
    </w:p>
    <w:p w14:paraId="3DEFB36B" w14:textId="77777777" w:rsidR="00562FCF" w:rsidRPr="00A41B49" w:rsidRDefault="00562FCF"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На основі кластерного аналізу установлено (алгоритм кластеризації К-середніх), що регіони України можна розділити (на основі компаративного аналізу їх середньої частки в обсягах залучених в Україну ПІІ в 2020-2022 рр., середньої структури ПІІ, зокрема частки інструментів участі в капіталі та боргових інструментів у загальному обсязі ПІІ регіону та країни у 2020-2022 рр.) на 3 групи за успішністю залучення інвестицій: </w:t>
      </w:r>
    </w:p>
    <w:p w14:paraId="2FC2D6FB" w14:textId="77777777" w:rsidR="00562FCF" w:rsidRPr="00A41B49" w:rsidRDefault="00562FCF"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регіони-лідери (середня частка регіону у загальному обсязі залучених у країну ПІІ – 40,86%, середня частка ПІІ у вигляді інструментів участі у капіталі – 39,21%, у вигляді боргових інструментів – 44,59%) – кластер 1; </w:t>
      </w:r>
    </w:p>
    <w:p w14:paraId="60BE1D1E" w14:textId="77777777" w:rsidR="00562FCF" w:rsidRPr="00A41B49" w:rsidRDefault="00562FCF"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регіони-послідовники (середня частка регіону у загальному обсязі залучених у країну ПІІ – 13,04%, середня частка ПІІ у вигляді інструментів участі у капіталі – 15,29%, у вигляді боргових інструментів – 8,13%) – кластер 2; </w:t>
      </w:r>
    </w:p>
    <w:p w14:paraId="7870021A" w14:textId="77777777" w:rsidR="00010129" w:rsidRPr="00A41B49" w:rsidRDefault="00562FCF"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регіони-аутсайдери (середня частка регіону у загальному обсязі залучених у країну ПІІ – 1,84%, середня частка ПІІ у вигляді інструментів участі у капіталі – 1,78%, у вигляді боргових інструментів – 1,99%) – кластер 3</w:t>
      </w:r>
      <w:r w:rsidR="00190CED" w:rsidRPr="00A41B49">
        <w:rPr>
          <w:rFonts w:ascii="Times New Roman" w:hAnsi="Times New Roman" w:cs="Times New Roman"/>
          <w:sz w:val="28"/>
          <w:szCs w:val="28"/>
          <w:lang w:val="uk-UA"/>
        </w:rPr>
        <w:t>. До першого кла</w:t>
      </w:r>
      <w:r w:rsidR="00161629" w:rsidRPr="00A41B49">
        <w:rPr>
          <w:rFonts w:ascii="Times New Roman" w:hAnsi="Times New Roman" w:cs="Times New Roman"/>
          <w:sz w:val="28"/>
          <w:szCs w:val="28"/>
          <w:lang w:val="uk-UA"/>
        </w:rPr>
        <w:t>с</w:t>
      </w:r>
      <w:r w:rsidR="00190CED" w:rsidRPr="00A41B49">
        <w:rPr>
          <w:rFonts w:ascii="Times New Roman" w:hAnsi="Times New Roman" w:cs="Times New Roman"/>
          <w:sz w:val="28"/>
          <w:szCs w:val="28"/>
          <w:lang w:val="uk-UA"/>
        </w:rPr>
        <w:t xml:space="preserve">теру відноситься м. Київ, до другого </w:t>
      </w:r>
      <w:r w:rsidR="00A95D02" w:rsidRPr="00A41B49">
        <w:rPr>
          <w:rFonts w:ascii="Times New Roman" w:hAnsi="Times New Roman" w:cs="Times New Roman"/>
          <w:sz w:val="28"/>
          <w:szCs w:val="28"/>
          <w:lang w:val="uk-UA"/>
        </w:rPr>
        <w:t>–</w:t>
      </w:r>
      <w:r w:rsidR="00190CED" w:rsidRPr="00A41B49">
        <w:rPr>
          <w:rFonts w:ascii="Times New Roman" w:hAnsi="Times New Roman" w:cs="Times New Roman"/>
          <w:sz w:val="28"/>
          <w:szCs w:val="28"/>
          <w:lang w:val="uk-UA"/>
        </w:rPr>
        <w:t xml:space="preserve"> </w:t>
      </w:r>
      <w:r w:rsidR="00A95D02" w:rsidRPr="00A41B49">
        <w:rPr>
          <w:rFonts w:ascii="Times New Roman" w:hAnsi="Times New Roman" w:cs="Times New Roman"/>
          <w:sz w:val="28"/>
          <w:szCs w:val="28"/>
          <w:lang w:val="uk-UA"/>
        </w:rPr>
        <w:t>Дніпропетровська область, третього - Вінницька, Волинська, Житомирська, Закарпатська, Запорізька, Івано-Франківська, Київська, Кіровоградська, Львівська, Миколаївська, Одеська, Полтавська, Рівненська, Сумська, Тернопільська, Харківська, Хмельницька, Черкаська, Чернівецька, Чернігівська області.</w:t>
      </w:r>
    </w:p>
    <w:p w14:paraId="7C0DA976" w14:textId="77777777" w:rsidR="00190AF3" w:rsidRPr="00A41B49" w:rsidRDefault="000C1F53"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Установлено, що Дніпропетровська область попри війну, той факт, що 10 громад області (10 із 86 територіальних громад) постійно перебувають під обстрілами з боку росії, залишається привабливим для інвесторів регіоном, що обумовленої цілою низкою факторів, зокрема вигідним її розташуванням, динамічним соціально-економічним розвитком, значним потенціалом</w:t>
      </w:r>
      <w:r w:rsidR="006241F4" w:rsidRPr="00A41B49">
        <w:rPr>
          <w:rFonts w:ascii="Times New Roman" w:hAnsi="Times New Roman" w:cs="Times New Roman"/>
          <w:sz w:val="28"/>
          <w:szCs w:val="28"/>
          <w:lang w:val="uk-UA"/>
        </w:rPr>
        <w:t>.</w:t>
      </w:r>
    </w:p>
    <w:p w14:paraId="332B0430" w14:textId="77777777" w:rsidR="006241F4" w:rsidRPr="00A41B49" w:rsidRDefault="006241F4"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Визначено, що у 2020-2022 рр. найбільш привабливим для інвесторів галузями економіки Дніпропетровської області економіки  є:  промисловість (в середньому 72,6 % від загального обсягу ПІІ регіону), оптова та роздрібна торгівля; ремонт автотранспортних засобів і мотоциклів (в середньому 13,6 % від загального обсягу ПІІ регіону), найменш привабливими - охорона здоров'я та надання соціальної допомоги (в середньому 0,1 % від загального обсягу ПІІ регіону), будівництво (в середньому 0,1 % від загального обсягу ПІІ регіону), тимчасове розміщування й організація харчування (дуже </w:t>
      </w:r>
      <w:r w:rsidRPr="00A41B49">
        <w:rPr>
          <w:rFonts w:ascii="Times New Roman" w:hAnsi="Times New Roman" w:cs="Times New Roman"/>
          <w:sz w:val="28"/>
          <w:szCs w:val="28"/>
          <w:lang w:val="uk-UA"/>
        </w:rPr>
        <w:lastRenderedPageBreak/>
        <w:t>незначна частка), інформація та телекомунікації (в середньому 0,2 % від загального обсягу ПІІ регіону)</w:t>
      </w:r>
      <w:r w:rsidR="00190AF3" w:rsidRPr="00A41B49">
        <w:rPr>
          <w:rFonts w:ascii="Times New Roman" w:hAnsi="Times New Roman" w:cs="Times New Roman"/>
          <w:sz w:val="28"/>
          <w:szCs w:val="28"/>
          <w:lang w:val="uk-UA"/>
        </w:rPr>
        <w:t>.</w:t>
      </w:r>
    </w:p>
    <w:p w14:paraId="144C63B5" w14:textId="77777777" w:rsidR="00190AF3" w:rsidRPr="00A41B49" w:rsidRDefault="002613FB"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Обґрунтовано</w:t>
      </w:r>
      <w:r w:rsidR="00190AF3" w:rsidRPr="00A41B49">
        <w:rPr>
          <w:rFonts w:ascii="Times New Roman" w:hAnsi="Times New Roman" w:cs="Times New Roman"/>
          <w:sz w:val="28"/>
          <w:szCs w:val="28"/>
          <w:lang w:val="uk-UA"/>
        </w:rPr>
        <w:t>, що ПІІ в промисловості здебільшого сфокусовані у галузі добувної промисловості і розроблення кар'єрів (в середньому 43,5 % від загального обсягу ПІІ регіону), переробній промисловості (в середньому 26,6 % від загального обсягу ПІІ регіону).</w:t>
      </w:r>
    </w:p>
    <w:p w14:paraId="5199C80E" w14:textId="77777777" w:rsidR="00EE36AF" w:rsidRPr="00A41B49" w:rsidRDefault="00EE36AF"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Географічна структура ПІІ Дніпропетровської області є достатньої диверсифікованою – інвестиції в Дніпропетровську область надходять із 6</w:t>
      </w:r>
      <w:r w:rsidR="00DC3DBA" w:rsidRPr="00A41B49">
        <w:rPr>
          <w:rFonts w:ascii="Times New Roman" w:hAnsi="Times New Roman" w:cs="Times New Roman"/>
          <w:sz w:val="28"/>
          <w:szCs w:val="28"/>
          <w:lang w:val="uk-UA"/>
        </w:rPr>
        <w:t>1 країни світу, зокрема Кіпру, Туреччин</w:t>
      </w:r>
      <w:r w:rsidR="00686F30" w:rsidRPr="00A41B49">
        <w:rPr>
          <w:rFonts w:ascii="Times New Roman" w:hAnsi="Times New Roman" w:cs="Times New Roman"/>
          <w:sz w:val="28"/>
          <w:szCs w:val="28"/>
          <w:lang w:val="uk-UA"/>
        </w:rPr>
        <w:t>и</w:t>
      </w:r>
      <w:r w:rsidR="00DC3DBA" w:rsidRPr="00A41B49">
        <w:rPr>
          <w:rFonts w:ascii="Times New Roman" w:hAnsi="Times New Roman" w:cs="Times New Roman"/>
          <w:sz w:val="28"/>
          <w:szCs w:val="28"/>
          <w:lang w:val="uk-UA"/>
        </w:rPr>
        <w:t>, Німеччини, Нідерландів та Велик</w:t>
      </w:r>
      <w:r w:rsidR="00686F30" w:rsidRPr="00A41B49">
        <w:rPr>
          <w:rFonts w:ascii="Times New Roman" w:hAnsi="Times New Roman" w:cs="Times New Roman"/>
          <w:sz w:val="28"/>
          <w:szCs w:val="28"/>
          <w:lang w:val="uk-UA"/>
        </w:rPr>
        <w:t>ої</w:t>
      </w:r>
      <w:r w:rsidR="00DC3DBA" w:rsidRPr="00A41B49">
        <w:rPr>
          <w:rFonts w:ascii="Times New Roman" w:hAnsi="Times New Roman" w:cs="Times New Roman"/>
          <w:sz w:val="28"/>
          <w:szCs w:val="28"/>
          <w:lang w:val="uk-UA"/>
        </w:rPr>
        <w:t xml:space="preserve"> Британі</w:t>
      </w:r>
      <w:r w:rsidR="00686F30" w:rsidRPr="00A41B49">
        <w:rPr>
          <w:rFonts w:ascii="Times New Roman" w:hAnsi="Times New Roman" w:cs="Times New Roman"/>
          <w:sz w:val="28"/>
          <w:szCs w:val="28"/>
          <w:lang w:val="uk-UA"/>
        </w:rPr>
        <w:t>ї, Ізраїлю, Чехії та Австрії.</w:t>
      </w:r>
    </w:p>
    <w:p w14:paraId="139CAEDC" w14:textId="77777777" w:rsidR="002613FB" w:rsidRPr="00A41B49" w:rsidRDefault="00686F30"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Установлено, що левова частка прямих іноземних інвестицій Дніпропетровського регіону визначається інвестиційною привабливість і, як наслідок, обсягами інвестицій м. Кривий Ріг - у структурі ПІІ Дніпропетровської області більше 35% припадає на ПІІ м. Кривий Ріг, що  обумовлено </w:t>
      </w:r>
      <w:r w:rsidR="003A7DF0" w:rsidRPr="00A41B49">
        <w:rPr>
          <w:rFonts w:ascii="Times New Roman" w:hAnsi="Times New Roman" w:cs="Times New Roman"/>
          <w:sz w:val="28"/>
          <w:szCs w:val="28"/>
          <w:lang w:val="uk-UA"/>
        </w:rPr>
        <w:t>вигідним географічним розташуванням міста, його значним потенціалом розвитку</w:t>
      </w:r>
      <w:r w:rsidR="005E7C96" w:rsidRPr="00A41B49">
        <w:rPr>
          <w:rFonts w:ascii="Times New Roman" w:hAnsi="Times New Roman" w:cs="Times New Roman"/>
          <w:sz w:val="28"/>
          <w:szCs w:val="28"/>
          <w:lang w:val="uk-UA"/>
        </w:rPr>
        <w:t>, розвиненим промисловим комплексом тощо.</w:t>
      </w:r>
    </w:p>
    <w:p w14:paraId="7CECE55E" w14:textId="77777777" w:rsidR="00C441F7" w:rsidRPr="00A41B49" w:rsidRDefault="002613FB"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Визначено</w:t>
      </w:r>
      <w:r w:rsidR="00D64110" w:rsidRPr="00A41B49">
        <w:rPr>
          <w:rFonts w:ascii="Times New Roman" w:hAnsi="Times New Roman" w:cs="Times New Roman"/>
          <w:sz w:val="28"/>
          <w:szCs w:val="28"/>
          <w:lang w:val="uk-UA"/>
        </w:rPr>
        <w:t>, що на території м. Кривий Ріг функц</w:t>
      </w:r>
      <w:r w:rsidR="00C441F7" w:rsidRPr="00A41B49">
        <w:rPr>
          <w:rFonts w:ascii="Times New Roman" w:hAnsi="Times New Roman" w:cs="Times New Roman"/>
          <w:sz w:val="28"/>
          <w:szCs w:val="28"/>
          <w:lang w:val="uk-UA"/>
        </w:rPr>
        <w:t>іонує понад 36 тис підприємств</w:t>
      </w:r>
      <w:r w:rsidR="00D64110" w:rsidRPr="00A41B49">
        <w:rPr>
          <w:rFonts w:ascii="Times New Roman" w:hAnsi="Times New Roman" w:cs="Times New Roman"/>
          <w:sz w:val="28"/>
          <w:szCs w:val="28"/>
          <w:lang w:val="uk-UA"/>
        </w:rPr>
        <w:t>, зокрема 137 промислових підприємств різних галузей промисловості, серед яких такі промислові гіганти, як ПАТ «ArcelorMittal Kryviy Rih», підприємства групи Метінвест, зокрема ПАТ «ПІВДЕННИЙ ГІРНИЧО-ЗБАГАЧУВАЛЬНИЙ КОМБІНАТ», ПрАТ «ПІВНІЧНИЙ ГІРНИЧО-ЗБАГАЧУВАЛЬНИЙ КОМБІНАТ», ПАТ «ЦЕНТРАЛЬНИЙ ПІВДЕННИЙ ГІРНИЧО-ЗБАГАЧУВАЛЬНИЙ КОМБІНАТ», ПАТ «ІНГУЛЕЦЬКИЙ ГІРНИЧО-ЗБАГАЧУВАЛЬНИЙ КОМБІНАТ», ПАТ «Криворіз</w:t>
      </w:r>
      <w:r w:rsidR="00161629" w:rsidRPr="00A41B49">
        <w:rPr>
          <w:rFonts w:ascii="Times New Roman" w:hAnsi="Times New Roman" w:cs="Times New Roman"/>
          <w:sz w:val="28"/>
          <w:szCs w:val="28"/>
          <w:lang w:val="uk-UA"/>
        </w:rPr>
        <w:t>ь</w:t>
      </w:r>
      <w:r w:rsidR="00D64110" w:rsidRPr="00A41B49">
        <w:rPr>
          <w:rFonts w:ascii="Times New Roman" w:hAnsi="Times New Roman" w:cs="Times New Roman"/>
          <w:sz w:val="28"/>
          <w:szCs w:val="28"/>
          <w:lang w:val="uk-UA"/>
        </w:rPr>
        <w:t>кий залізорудний комбінат", ПрАТ «Суха Балка» тощо.</w:t>
      </w:r>
    </w:p>
    <w:p w14:paraId="272830E0" w14:textId="77777777" w:rsidR="009612E6" w:rsidRPr="00A41B49" w:rsidRDefault="00FA48A4"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Визначено, що протягом 2017</w:t>
      </w:r>
      <w:r w:rsidR="00C441F7" w:rsidRPr="00A41B49">
        <w:rPr>
          <w:rFonts w:ascii="Times New Roman" w:hAnsi="Times New Roman" w:cs="Times New Roman"/>
          <w:sz w:val="28"/>
          <w:szCs w:val="28"/>
          <w:lang w:val="uk-UA"/>
        </w:rPr>
        <w:t>-2022 рр. місто здійснювало цілеспрямовану та активну роботу у напрямку підвищення інвестиційної привабливості, характеризувалося високими показниками прозорості та підзвітності</w:t>
      </w:r>
      <w:r w:rsidRPr="00A41B49">
        <w:rPr>
          <w:rFonts w:ascii="Times New Roman" w:hAnsi="Times New Roman" w:cs="Times New Roman"/>
          <w:sz w:val="28"/>
          <w:szCs w:val="28"/>
          <w:lang w:val="uk-UA"/>
        </w:rPr>
        <w:t xml:space="preserve"> - стабільно посідало позиції у першій 50-ці міст України за відповідними показниками з-поміж 100 міст України. Така активність дозволила м. Кривий Ріг </w:t>
      </w:r>
      <w:r w:rsidR="009612E6" w:rsidRPr="00A41B49">
        <w:rPr>
          <w:rFonts w:ascii="Times New Roman" w:hAnsi="Times New Roman" w:cs="Times New Roman"/>
          <w:sz w:val="28"/>
          <w:szCs w:val="28"/>
          <w:lang w:val="uk-UA"/>
        </w:rPr>
        <w:t xml:space="preserve">у 2020 році залучити </w:t>
      </w:r>
      <w:r w:rsidRPr="00A41B49">
        <w:rPr>
          <w:rFonts w:ascii="Times New Roman" w:hAnsi="Times New Roman" w:cs="Times New Roman"/>
          <w:sz w:val="28"/>
          <w:szCs w:val="28"/>
          <w:lang w:val="uk-UA"/>
        </w:rPr>
        <w:t xml:space="preserve">в економіку міста </w:t>
      </w:r>
      <w:r w:rsidR="009612E6" w:rsidRPr="00A41B49">
        <w:rPr>
          <w:rFonts w:ascii="Times New Roman" w:hAnsi="Times New Roman" w:cs="Times New Roman"/>
          <w:sz w:val="28"/>
          <w:szCs w:val="28"/>
          <w:lang w:val="uk-UA"/>
        </w:rPr>
        <w:t xml:space="preserve">ПІІ у розмірі </w:t>
      </w:r>
      <w:r w:rsidR="00402586" w:rsidRPr="00A41B49">
        <w:rPr>
          <w:rFonts w:ascii="Times New Roman" w:hAnsi="Times New Roman" w:cs="Times New Roman"/>
          <w:sz w:val="28"/>
          <w:szCs w:val="28"/>
          <w:lang w:val="uk-UA"/>
        </w:rPr>
        <w:t xml:space="preserve">1 912,9 млн дол; забезпечити розбудову </w:t>
      </w:r>
      <w:r w:rsidR="000A01B8" w:rsidRPr="00A41B49">
        <w:rPr>
          <w:rFonts w:ascii="Times New Roman" w:hAnsi="Times New Roman" w:cs="Times New Roman"/>
          <w:sz w:val="28"/>
          <w:szCs w:val="28"/>
          <w:lang w:val="uk-UA"/>
        </w:rPr>
        <w:t>географічної структури ПІІ (</w:t>
      </w:r>
      <w:r w:rsidR="009612E6" w:rsidRPr="00A41B49">
        <w:rPr>
          <w:rFonts w:ascii="Times New Roman" w:hAnsi="Times New Roman" w:cs="Times New Roman"/>
          <w:sz w:val="28"/>
          <w:szCs w:val="28"/>
          <w:lang w:val="uk-UA"/>
        </w:rPr>
        <w:t>основними донорами іноземних інвестицій м. Кривий Ріг були такі країни, як Німеччина, Франція, Туреччина, Данії, Іспанії, США, Польща, Грузія тощо</w:t>
      </w:r>
      <w:r w:rsidR="00B93CFF" w:rsidRPr="00A41B49">
        <w:rPr>
          <w:rFonts w:ascii="Times New Roman" w:hAnsi="Times New Roman" w:cs="Times New Roman"/>
          <w:sz w:val="28"/>
          <w:szCs w:val="28"/>
          <w:lang w:val="uk-UA"/>
        </w:rPr>
        <w:t xml:space="preserve">); отримати та утримувати до початку </w:t>
      </w:r>
      <w:r w:rsidR="00480358" w:rsidRPr="00A41B49">
        <w:rPr>
          <w:rFonts w:ascii="Times New Roman" w:hAnsi="Times New Roman" w:cs="Times New Roman"/>
          <w:sz w:val="28"/>
          <w:szCs w:val="28"/>
          <w:lang w:val="uk-UA"/>
        </w:rPr>
        <w:t>повномасштабного</w:t>
      </w:r>
      <w:r w:rsidR="00B93CFF" w:rsidRPr="00A41B49">
        <w:rPr>
          <w:rFonts w:ascii="Times New Roman" w:hAnsi="Times New Roman" w:cs="Times New Roman"/>
          <w:sz w:val="28"/>
          <w:szCs w:val="28"/>
          <w:lang w:val="uk-UA"/>
        </w:rPr>
        <w:t xml:space="preserve"> вторгнення Росії в Україну </w:t>
      </w:r>
      <w:r w:rsidR="002976E5" w:rsidRPr="00A41B49">
        <w:rPr>
          <w:rFonts w:ascii="Times New Roman" w:hAnsi="Times New Roman" w:cs="Times New Roman"/>
          <w:sz w:val="28"/>
          <w:szCs w:val="28"/>
          <w:lang w:val="uk-UA"/>
        </w:rPr>
        <w:t>кредитний рейтинг від міжнародного рейтингового агентства Fitch на рівні «B» з прогнозом «Стабільний».</w:t>
      </w:r>
    </w:p>
    <w:p w14:paraId="4BE7C03D" w14:textId="77777777" w:rsidR="000A01B8" w:rsidRPr="00A41B49" w:rsidRDefault="000D5EA2"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Установлено, що н</w:t>
      </w:r>
      <w:r w:rsidR="00480358" w:rsidRPr="00A41B49">
        <w:rPr>
          <w:rFonts w:ascii="Times New Roman" w:hAnsi="Times New Roman" w:cs="Times New Roman"/>
          <w:sz w:val="28"/>
          <w:szCs w:val="28"/>
          <w:lang w:val="uk-UA"/>
        </w:rPr>
        <w:t>езважаючи на суттєві здобутки м. Кривий Ріг у 2017-2021 рр. у напрямку розбудови інвестиційної привабливості міста, у 2022 році війна внесла суттєві негативні корективи у інвестиційну діяльність міста та рівень йо</w:t>
      </w:r>
      <w:r w:rsidRPr="00A41B49">
        <w:rPr>
          <w:rFonts w:ascii="Times New Roman" w:hAnsi="Times New Roman" w:cs="Times New Roman"/>
          <w:sz w:val="28"/>
          <w:szCs w:val="28"/>
          <w:lang w:val="uk-UA"/>
        </w:rPr>
        <w:t xml:space="preserve">го інвестиційної привабливості - </w:t>
      </w:r>
      <w:r w:rsidR="00480358" w:rsidRPr="00A41B49">
        <w:rPr>
          <w:rFonts w:ascii="Times New Roman" w:hAnsi="Times New Roman" w:cs="Times New Roman"/>
          <w:sz w:val="28"/>
          <w:szCs w:val="28"/>
          <w:lang w:val="uk-UA"/>
        </w:rPr>
        <w:t>починаючи із 2022 ро</w:t>
      </w:r>
      <w:r w:rsidRPr="00A41B49">
        <w:rPr>
          <w:rFonts w:ascii="Times New Roman" w:hAnsi="Times New Roman" w:cs="Times New Roman"/>
          <w:sz w:val="28"/>
          <w:szCs w:val="28"/>
          <w:lang w:val="uk-UA"/>
        </w:rPr>
        <w:t xml:space="preserve">ку </w:t>
      </w:r>
      <w:r w:rsidR="00480358" w:rsidRPr="00A41B49">
        <w:rPr>
          <w:rFonts w:ascii="Times New Roman" w:hAnsi="Times New Roman" w:cs="Times New Roman"/>
          <w:sz w:val="28"/>
          <w:szCs w:val="28"/>
          <w:lang w:val="uk-UA"/>
        </w:rPr>
        <w:t xml:space="preserve">міжнародне рейтингове агентства Fitch суттєво знизило оцінку кредитоспроможності м. Кривий Ріг до рівня «СС» (довгостроковий рейтинг дефолту емітенту в іноземній валюті), до рівня «ССС-» (довгостроковий рейтинг дефолта емітента в національній валюті), до рівня «С» </w:t>
      </w:r>
      <w:r w:rsidR="00480358" w:rsidRPr="00A41B49">
        <w:rPr>
          <w:rFonts w:ascii="Times New Roman" w:hAnsi="Times New Roman" w:cs="Times New Roman"/>
          <w:sz w:val="28"/>
          <w:szCs w:val="28"/>
          <w:lang w:val="uk-UA"/>
        </w:rPr>
        <w:lastRenderedPageBreak/>
        <w:t>(короткостроковий р</w:t>
      </w:r>
      <w:r w:rsidR="00161629" w:rsidRPr="00A41B49">
        <w:rPr>
          <w:rFonts w:ascii="Times New Roman" w:hAnsi="Times New Roman" w:cs="Times New Roman"/>
          <w:sz w:val="28"/>
          <w:szCs w:val="28"/>
          <w:lang w:val="uk-UA"/>
        </w:rPr>
        <w:t>е</w:t>
      </w:r>
      <w:r w:rsidR="00480358" w:rsidRPr="00A41B49">
        <w:rPr>
          <w:rFonts w:ascii="Times New Roman" w:hAnsi="Times New Roman" w:cs="Times New Roman"/>
          <w:sz w:val="28"/>
          <w:szCs w:val="28"/>
          <w:lang w:val="uk-UA"/>
        </w:rPr>
        <w:t>йтинг дефолту емітенту). Станом на 2023 рік оцінка кредитоспроможності м. Кривий Ріг Fitch не змінилася - міжнародне рейтингове агентства Fitch оцінює кредитоспроможність м. Кривий Ріг як дуже низьку, для якої характерний високий ризик дефолту</w:t>
      </w:r>
      <w:r w:rsidR="001B48DB" w:rsidRPr="00A41B49">
        <w:rPr>
          <w:rFonts w:ascii="Times New Roman" w:hAnsi="Times New Roman" w:cs="Times New Roman"/>
          <w:sz w:val="28"/>
          <w:szCs w:val="28"/>
          <w:lang w:val="uk-UA"/>
        </w:rPr>
        <w:t>.</w:t>
      </w:r>
    </w:p>
    <w:p w14:paraId="14C6CD36" w14:textId="77777777" w:rsidR="00874F4C" w:rsidRPr="00A41B49" w:rsidRDefault="00895073"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Беручи до </w:t>
      </w:r>
      <w:r w:rsidR="0037799E" w:rsidRPr="00A41B49">
        <w:rPr>
          <w:rFonts w:ascii="Times New Roman" w:hAnsi="Times New Roman" w:cs="Times New Roman"/>
          <w:sz w:val="28"/>
          <w:szCs w:val="28"/>
          <w:lang w:val="uk-UA"/>
        </w:rPr>
        <w:t xml:space="preserve">уваги все </w:t>
      </w:r>
      <w:r w:rsidR="00AD2BA5" w:rsidRPr="00A41B49">
        <w:rPr>
          <w:rFonts w:ascii="Times New Roman" w:hAnsi="Times New Roman" w:cs="Times New Roman"/>
          <w:sz w:val="28"/>
          <w:szCs w:val="28"/>
          <w:lang w:val="uk-UA"/>
        </w:rPr>
        <w:t>зазначене</w:t>
      </w:r>
      <w:r w:rsidR="0037799E" w:rsidRPr="00A41B49">
        <w:rPr>
          <w:rFonts w:ascii="Times New Roman" w:hAnsi="Times New Roman" w:cs="Times New Roman"/>
          <w:sz w:val="28"/>
          <w:szCs w:val="28"/>
          <w:lang w:val="uk-UA"/>
        </w:rPr>
        <w:t xml:space="preserve"> вище на сучасному етапі м. Кривий Ріг </w:t>
      </w:r>
      <w:r w:rsidRPr="00A41B49">
        <w:rPr>
          <w:rFonts w:ascii="Times New Roman" w:hAnsi="Times New Roman" w:cs="Times New Roman"/>
          <w:sz w:val="28"/>
          <w:szCs w:val="28"/>
          <w:lang w:val="uk-UA"/>
        </w:rPr>
        <w:t>потребує нових підходів до забезпечення та підвищення інвестиційної привабливості міста, залучення в економіку міста інвестицій</w:t>
      </w:r>
      <w:r w:rsidR="0037799E" w:rsidRPr="00A41B49">
        <w:rPr>
          <w:rFonts w:ascii="Times New Roman" w:hAnsi="Times New Roman" w:cs="Times New Roman"/>
          <w:sz w:val="28"/>
          <w:szCs w:val="28"/>
          <w:lang w:val="uk-UA"/>
        </w:rPr>
        <w:t>.</w:t>
      </w:r>
    </w:p>
    <w:p w14:paraId="29BB5D6C" w14:textId="77777777" w:rsidR="00657168" w:rsidRPr="00A41B49" w:rsidRDefault="00657168"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Першим завданням у напрямку забезпечення досягнення зазначеної мети</w:t>
      </w:r>
      <w:r w:rsidR="000D1AE1" w:rsidRPr="00A41B49">
        <w:rPr>
          <w:rFonts w:ascii="Times New Roman" w:hAnsi="Times New Roman" w:cs="Times New Roman"/>
          <w:sz w:val="28"/>
          <w:szCs w:val="28"/>
          <w:lang w:val="uk-UA"/>
        </w:rPr>
        <w:t xml:space="preserve"> є розбуд</w:t>
      </w:r>
      <w:r w:rsidRPr="00A41B49">
        <w:rPr>
          <w:rFonts w:ascii="Times New Roman" w:hAnsi="Times New Roman" w:cs="Times New Roman"/>
          <w:sz w:val="28"/>
          <w:szCs w:val="28"/>
          <w:lang w:val="uk-UA"/>
        </w:rPr>
        <w:t>ова відповідної стратегії (</w:t>
      </w:r>
      <w:r w:rsidR="00123C16" w:rsidRPr="00A41B49">
        <w:rPr>
          <w:rFonts w:ascii="Times New Roman" w:hAnsi="Times New Roman" w:cs="Times New Roman"/>
          <w:sz w:val="28"/>
          <w:szCs w:val="28"/>
          <w:lang w:val="uk-UA"/>
        </w:rPr>
        <w:t>с</w:t>
      </w:r>
      <w:r w:rsidR="00E03A2D" w:rsidRPr="00A41B49">
        <w:rPr>
          <w:rFonts w:ascii="Times New Roman" w:hAnsi="Times New Roman" w:cs="Times New Roman"/>
          <w:sz w:val="28"/>
          <w:szCs w:val="28"/>
          <w:lang w:val="uk-UA"/>
        </w:rPr>
        <w:t>тратегії забезпечення та підвищення інвестиційної привабливості міста</w:t>
      </w:r>
      <w:r w:rsidR="00123C16" w:rsidRPr="00A41B49">
        <w:rPr>
          <w:rFonts w:ascii="Times New Roman" w:hAnsi="Times New Roman" w:cs="Times New Roman"/>
          <w:sz w:val="28"/>
          <w:szCs w:val="28"/>
          <w:lang w:val="uk-UA"/>
        </w:rPr>
        <w:t xml:space="preserve"> та загальної стратегії розвитку та відновлення міста в умовах війни, які мають характеризуватися узгодженістю та взаємопосиленням</w:t>
      </w:r>
      <w:r w:rsidRPr="00A41B49">
        <w:rPr>
          <w:rFonts w:ascii="Times New Roman" w:hAnsi="Times New Roman" w:cs="Times New Roman"/>
          <w:sz w:val="28"/>
          <w:szCs w:val="28"/>
          <w:lang w:val="uk-UA"/>
        </w:rPr>
        <w:t>).</w:t>
      </w:r>
    </w:p>
    <w:p w14:paraId="13FBB2AE" w14:textId="77777777" w:rsidR="00420C02" w:rsidRPr="00A41B49" w:rsidRDefault="00A9603E"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Розбудова нової стратегії</w:t>
      </w:r>
      <w:r w:rsidR="002E5E50" w:rsidRPr="00A41B49">
        <w:rPr>
          <w:rFonts w:ascii="Times New Roman" w:hAnsi="Times New Roman" w:cs="Times New Roman"/>
          <w:sz w:val="28"/>
          <w:szCs w:val="28"/>
          <w:lang w:val="uk-UA"/>
        </w:rPr>
        <w:t>/програми</w:t>
      </w:r>
      <w:r w:rsidRPr="00A41B49">
        <w:rPr>
          <w:rFonts w:ascii="Times New Roman" w:hAnsi="Times New Roman" w:cs="Times New Roman"/>
          <w:sz w:val="28"/>
          <w:szCs w:val="28"/>
          <w:lang w:val="uk-UA"/>
        </w:rPr>
        <w:t xml:space="preserve"> забезпечення та підвищення інвестиційної привабливості міста Кривий Ріг</w:t>
      </w:r>
      <w:r w:rsidR="00045DD6" w:rsidRPr="00A41B49">
        <w:rPr>
          <w:rFonts w:ascii="Times New Roman" w:hAnsi="Times New Roman" w:cs="Times New Roman"/>
          <w:sz w:val="28"/>
          <w:szCs w:val="28"/>
          <w:lang w:val="uk-UA"/>
        </w:rPr>
        <w:t xml:space="preserve"> на сучасному етапі розвитку має відбуватися</w:t>
      </w:r>
      <w:r w:rsidR="00420C02" w:rsidRPr="00A41B49">
        <w:rPr>
          <w:rFonts w:ascii="Times New Roman" w:hAnsi="Times New Roman" w:cs="Times New Roman"/>
          <w:sz w:val="28"/>
          <w:szCs w:val="28"/>
          <w:lang w:val="uk-UA"/>
        </w:rPr>
        <w:t xml:space="preserve"> на основі:</w:t>
      </w:r>
    </w:p>
    <w:p w14:paraId="3A028AC3" w14:textId="77777777" w:rsidR="00420C02" w:rsidRPr="00A41B49" w:rsidRDefault="00045DD6"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результатів </w:t>
      </w:r>
      <w:r w:rsidR="00420C02" w:rsidRPr="00A41B49">
        <w:rPr>
          <w:rFonts w:ascii="Times New Roman" w:hAnsi="Times New Roman" w:cs="Times New Roman"/>
          <w:sz w:val="28"/>
          <w:szCs w:val="28"/>
          <w:lang w:val="uk-UA"/>
        </w:rPr>
        <w:t>аналізу внутрішнього та зовнішнього середовища розвитку міста;</w:t>
      </w:r>
    </w:p>
    <w:p w14:paraId="0E92349B" w14:textId="77777777" w:rsidR="00BB0325" w:rsidRPr="00A41B49" w:rsidRDefault="00045DD6"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стратегічного бенчмаркінгу та передбачати</w:t>
      </w:r>
      <w:r w:rsidR="00AF7592" w:rsidRPr="00A41B49">
        <w:rPr>
          <w:rFonts w:ascii="Times New Roman" w:hAnsi="Times New Roman" w:cs="Times New Roman"/>
          <w:sz w:val="28"/>
          <w:szCs w:val="28"/>
          <w:lang w:val="uk-UA"/>
        </w:rPr>
        <w:t>,</w:t>
      </w:r>
      <w:r w:rsidRPr="00A41B49">
        <w:rPr>
          <w:rFonts w:ascii="Times New Roman" w:hAnsi="Times New Roman" w:cs="Times New Roman"/>
          <w:sz w:val="28"/>
          <w:szCs w:val="28"/>
          <w:lang w:val="uk-UA"/>
        </w:rPr>
        <w:t xml:space="preserve"> в першу чергу</w:t>
      </w:r>
      <w:r w:rsidR="008A5E89" w:rsidRPr="00A41B49">
        <w:rPr>
          <w:rFonts w:ascii="Times New Roman" w:hAnsi="Times New Roman" w:cs="Times New Roman"/>
          <w:sz w:val="28"/>
          <w:szCs w:val="28"/>
          <w:lang w:val="uk-UA"/>
        </w:rPr>
        <w:t>,</w:t>
      </w:r>
      <w:r w:rsidRPr="00A41B49">
        <w:rPr>
          <w:rFonts w:ascii="Times New Roman" w:hAnsi="Times New Roman" w:cs="Times New Roman"/>
          <w:sz w:val="28"/>
          <w:szCs w:val="28"/>
          <w:lang w:val="uk-UA"/>
        </w:rPr>
        <w:t xml:space="preserve"> підвищення прозорості та підзвітності міста</w:t>
      </w:r>
      <w:r w:rsidR="00B40520" w:rsidRPr="00A41B49">
        <w:rPr>
          <w:rFonts w:ascii="Times New Roman" w:hAnsi="Times New Roman" w:cs="Times New Roman"/>
          <w:sz w:val="28"/>
          <w:szCs w:val="28"/>
          <w:lang w:val="uk-UA"/>
        </w:rPr>
        <w:t xml:space="preserve">, адже широке інформування усіх зацікавлених осіб про напрями економічного розвитку, в тому числі </w:t>
      </w:r>
      <w:r w:rsidR="00207DD4" w:rsidRPr="00A41B49">
        <w:rPr>
          <w:rFonts w:ascii="Times New Roman" w:hAnsi="Times New Roman" w:cs="Times New Roman"/>
          <w:sz w:val="28"/>
          <w:szCs w:val="28"/>
          <w:lang w:val="uk-UA"/>
        </w:rPr>
        <w:t>інвестиційної</w:t>
      </w:r>
      <w:r w:rsidR="00B40520" w:rsidRPr="00A41B49">
        <w:rPr>
          <w:rFonts w:ascii="Times New Roman" w:hAnsi="Times New Roman" w:cs="Times New Roman"/>
          <w:sz w:val="28"/>
          <w:szCs w:val="28"/>
          <w:lang w:val="uk-UA"/>
        </w:rPr>
        <w:t xml:space="preserve"> діяльності, їх потенційний влив на особливості розвитку громад</w:t>
      </w:r>
      <w:r w:rsidR="00207DD4" w:rsidRPr="00A41B49">
        <w:rPr>
          <w:rFonts w:ascii="Times New Roman" w:hAnsi="Times New Roman" w:cs="Times New Roman"/>
          <w:sz w:val="28"/>
          <w:szCs w:val="28"/>
          <w:lang w:val="uk-UA"/>
        </w:rPr>
        <w:t>и</w:t>
      </w:r>
      <w:r w:rsidR="00B40520" w:rsidRPr="00A41B49">
        <w:rPr>
          <w:rFonts w:ascii="Times New Roman" w:hAnsi="Times New Roman" w:cs="Times New Roman"/>
          <w:sz w:val="28"/>
          <w:szCs w:val="28"/>
          <w:lang w:val="uk-UA"/>
        </w:rPr>
        <w:t xml:space="preserve">, сприятиме </w:t>
      </w:r>
      <w:r w:rsidR="00207DD4" w:rsidRPr="00A41B49">
        <w:rPr>
          <w:rFonts w:ascii="Times New Roman" w:hAnsi="Times New Roman" w:cs="Times New Roman"/>
          <w:sz w:val="28"/>
          <w:szCs w:val="28"/>
          <w:lang w:val="uk-UA"/>
        </w:rPr>
        <w:t xml:space="preserve">зниженню рівня опору змінам, підвищенню рівня довіри суспільства до органів місцевого самоврядування, і, як результат, створить можливості для розширення джерел </w:t>
      </w:r>
      <w:r w:rsidR="00BA5C69" w:rsidRPr="00A41B49">
        <w:rPr>
          <w:rFonts w:ascii="Times New Roman" w:hAnsi="Times New Roman" w:cs="Times New Roman"/>
          <w:sz w:val="28"/>
          <w:szCs w:val="28"/>
          <w:lang w:val="uk-UA"/>
        </w:rPr>
        <w:t>інвестиційної</w:t>
      </w:r>
      <w:r w:rsidR="00207DD4" w:rsidRPr="00A41B49">
        <w:rPr>
          <w:rFonts w:ascii="Times New Roman" w:hAnsi="Times New Roman" w:cs="Times New Roman"/>
          <w:sz w:val="28"/>
          <w:szCs w:val="28"/>
          <w:lang w:val="uk-UA"/>
        </w:rPr>
        <w:t xml:space="preserve"> діяльності, </w:t>
      </w:r>
      <w:r w:rsidR="00BA5C69" w:rsidRPr="00A41B49">
        <w:rPr>
          <w:rFonts w:ascii="Times New Roman" w:hAnsi="Times New Roman" w:cs="Times New Roman"/>
          <w:sz w:val="28"/>
          <w:szCs w:val="28"/>
          <w:lang w:val="uk-UA"/>
        </w:rPr>
        <w:t xml:space="preserve">активізації, посилення та підтримання цього процесу. </w:t>
      </w:r>
    </w:p>
    <w:p w14:paraId="19F8E904" w14:textId="77777777" w:rsidR="0037799E" w:rsidRPr="00A41B49" w:rsidRDefault="00A3426B"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Як </w:t>
      </w:r>
      <w:r w:rsidR="003710F7" w:rsidRPr="00A41B49">
        <w:rPr>
          <w:rFonts w:ascii="Times New Roman" w:hAnsi="Times New Roman" w:cs="Times New Roman"/>
          <w:sz w:val="28"/>
          <w:szCs w:val="28"/>
          <w:lang w:val="uk-UA"/>
        </w:rPr>
        <w:t xml:space="preserve">свідчать результати дослідження, подані у розділі 2, для міста Кривий Ріг найбільш </w:t>
      </w:r>
      <w:r w:rsidR="007D560B" w:rsidRPr="00A41B49">
        <w:rPr>
          <w:rFonts w:ascii="Times New Roman" w:hAnsi="Times New Roman" w:cs="Times New Roman"/>
          <w:sz w:val="28"/>
          <w:szCs w:val="28"/>
          <w:lang w:val="uk-UA"/>
        </w:rPr>
        <w:t xml:space="preserve">цікавим є </w:t>
      </w:r>
      <w:r w:rsidR="00116530" w:rsidRPr="00A41B49">
        <w:rPr>
          <w:rFonts w:ascii="Times New Roman" w:hAnsi="Times New Roman" w:cs="Times New Roman"/>
          <w:sz w:val="28"/>
          <w:szCs w:val="28"/>
          <w:lang w:val="uk-UA"/>
        </w:rPr>
        <w:t>досвід</w:t>
      </w:r>
      <w:r w:rsidR="007D560B" w:rsidRPr="00A41B49">
        <w:rPr>
          <w:rFonts w:ascii="Times New Roman" w:hAnsi="Times New Roman" w:cs="Times New Roman"/>
          <w:sz w:val="28"/>
          <w:szCs w:val="28"/>
          <w:lang w:val="uk-UA"/>
        </w:rPr>
        <w:t xml:space="preserve"> забезпечення високого рівня прозорості та публічності таких міс</w:t>
      </w:r>
      <w:r w:rsidR="00EA1B4C" w:rsidRPr="00A41B49">
        <w:rPr>
          <w:rFonts w:ascii="Times New Roman" w:hAnsi="Times New Roman" w:cs="Times New Roman"/>
          <w:sz w:val="28"/>
          <w:szCs w:val="28"/>
          <w:lang w:val="uk-UA"/>
        </w:rPr>
        <w:t>т України, як Маріуполь, Дніпро, адже ці міста України характеризуються схожим із  м. Кривий Ріг потенціалом розвитку, є лідерами серед міст України за показниками прозорості та підзвітності.</w:t>
      </w:r>
    </w:p>
    <w:p w14:paraId="7D0FF599" w14:textId="77777777" w:rsidR="00EA1B4C" w:rsidRPr="00A41B49" w:rsidRDefault="00BB0325"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Крім того, </w:t>
      </w:r>
      <w:r w:rsidR="001B5659" w:rsidRPr="00A41B49">
        <w:rPr>
          <w:rFonts w:ascii="Times New Roman" w:hAnsi="Times New Roman" w:cs="Times New Roman"/>
          <w:sz w:val="28"/>
          <w:szCs w:val="28"/>
          <w:lang w:val="uk-UA"/>
        </w:rPr>
        <w:t xml:space="preserve">особливості розвитку відносин України та ЄС, </w:t>
      </w:r>
      <w:r w:rsidR="00927804" w:rsidRPr="00A41B49">
        <w:rPr>
          <w:rFonts w:ascii="Times New Roman" w:hAnsi="Times New Roman" w:cs="Times New Roman"/>
          <w:sz w:val="28"/>
          <w:szCs w:val="28"/>
          <w:lang w:val="uk-UA"/>
        </w:rPr>
        <w:t xml:space="preserve">процесів децентралізації в Україні, </w:t>
      </w:r>
      <w:r w:rsidR="00AF7592" w:rsidRPr="00A41B49">
        <w:rPr>
          <w:rFonts w:ascii="Times New Roman" w:hAnsi="Times New Roman" w:cs="Times New Roman"/>
          <w:sz w:val="28"/>
          <w:szCs w:val="28"/>
          <w:lang w:val="uk-UA"/>
        </w:rPr>
        <w:t>розбудова ново</w:t>
      </w:r>
      <w:r w:rsidR="002E5E50" w:rsidRPr="00A41B49">
        <w:rPr>
          <w:rFonts w:ascii="Times New Roman" w:hAnsi="Times New Roman" w:cs="Times New Roman"/>
          <w:sz w:val="28"/>
          <w:szCs w:val="28"/>
          <w:lang w:val="uk-UA"/>
        </w:rPr>
        <w:t xml:space="preserve">ї стратегії </w:t>
      </w:r>
      <w:r w:rsidR="00DA16E3" w:rsidRPr="00A41B49">
        <w:rPr>
          <w:rFonts w:ascii="Times New Roman" w:hAnsi="Times New Roman" w:cs="Times New Roman"/>
          <w:sz w:val="28"/>
          <w:szCs w:val="28"/>
          <w:lang w:val="uk-UA"/>
        </w:rPr>
        <w:t>забезпечення та підвищення інвестиційної привабливості міста Кривий Ріг має відбуватися на основі смарт-спеціалізації</w:t>
      </w:r>
      <w:r w:rsidR="001C6E63" w:rsidRPr="00A41B49">
        <w:rPr>
          <w:rFonts w:ascii="Times New Roman" w:hAnsi="Times New Roman" w:cs="Times New Roman"/>
          <w:sz w:val="28"/>
          <w:szCs w:val="28"/>
          <w:lang w:val="uk-UA"/>
        </w:rPr>
        <w:t xml:space="preserve">, що передбачає створення передумов та забезпечення концентрації інвестиційних ресурсів </w:t>
      </w:r>
      <w:r w:rsidR="00BB0917" w:rsidRPr="00A41B49">
        <w:rPr>
          <w:rFonts w:ascii="Times New Roman" w:hAnsi="Times New Roman" w:cs="Times New Roman"/>
          <w:sz w:val="28"/>
          <w:szCs w:val="28"/>
          <w:lang w:val="uk-UA"/>
        </w:rPr>
        <w:t xml:space="preserve">на </w:t>
      </w:r>
      <w:r w:rsidR="001C6E63" w:rsidRPr="00A41B49">
        <w:rPr>
          <w:rFonts w:ascii="Times New Roman" w:hAnsi="Times New Roman" w:cs="Times New Roman"/>
          <w:sz w:val="28"/>
          <w:szCs w:val="28"/>
          <w:lang w:val="uk-UA"/>
        </w:rPr>
        <w:t>обмеженій кількос</w:t>
      </w:r>
      <w:r w:rsidR="00954295" w:rsidRPr="00A41B49">
        <w:rPr>
          <w:rFonts w:ascii="Times New Roman" w:hAnsi="Times New Roman" w:cs="Times New Roman"/>
          <w:sz w:val="28"/>
          <w:szCs w:val="28"/>
          <w:lang w:val="uk-UA"/>
        </w:rPr>
        <w:t>ті економічної діяльності міста, що характеризуються</w:t>
      </w:r>
      <w:r w:rsidR="002E3D7C" w:rsidRPr="00A41B49">
        <w:rPr>
          <w:rFonts w:ascii="Times New Roman" w:hAnsi="Times New Roman" w:cs="Times New Roman"/>
          <w:sz w:val="28"/>
          <w:szCs w:val="28"/>
          <w:lang w:val="uk-UA"/>
        </w:rPr>
        <w:t xml:space="preserve"> інноваційним потенціалом та потенційно можуть сприяти трансформації секторів економіки міста, та партисипативного </w:t>
      </w:r>
      <w:r w:rsidR="00DE2438" w:rsidRPr="00A41B49">
        <w:rPr>
          <w:rFonts w:ascii="Times New Roman" w:hAnsi="Times New Roman" w:cs="Times New Roman"/>
          <w:sz w:val="28"/>
          <w:szCs w:val="28"/>
          <w:lang w:val="uk-UA"/>
        </w:rPr>
        <w:t xml:space="preserve">управління, що дозволяє залучити до процесів </w:t>
      </w:r>
      <w:r w:rsidR="00120D1C" w:rsidRPr="00A41B49">
        <w:rPr>
          <w:rFonts w:ascii="Times New Roman" w:hAnsi="Times New Roman" w:cs="Times New Roman"/>
          <w:sz w:val="28"/>
          <w:szCs w:val="28"/>
          <w:lang w:val="uk-UA"/>
        </w:rPr>
        <w:t>прийняття</w:t>
      </w:r>
      <w:r w:rsidR="00DE2438" w:rsidRPr="00A41B49">
        <w:rPr>
          <w:rFonts w:ascii="Times New Roman" w:hAnsi="Times New Roman" w:cs="Times New Roman"/>
          <w:sz w:val="28"/>
          <w:szCs w:val="28"/>
          <w:lang w:val="uk-UA"/>
        </w:rPr>
        <w:t xml:space="preserve"> рішень в межах </w:t>
      </w:r>
      <w:r w:rsidR="00927804" w:rsidRPr="00A41B49">
        <w:rPr>
          <w:rFonts w:ascii="Times New Roman" w:hAnsi="Times New Roman" w:cs="Times New Roman"/>
          <w:sz w:val="28"/>
          <w:szCs w:val="28"/>
          <w:lang w:val="uk-UA"/>
        </w:rPr>
        <w:t>інвестиційної</w:t>
      </w:r>
      <w:r w:rsidR="00DE2438" w:rsidRPr="00A41B49">
        <w:rPr>
          <w:rFonts w:ascii="Times New Roman" w:hAnsi="Times New Roman" w:cs="Times New Roman"/>
          <w:sz w:val="28"/>
          <w:szCs w:val="28"/>
          <w:lang w:val="uk-UA"/>
        </w:rPr>
        <w:t xml:space="preserve"> </w:t>
      </w:r>
      <w:r w:rsidR="00927804" w:rsidRPr="00A41B49">
        <w:rPr>
          <w:rFonts w:ascii="Times New Roman" w:hAnsi="Times New Roman" w:cs="Times New Roman"/>
          <w:sz w:val="28"/>
          <w:szCs w:val="28"/>
          <w:lang w:val="uk-UA"/>
        </w:rPr>
        <w:t>діяльності</w:t>
      </w:r>
      <w:r w:rsidR="00517BBD" w:rsidRPr="00A41B49">
        <w:rPr>
          <w:rFonts w:ascii="Times New Roman" w:hAnsi="Times New Roman" w:cs="Times New Roman"/>
          <w:sz w:val="28"/>
          <w:szCs w:val="28"/>
          <w:lang w:val="uk-UA"/>
        </w:rPr>
        <w:t>, у тому числі визначення пріоритетів,</w:t>
      </w:r>
      <w:r w:rsidR="00DE2438" w:rsidRPr="00A41B49">
        <w:rPr>
          <w:rFonts w:ascii="Times New Roman" w:hAnsi="Times New Roman" w:cs="Times New Roman"/>
          <w:sz w:val="28"/>
          <w:szCs w:val="28"/>
          <w:lang w:val="uk-UA"/>
        </w:rPr>
        <w:t xml:space="preserve"> усіх зацікавлених осіб</w:t>
      </w:r>
      <w:r w:rsidR="00E540F6" w:rsidRPr="00A41B49">
        <w:rPr>
          <w:rFonts w:ascii="Times New Roman" w:hAnsi="Times New Roman" w:cs="Times New Roman"/>
          <w:sz w:val="28"/>
          <w:szCs w:val="28"/>
          <w:lang w:val="uk-UA"/>
        </w:rPr>
        <w:t xml:space="preserve">, </w:t>
      </w:r>
      <w:r w:rsidR="007423A9" w:rsidRPr="00A41B49">
        <w:rPr>
          <w:rFonts w:ascii="Times New Roman" w:hAnsi="Times New Roman" w:cs="Times New Roman"/>
          <w:sz w:val="28"/>
          <w:szCs w:val="28"/>
          <w:lang w:val="uk-UA"/>
        </w:rPr>
        <w:t xml:space="preserve">забезпечити </w:t>
      </w:r>
      <w:r w:rsidR="00927804" w:rsidRPr="00A41B49">
        <w:rPr>
          <w:rFonts w:ascii="Times New Roman" w:hAnsi="Times New Roman" w:cs="Times New Roman"/>
          <w:sz w:val="28"/>
          <w:szCs w:val="28"/>
          <w:lang w:val="uk-UA"/>
        </w:rPr>
        <w:t>налагодження</w:t>
      </w:r>
      <w:r w:rsidR="00E540F6" w:rsidRPr="00A41B49">
        <w:rPr>
          <w:rFonts w:ascii="Times New Roman" w:hAnsi="Times New Roman" w:cs="Times New Roman"/>
          <w:sz w:val="28"/>
          <w:szCs w:val="28"/>
          <w:lang w:val="uk-UA"/>
        </w:rPr>
        <w:t xml:space="preserve"> партнерських відносин між владою та </w:t>
      </w:r>
      <w:r w:rsidR="00927804" w:rsidRPr="00A41B49">
        <w:rPr>
          <w:rFonts w:ascii="Times New Roman" w:hAnsi="Times New Roman" w:cs="Times New Roman"/>
          <w:sz w:val="28"/>
          <w:szCs w:val="28"/>
          <w:lang w:val="uk-UA"/>
        </w:rPr>
        <w:t>із усіма зацікавленими особами у цьому процесі.</w:t>
      </w:r>
      <w:r w:rsidR="00120D1C" w:rsidRPr="00A41B49">
        <w:rPr>
          <w:rFonts w:ascii="Times New Roman" w:hAnsi="Times New Roman" w:cs="Times New Roman"/>
          <w:sz w:val="28"/>
          <w:szCs w:val="28"/>
          <w:lang w:val="uk-UA"/>
        </w:rPr>
        <w:t xml:space="preserve"> При цьому під час реалізація ініціатив на засадах партисипативного управління у громадах доцільно широко застосовувати структуровані комунікації </w:t>
      </w:r>
      <w:r w:rsidR="00BF06AB" w:rsidRPr="00A41B49">
        <w:rPr>
          <w:rFonts w:ascii="Times New Roman" w:hAnsi="Times New Roman" w:cs="Times New Roman"/>
          <w:sz w:val="28"/>
          <w:szCs w:val="28"/>
          <w:lang w:val="uk-UA"/>
        </w:rPr>
        <w:t>–</w:t>
      </w:r>
      <w:r w:rsidR="00120D1C" w:rsidRPr="00A41B49">
        <w:rPr>
          <w:rFonts w:ascii="Times New Roman" w:hAnsi="Times New Roman" w:cs="Times New Roman"/>
          <w:sz w:val="28"/>
          <w:szCs w:val="28"/>
          <w:lang w:val="uk-UA"/>
        </w:rPr>
        <w:t xml:space="preserve"> консультації</w:t>
      </w:r>
      <w:r w:rsidR="00BF06AB" w:rsidRPr="00A41B49">
        <w:rPr>
          <w:rFonts w:ascii="Times New Roman" w:hAnsi="Times New Roman" w:cs="Times New Roman"/>
          <w:sz w:val="28"/>
          <w:szCs w:val="28"/>
          <w:lang w:val="uk-UA"/>
        </w:rPr>
        <w:t xml:space="preserve"> </w:t>
      </w:r>
      <w:r w:rsidR="00120D1C" w:rsidRPr="00A41B49">
        <w:rPr>
          <w:rFonts w:ascii="Times New Roman" w:hAnsi="Times New Roman" w:cs="Times New Roman"/>
          <w:sz w:val="28"/>
          <w:szCs w:val="28"/>
          <w:lang w:val="uk-UA"/>
        </w:rPr>
        <w:t>[16].</w:t>
      </w:r>
    </w:p>
    <w:p w14:paraId="684DE2CB" w14:textId="77777777" w:rsidR="00817EE4" w:rsidRPr="00A41B49" w:rsidRDefault="00E6379F"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lastRenderedPageBreak/>
        <w:t>Другим</w:t>
      </w:r>
      <w:r w:rsidR="00A210F8" w:rsidRPr="00A41B49">
        <w:rPr>
          <w:rFonts w:ascii="Times New Roman" w:hAnsi="Times New Roman" w:cs="Times New Roman"/>
          <w:sz w:val="28"/>
          <w:szCs w:val="28"/>
          <w:lang w:val="uk-UA"/>
        </w:rPr>
        <w:t xml:space="preserve"> завданням у напрямку забезпечення досягнення зазначеної мети є </w:t>
      </w:r>
      <w:r w:rsidRPr="00A41B49">
        <w:rPr>
          <w:rFonts w:ascii="Times New Roman" w:hAnsi="Times New Roman" w:cs="Times New Roman"/>
          <w:sz w:val="28"/>
          <w:szCs w:val="28"/>
          <w:lang w:val="uk-UA"/>
        </w:rPr>
        <w:t xml:space="preserve">налагодження ефективної </w:t>
      </w:r>
      <w:r w:rsidR="00F95CAB" w:rsidRPr="00A41B49">
        <w:rPr>
          <w:rFonts w:ascii="Times New Roman" w:hAnsi="Times New Roman" w:cs="Times New Roman"/>
          <w:sz w:val="28"/>
          <w:szCs w:val="28"/>
          <w:lang w:val="uk-UA"/>
        </w:rPr>
        <w:t>співпраці</w:t>
      </w:r>
      <w:r w:rsidRPr="00A41B49">
        <w:rPr>
          <w:rFonts w:ascii="Times New Roman" w:hAnsi="Times New Roman" w:cs="Times New Roman"/>
          <w:sz w:val="28"/>
          <w:szCs w:val="28"/>
          <w:lang w:val="uk-UA"/>
        </w:rPr>
        <w:t xml:space="preserve"> із інвесторами</w:t>
      </w:r>
      <w:r w:rsidR="0040121E" w:rsidRPr="00A41B49">
        <w:rPr>
          <w:rFonts w:ascii="Times New Roman" w:hAnsi="Times New Roman" w:cs="Times New Roman"/>
          <w:sz w:val="28"/>
          <w:szCs w:val="28"/>
          <w:lang w:val="uk-UA"/>
        </w:rPr>
        <w:t>, зокрема шляхом створення преференції та довгострокових гарантії стабільності для інвестицій</w:t>
      </w:r>
      <w:r w:rsidR="00817EE4" w:rsidRPr="00A41B49">
        <w:rPr>
          <w:rFonts w:ascii="Times New Roman" w:hAnsi="Times New Roman" w:cs="Times New Roman"/>
          <w:sz w:val="28"/>
          <w:szCs w:val="28"/>
          <w:lang w:val="uk-UA"/>
        </w:rPr>
        <w:t xml:space="preserve">. </w:t>
      </w:r>
      <w:r w:rsidR="004D5C96" w:rsidRPr="00A41B49">
        <w:rPr>
          <w:rFonts w:ascii="Times New Roman" w:hAnsi="Times New Roman" w:cs="Times New Roman"/>
          <w:sz w:val="28"/>
          <w:szCs w:val="28"/>
          <w:lang w:val="uk-UA"/>
        </w:rPr>
        <w:t>Ефективна</w:t>
      </w:r>
      <w:r w:rsidR="00F95CAB" w:rsidRPr="00A41B49">
        <w:rPr>
          <w:rFonts w:ascii="Times New Roman" w:hAnsi="Times New Roman" w:cs="Times New Roman"/>
          <w:sz w:val="28"/>
          <w:szCs w:val="28"/>
          <w:lang w:val="uk-UA"/>
        </w:rPr>
        <w:t xml:space="preserve"> реалізація зазначеного завдання </w:t>
      </w:r>
      <w:r w:rsidR="004D5C96" w:rsidRPr="00A41B49">
        <w:rPr>
          <w:rFonts w:ascii="Times New Roman" w:hAnsi="Times New Roman" w:cs="Times New Roman"/>
          <w:sz w:val="28"/>
          <w:szCs w:val="28"/>
          <w:lang w:val="uk-UA"/>
        </w:rPr>
        <w:t xml:space="preserve">передбачає чітке </w:t>
      </w:r>
      <w:r w:rsidR="00FB1610" w:rsidRPr="00A41B49">
        <w:rPr>
          <w:rFonts w:ascii="Times New Roman" w:hAnsi="Times New Roman" w:cs="Times New Roman"/>
          <w:sz w:val="28"/>
          <w:szCs w:val="28"/>
          <w:lang w:val="uk-UA"/>
        </w:rPr>
        <w:t xml:space="preserve">окреслення своїх очікувань від співпраці із </w:t>
      </w:r>
      <w:r w:rsidR="004C5439" w:rsidRPr="00A41B49">
        <w:rPr>
          <w:rFonts w:ascii="Times New Roman" w:hAnsi="Times New Roman" w:cs="Times New Roman"/>
          <w:sz w:val="28"/>
          <w:szCs w:val="28"/>
          <w:lang w:val="uk-UA"/>
        </w:rPr>
        <w:t xml:space="preserve">інвесторами у стратегії, </w:t>
      </w:r>
      <w:r w:rsidR="004D5C96" w:rsidRPr="00A41B49">
        <w:rPr>
          <w:rFonts w:ascii="Times New Roman" w:hAnsi="Times New Roman" w:cs="Times New Roman"/>
          <w:sz w:val="28"/>
          <w:szCs w:val="28"/>
          <w:lang w:val="uk-UA"/>
        </w:rPr>
        <w:t>створення «…</w:t>
      </w:r>
      <w:r w:rsidR="004C5439" w:rsidRPr="00A41B49">
        <w:rPr>
          <w:rFonts w:ascii="Times New Roman" w:hAnsi="Times New Roman" w:cs="Times New Roman"/>
          <w:sz w:val="28"/>
          <w:szCs w:val="28"/>
          <w:lang w:val="uk-UA"/>
        </w:rPr>
        <w:t xml:space="preserve"> для роботи з ним «режим найбільшого сприяння» щодо землі, оформлення дозвільної документації та забезпечення можливості приєднання до комунікацій. Громади повинні провести всю необхідну роботу з підготовки місцевих програм щодо відновлення територій, затвердження оновленої документації, впорядкування питань землекористування, а також визначення переліку й проведення правового та фінансового аудиту об’єктів, що пропонуються для інвестицій</w:t>
      </w:r>
      <w:r w:rsidR="00DE2438" w:rsidRPr="00A41B49">
        <w:rPr>
          <w:rFonts w:ascii="Times New Roman" w:hAnsi="Times New Roman" w:cs="Times New Roman"/>
          <w:sz w:val="28"/>
          <w:szCs w:val="28"/>
          <w:lang w:val="uk-UA"/>
        </w:rPr>
        <w:t>. При цьому слід враховувати, що стратегічні інвестори обережно вибирають громади, з якими працюють. Серед основних критеріїв слід назвати відсутність корупційних ризиків, ступінь готовності інвестиційних проєктів, наявність стратегічних документів розвитку громади, а також готовність місцевих чиновників навчатися для реалізації нових проєктів. Ці заходи потребують перш за все ефективного управління та інтелектуальної роботи. Їх можна здійснювати вже до закінчення війни, а після війни це дасть змогу громаді опинитися в списку лідерів гонки за інвестиціями</w:t>
      </w:r>
      <w:r w:rsidR="004C5439" w:rsidRPr="00A41B49">
        <w:rPr>
          <w:rFonts w:ascii="Times New Roman" w:hAnsi="Times New Roman" w:cs="Times New Roman"/>
          <w:sz w:val="28"/>
          <w:szCs w:val="28"/>
          <w:lang w:val="uk-UA"/>
        </w:rPr>
        <w:t>» [16].</w:t>
      </w:r>
      <w:r w:rsidR="00422460" w:rsidRPr="00A41B49">
        <w:rPr>
          <w:rFonts w:ascii="Times New Roman" w:hAnsi="Times New Roman" w:cs="Times New Roman"/>
          <w:sz w:val="28"/>
          <w:szCs w:val="28"/>
          <w:lang w:val="uk-UA"/>
        </w:rPr>
        <w:t xml:space="preserve"> Крім того, як один із напрямів вирішення цього завдання можна розглядати подальший розвиток на території міста індустріального парку, оскільки через механізм розбудови паркових структур можливо створювати</w:t>
      </w:r>
      <w:r w:rsidR="00E204EB" w:rsidRPr="00A41B49">
        <w:rPr>
          <w:rFonts w:ascii="Times New Roman" w:hAnsi="Times New Roman" w:cs="Times New Roman"/>
          <w:sz w:val="28"/>
          <w:szCs w:val="28"/>
          <w:lang w:val="uk-UA"/>
        </w:rPr>
        <w:t xml:space="preserve"> цілу низку </w:t>
      </w:r>
      <w:r w:rsidR="00C7267A" w:rsidRPr="00A41B49">
        <w:rPr>
          <w:rFonts w:ascii="Times New Roman" w:hAnsi="Times New Roman" w:cs="Times New Roman"/>
          <w:sz w:val="28"/>
          <w:szCs w:val="28"/>
          <w:lang w:val="uk-UA"/>
        </w:rPr>
        <w:t xml:space="preserve">довгострокових </w:t>
      </w:r>
      <w:r w:rsidR="000D38FC" w:rsidRPr="00A41B49">
        <w:rPr>
          <w:rFonts w:ascii="Times New Roman" w:hAnsi="Times New Roman" w:cs="Times New Roman"/>
          <w:sz w:val="28"/>
          <w:szCs w:val="28"/>
          <w:lang w:val="uk-UA"/>
        </w:rPr>
        <w:t>інвестиційних</w:t>
      </w:r>
      <w:r w:rsidR="00E204EB" w:rsidRPr="00A41B49">
        <w:rPr>
          <w:rFonts w:ascii="Times New Roman" w:hAnsi="Times New Roman" w:cs="Times New Roman"/>
          <w:sz w:val="28"/>
          <w:szCs w:val="28"/>
          <w:lang w:val="uk-UA"/>
        </w:rPr>
        <w:t xml:space="preserve"> ініціатив, </w:t>
      </w:r>
      <w:r w:rsidR="00C7267A" w:rsidRPr="00A41B49">
        <w:rPr>
          <w:rFonts w:ascii="Times New Roman" w:hAnsi="Times New Roman" w:cs="Times New Roman"/>
          <w:sz w:val="28"/>
          <w:szCs w:val="28"/>
          <w:lang w:val="uk-UA"/>
        </w:rPr>
        <w:t>пов’язаних</w:t>
      </w:r>
      <w:r w:rsidR="00E204EB" w:rsidRPr="00A41B49">
        <w:rPr>
          <w:rFonts w:ascii="Times New Roman" w:hAnsi="Times New Roman" w:cs="Times New Roman"/>
          <w:sz w:val="28"/>
          <w:szCs w:val="28"/>
          <w:lang w:val="uk-UA"/>
        </w:rPr>
        <w:t xml:space="preserve">, наприклад, із забудовою, ревіталізацією </w:t>
      </w:r>
      <w:r w:rsidR="00C7267A" w:rsidRPr="00A41B49">
        <w:rPr>
          <w:rFonts w:ascii="Times New Roman" w:hAnsi="Times New Roman" w:cs="Times New Roman"/>
          <w:sz w:val="28"/>
          <w:szCs w:val="28"/>
          <w:lang w:val="uk-UA"/>
        </w:rPr>
        <w:t>та промисловим використанням земельних ділянок, які понад 10 років не використовувались д</w:t>
      </w:r>
      <w:r w:rsidR="00C3170A" w:rsidRPr="00A41B49">
        <w:rPr>
          <w:rFonts w:ascii="Times New Roman" w:hAnsi="Times New Roman" w:cs="Times New Roman"/>
          <w:sz w:val="28"/>
          <w:szCs w:val="28"/>
          <w:lang w:val="uk-UA"/>
        </w:rPr>
        <w:t xml:space="preserve">ля економічної діяльності; оновлення містобудівної документації та проведення енергоаудиту, що дозволить залучити </w:t>
      </w:r>
      <w:r w:rsidR="009848B1" w:rsidRPr="00A41B49">
        <w:rPr>
          <w:rFonts w:ascii="Times New Roman" w:hAnsi="Times New Roman" w:cs="Times New Roman"/>
          <w:sz w:val="28"/>
          <w:szCs w:val="28"/>
          <w:lang w:val="uk-UA"/>
        </w:rPr>
        <w:t>приватних</w:t>
      </w:r>
      <w:r w:rsidR="00C3170A" w:rsidRPr="00A41B49">
        <w:rPr>
          <w:rFonts w:ascii="Times New Roman" w:hAnsi="Times New Roman" w:cs="Times New Roman"/>
          <w:sz w:val="28"/>
          <w:szCs w:val="28"/>
          <w:lang w:val="uk-UA"/>
        </w:rPr>
        <w:t xml:space="preserve"> інвесторів підвищення енергоефективності громади [36].</w:t>
      </w:r>
    </w:p>
    <w:p w14:paraId="0F027B76" w14:textId="77777777" w:rsidR="009D247E" w:rsidRPr="00A41B49" w:rsidRDefault="00057BBC"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Третім</w:t>
      </w:r>
      <w:r w:rsidR="00364734" w:rsidRPr="00A41B49">
        <w:rPr>
          <w:rFonts w:ascii="Times New Roman" w:hAnsi="Times New Roman" w:cs="Times New Roman"/>
          <w:sz w:val="28"/>
          <w:szCs w:val="28"/>
          <w:lang w:val="uk-UA"/>
        </w:rPr>
        <w:t xml:space="preserve"> завданням у напрямку забезпечення досягнення зазначеної мети є</w:t>
      </w:r>
      <w:r w:rsidR="009D247E" w:rsidRPr="00A41B49">
        <w:rPr>
          <w:rFonts w:ascii="Times New Roman" w:hAnsi="Times New Roman" w:cs="Times New Roman"/>
          <w:sz w:val="28"/>
          <w:szCs w:val="28"/>
          <w:lang w:val="uk-UA"/>
        </w:rPr>
        <w:t xml:space="preserve"> </w:t>
      </w:r>
      <w:r w:rsidR="00364734" w:rsidRPr="00A41B49">
        <w:rPr>
          <w:rFonts w:ascii="Times New Roman" w:hAnsi="Times New Roman" w:cs="Times New Roman"/>
          <w:sz w:val="28"/>
          <w:szCs w:val="28"/>
          <w:lang w:val="uk-UA"/>
        </w:rPr>
        <w:t>р</w:t>
      </w:r>
      <w:r w:rsidR="0090663E" w:rsidRPr="00A41B49">
        <w:rPr>
          <w:rFonts w:ascii="Times New Roman" w:hAnsi="Times New Roman" w:cs="Times New Roman"/>
          <w:sz w:val="28"/>
          <w:szCs w:val="28"/>
          <w:lang w:val="uk-UA"/>
        </w:rPr>
        <w:t xml:space="preserve">озбудова </w:t>
      </w:r>
      <w:r w:rsidR="00364734" w:rsidRPr="00A41B49">
        <w:rPr>
          <w:rFonts w:ascii="Times New Roman" w:hAnsi="Times New Roman" w:cs="Times New Roman"/>
          <w:sz w:val="28"/>
          <w:szCs w:val="28"/>
          <w:lang w:val="uk-UA"/>
        </w:rPr>
        <w:t>інфраструктури</w:t>
      </w:r>
      <w:r w:rsidRPr="00A41B49">
        <w:rPr>
          <w:rFonts w:ascii="Times New Roman" w:hAnsi="Times New Roman" w:cs="Times New Roman"/>
          <w:sz w:val="28"/>
          <w:szCs w:val="28"/>
          <w:lang w:val="uk-UA"/>
        </w:rPr>
        <w:t xml:space="preserve"> міста, зокрема інфраструктури </w:t>
      </w:r>
      <w:r w:rsidR="0090663E" w:rsidRPr="00A41B49">
        <w:rPr>
          <w:rFonts w:ascii="Times New Roman" w:hAnsi="Times New Roman" w:cs="Times New Roman"/>
          <w:sz w:val="28"/>
          <w:szCs w:val="28"/>
          <w:lang w:val="uk-UA"/>
        </w:rPr>
        <w:t>безпеки,</w:t>
      </w:r>
      <w:r w:rsidR="00364734" w:rsidRPr="00A41B49">
        <w:rPr>
          <w:rFonts w:ascii="Times New Roman" w:hAnsi="Times New Roman" w:cs="Times New Roman"/>
          <w:sz w:val="28"/>
          <w:szCs w:val="28"/>
          <w:lang w:val="uk-UA"/>
        </w:rPr>
        <w:t xml:space="preserve"> що сприятиме </w:t>
      </w:r>
      <w:r w:rsidR="00726AF5" w:rsidRPr="00A41B49">
        <w:rPr>
          <w:rFonts w:ascii="Times New Roman" w:hAnsi="Times New Roman" w:cs="Times New Roman"/>
          <w:sz w:val="28"/>
          <w:szCs w:val="28"/>
          <w:lang w:val="uk-UA"/>
        </w:rPr>
        <w:t xml:space="preserve">гнучкості та адаптивності стратегії розвитку міста, </w:t>
      </w:r>
      <w:r w:rsidR="00364734" w:rsidRPr="00A41B49">
        <w:rPr>
          <w:rFonts w:ascii="Times New Roman" w:hAnsi="Times New Roman" w:cs="Times New Roman"/>
          <w:sz w:val="28"/>
          <w:szCs w:val="28"/>
          <w:lang w:val="uk-UA"/>
        </w:rPr>
        <w:t xml:space="preserve">зниженню ризику провадження господарської </w:t>
      </w:r>
      <w:r w:rsidRPr="00A41B49">
        <w:rPr>
          <w:rFonts w:ascii="Times New Roman" w:hAnsi="Times New Roman" w:cs="Times New Roman"/>
          <w:sz w:val="28"/>
          <w:szCs w:val="28"/>
          <w:lang w:val="uk-UA"/>
        </w:rPr>
        <w:t>діяльності</w:t>
      </w:r>
      <w:r w:rsidR="00364734" w:rsidRPr="00A41B49">
        <w:rPr>
          <w:rFonts w:ascii="Times New Roman" w:hAnsi="Times New Roman" w:cs="Times New Roman"/>
          <w:sz w:val="28"/>
          <w:szCs w:val="28"/>
          <w:lang w:val="uk-UA"/>
        </w:rPr>
        <w:t>, зокрема інвестицій</w:t>
      </w:r>
      <w:r w:rsidRPr="00A41B49">
        <w:rPr>
          <w:rFonts w:ascii="Times New Roman" w:hAnsi="Times New Roman" w:cs="Times New Roman"/>
          <w:sz w:val="28"/>
          <w:szCs w:val="28"/>
          <w:lang w:val="uk-UA"/>
        </w:rPr>
        <w:t xml:space="preserve">ної, сприятиме підвищенню привабливості міста як об’єкту інвестиційної діяльності. </w:t>
      </w:r>
    </w:p>
    <w:p w14:paraId="6D471F0D" w14:textId="77777777" w:rsidR="00726AF5" w:rsidRPr="00A41B49" w:rsidRDefault="00726AF5"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 xml:space="preserve">Четвертим завданням </w:t>
      </w:r>
      <w:r w:rsidR="00852F12" w:rsidRPr="00A41B49">
        <w:rPr>
          <w:rFonts w:ascii="Times New Roman" w:hAnsi="Times New Roman" w:cs="Times New Roman"/>
          <w:sz w:val="28"/>
          <w:szCs w:val="28"/>
          <w:lang w:val="uk-UA"/>
        </w:rPr>
        <w:t>у напрямку забезпечення досягнення зазначеної мети є налагодження роботи щодо облік</w:t>
      </w:r>
      <w:r w:rsidR="004E096A" w:rsidRPr="00A41B49">
        <w:rPr>
          <w:rFonts w:ascii="Times New Roman" w:hAnsi="Times New Roman" w:cs="Times New Roman"/>
          <w:sz w:val="28"/>
          <w:szCs w:val="28"/>
          <w:lang w:val="uk-UA"/>
        </w:rPr>
        <w:t>у</w:t>
      </w:r>
      <w:r w:rsidR="00852F12" w:rsidRPr="00A41B49">
        <w:rPr>
          <w:rFonts w:ascii="Times New Roman" w:hAnsi="Times New Roman" w:cs="Times New Roman"/>
          <w:sz w:val="28"/>
          <w:szCs w:val="28"/>
          <w:lang w:val="uk-UA"/>
        </w:rPr>
        <w:t xml:space="preserve"> та аналіз</w:t>
      </w:r>
      <w:r w:rsidR="004E096A" w:rsidRPr="00A41B49">
        <w:rPr>
          <w:rFonts w:ascii="Times New Roman" w:hAnsi="Times New Roman" w:cs="Times New Roman"/>
          <w:sz w:val="28"/>
          <w:szCs w:val="28"/>
          <w:lang w:val="uk-UA"/>
        </w:rPr>
        <w:t>у</w:t>
      </w:r>
      <w:r w:rsidR="00852F12" w:rsidRPr="00A41B49">
        <w:rPr>
          <w:rFonts w:ascii="Times New Roman" w:hAnsi="Times New Roman" w:cs="Times New Roman"/>
          <w:sz w:val="28"/>
          <w:szCs w:val="28"/>
          <w:lang w:val="uk-UA"/>
        </w:rPr>
        <w:t xml:space="preserve"> потенційних об’єктів інвестування, людського потенціалу, інфраструктурного та логістичного потенціалу, біз</w:t>
      </w:r>
      <w:r w:rsidR="004E096A" w:rsidRPr="00A41B49">
        <w:rPr>
          <w:rFonts w:ascii="Times New Roman" w:hAnsi="Times New Roman" w:cs="Times New Roman"/>
          <w:sz w:val="28"/>
          <w:szCs w:val="28"/>
          <w:lang w:val="uk-UA"/>
        </w:rPr>
        <w:t xml:space="preserve">нес-структур в міста та регіоні і оновлення, </w:t>
      </w:r>
      <w:r w:rsidR="00743F18" w:rsidRPr="00A41B49">
        <w:rPr>
          <w:rFonts w:ascii="Times New Roman" w:hAnsi="Times New Roman" w:cs="Times New Roman"/>
          <w:sz w:val="28"/>
          <w:szCs w:val="28"/>
          <w:lang w:val="uk-UA"/>
        </w:rPr>
        <w:t>відповідно</w:t>
      </w:r>
      <w:r w:rsidR="004E096A" w:rsidRPr="00A41B49">
        <w:rPr>
          <w:rFonts w:ascii="Times New Roman" w:hAnsi="Times New Roman" w:cs="Times New Roman"/>
          <w:sz w:val="28"/>
          <w:szCs w:val="28"/>
          <w:lang w:val="uk-UA"/>
        </w:rPr>
        <w:t>, інформації, що міститься інвестиційному порталі міста</w:t>
      </w:r>
      <w:r w:rsidR="00743F18" w:rsidRPr="00A41B49">
        <w:rPr>
          <w:rFonts w:ascii="Times New Roman" w:hAnsi="Times New Roman" w:cs="Times New Roman"/>
          <w:sz w:val="28"/>
          <w:szCs w:val="28"/>
          <w:lang w:val="uk-UA"/>
        </w:rPr>
        <w:t xml:space="preserve">, у </w:t>
      </w:r>
      <w:r w:rsidR="009848B1" w:rsidRPr="00A41B49">
        <w:rPr>
          <w:rFonts w:ascii="Times New Roman" w:hAnsi="Times New Roman" w:cs="Times New Roman"/>
          <w:sz w:val="28"/>
          <w:szCs w:val="28"/>
          <w:lang w:val="uk-UA"/>
        </w:rPr>
        <w:t>інвестиційному</w:t>
      </w:r>
      <w:r w:rsidR="00743F18" w:rsidRPr="00A41B49">
        <w:rPr>
          <w:rFonts w:ascii="Times New Roman" w:hAnsi="Times New Roman" w:cs="Times New Roman"/>
          <w:sz w:val="28"/>
          <w:szCs w:val="28"/>
          <w:lang w:val="uk-UA"/>
        </w:rPr>
        <w:t xml:space="preserve"> паспорті міста</w:t>
      </w:r>
      <w:r w:rsidR="004E096A" w:rsidRPr="00A41B49">
        <w:rPr>
          <w:rFonts w:ascii="Times New Roman" w:hAnsi="Times New Roman" w:cs="Times New Roman"/>
          <w:sz w:val="28"/>
          <w:szCs w:val="28"/>
          <w:lang w:val="uk-UA"/>
        </w:rPr>
        <w:t xml:space="preserve"> .</w:t>
      </w:r>
    </w:p>
    <w:p w14:paraId="5C7F36F9" w14:textId="77777777" w:rsidR="004E096A" w:rsidRPr="00A41B49" w:rsidRDefault="00743F18" w:rsidP="00283EDD">
      <w:pPr>
        <w:spacing w:after="0" w:line="240" w:lineRule="auto"/>
        <w:ind w:firstLine="709"/>
        <w:jc w:val="both"/>
        <w:rPr>
          <w:rFonts w:ascii="Times New Roman" w:hAnsi="Times New Roman" w:cs="Times New Roman"/>
          <w:sz w:val="28"/>
          <w:szCs w:val="28"/>
          <w:lang w:val="uk-UA"/>
        </w:rPr>
      </w:pPr>
      <w:r w:rsidRPr="00A41B49">
        <w:rPr>
          <w:rFonts w:ascii="Times New Roman" w:hAnsi="Times New Roman" w:cs="Times New Roman"/>
          <w:sz w:val="28"/>
          <w:szCs w:val="28"/>
          <w:lang w:val="uk-UA"/>
        </w:rPr>
        <w:t>П’ятим завданням у</w:t>
      </w:r>
      <w:r w:rsidRPr="00A41B49">
        <w:rPr>
          <w:rFonts w:ascii="Times New Roman" w:hAnsi="Times New Roman" w:cs="Times New Roman"/>
          <w:lang w:val="uk-UA"/>
        </w:rPr>
        <w:t xml:space="preserve"> </w:t>
      </w:r>
      <w:r w:rsidRPr="00A41B49">
        <w:rPr>
          <w:rFonts w:ascii="Times New Roman" w:hAnsi="Times New Roman" w:cs="Times New Roman"/>
          <w:sz w:val="28"/>
          <w:szCs w:val="28"/>
          <w:lang w:val="uk-UA"/>
        </w:rPr>
        <w:t>напрямку забезпечення досягнення зазначеної мети є</w:t>
      </w:r>
      <w:r w:rsidR="00096E37" w:rsidRPr="00A41B49">
        <w:rPr>
          <w:rFonts w:ascii="Times New Roman" w:hAnsi="Times New Roman" w:cs="Times New Roman"/>
          <w:sz w:val="28"/>
          <w:szCs w:val="28"/>
          <w:lang w:val="uk-UA"/>
        </w:rPr>
        <w:t xml:space="preserve"> </w:t>
      </w:r>
      <w:r w:rsidR="00266C6C" w:rsidRPr="00A41B49">
        <w:rPr>
          <w:rFonts w:ascii="Times New Roman" w:hAnsi="Times New Roman" w:cs="Times New Roman"/>
          <w:sz w:val="28"/>
          <w:szCs w:val="28"/>
          <w:lang w:val="uk-UA"/>
        </w:rPr>
        <w:t xml:space="preserve">брендування громади, </w:t>
      </w:r>
      <w:r w:rsidR="00096E37" w:rsidRPr="00A41B49">
        <w:rPr>
          <w:rFonts w:ascii="Times New Roman" w:hAnsi="Times New Roman" w:cs="Times New Roman"/>
          <w:sz w:val="28"/>
          <w:szCs w:val="28"/>
          <w:lang w:val="uk-UA"/>
        </w:rPr>
        <w:t xml:space="preserve">створення та розвиток агенцій економічного розвитку в місті, забезпечення постійного підвищення кваліфікації працівників, залучених до їх функціонування. </w:t>
      </w:r>
    </w:p>
    <w:p w14:paraId="176CD509" w14:textId="77777777" w:rsidR="006C41CF" w:rsidRPr="00A41B49" w:rsidRDefault="006C41CF" w:rsidP="00283EDD">
      <w:pPr>
        <w:spacing w:after="0" w:line="240" w:lineRule="auto"/>
        <w:rPr>
          <w:rFonts w:ascii="Times New Roman" w:hAnsi="Times New Roman" w:cs="Times New Roman"/>
          <w:sz w:val="28"/>
          <w:szCs w:val="28"/>
          <w:lang w:val="uk-UA"/>
        </w:rPr>
      </w:pPr>
      <w:r w:rsidRPr="00A41B49">
        <w:rPr>
          <w:rFonts w:ascii="Times New Roman" w:hAnsi="Times New Roman" w:cs="Times New Roman"/>
          <w:sz w:val="28"/>
          <w:szCs w:val="28"/>
          <w:lang w:val="uk-UA"/>
        </w:rPr>
        <w:br w:type="page"/>
      </w:r>
    </w:p>
    <w:p w14:paraId="4535874C" w14:textId="77777777" w:rsidR="00852F12" w:rsidRPr="00A41B49" w:rsidRDefault="006C41CF" w:rsidP="006C41CF">
      <w:pPr>
        <w:spacing w:after="0" w:line="240" w:lineRule="auto"/>
        <w:ind w:firstLine="709"/>
        <w:jc w:val="center"/>
        <w:rPr>
          <w:rFonts w:ascii="Times New Roman" w:hAnsi="Times New Roman" w:cs="Times New Roman"/>
          <w:b/>
          <w:sz w:val="28"/>
          <w:szCs w:val="28"/>
          <w:lang w:val="uk-UA"/>
        </w:rPr>
      </w:pPr>
      <w:r w:rsidRPr="00A41B49">
        <w:rPr>
          <w:rFonts w:ascii="Times New Roman" w:hAnsi="Times New Roman" w:cs="Times New Roman"/>
          <w:b/>
          <w:sz w:val="28"/>
          <w:szCs w:val="28"/>
          <w:lang w:val="uk-UA"/>
        </w:rPr>
        <w:lastRenderedPageBreak/>
        <w:t>СПИСОК ВИКОРИСТАНИХ ДЖЕРЕЛ</w:t>
      </w:r>
    </w:p>
    <w:p w14:paraId="31943DF6" w14:textId="77777777" w:rsidR="00AF7E02" w:rsidRPr="00A41B49" w:rsidRDefault="00AF7E02" w:rsidP="006C41CF">
      <w:pPr>
        <w:spacing w:after="0" w:line="240" w:lineRule="auto"/>
        <w:ind w:firstLine="709"/>
        <w:jc w:val="center"/>
        <w:rPr>
          <w:rFonts w:ascii="Times New Roman" w:hAnsi="Times New Roman" w:cs="Times New Roman"/>
          <w:b/>
          <w:spacing w:val="-6"/>
          <w:sz w:val="28"/>
          <w:szCs w:val="28"/>
          <w:lang w:val="uk-UA"/>
        </w:rPr>
      </w:pPr>
    </w:p>
    <w:p w14:paraId="1F19C78F" w14:textId="77777777" w:rsidR="00AF7E02" w:rsidRPr="00A41B49" w:rsidRDefault="00AF7E02" w:rsidP="00246DF4">
      <w:pPr>
        <w:pStyle w:val="a6"/>
        <w:numPr>
          <w:ilvl w:val="0"/>
          <w:numId w:val="8"/>
        </w:numPr>
        <w:shd w:val="clear" w:color="auto" w:fill="FFFFFF"/>
        <w:tabs>
          <w:tab w:val="left" w:pos="1134"/>
        </w:tabs>
        <w:spacing w:after="0" w:line="240" w:lineRule="auto"/>
        <w:ind w:left="0" w:firstLine="709"/>
        <w:jc w:val="both"/>
        <w:outlineLvl w:val="0"/>
        <w:rPr>
          <w:rFonts w:ascii="Times New Roman" w:eastAsia="Times New Roman" w:hAnsi="Times New Roman" w:cs="Times New Roman"/>
          <w:bCs/>
          <w:spacing w:val="-6"/>
          <w:kern w:val="36"/>
          <w:sz w:val="28"/>
          <w:szCs w:val="28"/>
          <w:lang w:val="uk-UA" w:eastAsia="ru-RU"/>
        </w:rPr>
      </w:pPr>
      <w:r w:rsidRPr="00A41B49">
        <w:rPr>
          <w:rFonts w:ascii="Times New Roman" w:hAnsi="Times New Roman" w:cs="Times New Roman"/>
          <w:spacing w:val="-6"/>
          <w:sz w:val="28"/>
          <w:szCs w:val="28"/>
          <w:shd w:val="clear" w:color="auto" w:fill="FFFFFF"/>
          <w:lang w:val="uk-UA"/>
        </w:rPr>
        <w:t xml:space="preserve">Fitch Ratings. </w:t>
      </w:r>
      <w:r w:rsidRPr="00A41B49">
        <w:rPr>
          <w:rFonts w:ascii="Times New Roman" w:eastAsia="Times New Roman" w:hAnsi="Times New Roman" w:cs="Times New Roman"/>
          <w:bCs/>
          <w:spacing w:val="-6"/>
          <w:kern w:val="36"/>
          <w:sz w:val="28"/>
          <w:szCs w:val="28"/>
          <w:lang w:val="uk-UA" w:eastAsia="ru-RU"/>
        </w:rPr>
        <w:t xml:space="preserve">Kryvyi Rih City. </w:t>
      </w:r>
      <w:r w:rsidRPr="00A41B49">
        <w:rPr>
          <w:rFonts w:ascii="Times New Roman" w:hAnsi="Times New Roman"/>
          <w:spacing w:val="-6"/>
          <w:sz w:val="28"/>
          <w:szCs w:val="28"/>
          <w:lang w:val="uk-UA"/>
        </w:rPr>
        <w:t xml:space="preserve">URL: </w:t>
      </w:r>
      <w:hyperlink w:history="1">
        <w:r w:rsidR="00CD4669" w:rsidRPr="00A41B49">
          <w:rPr>
            <w:rStyle w:val="a7"/>
            <w:rFonts w:ascii="Times New Roman" w:eastAsia="Times New Roman" w:hAnsi="Times New Roman" w:cs="Times New Roman"/>
            <w:bCs/>
            <w:color w:val="auto"/>
            <w:spacing w:val="-6"/>
            <w:kern w:val="36"/>
            <w:sz w:val="28"/>
            <w:szCs w:val="28"/>
            <w:u w:val="none"/>
            <w:lang w:val="uk-UA" w:eastAsia="ru-RU"/>
          </w:rPr>
          <w:t>https://www.fitchratings.com /entity/kryvyi-rih-city-96961255</w:t>
        </w:r>
      </w:hyperlink>
      <w:r w:rsidR="00246DF4" w:rsidRPr="00A41B49">
        <w:rPr>
          <w:rFonts w:ascii="Times New Roman" w:eastAsia="Times New Roman" w:hAnsi="Times New Roman" w:cs="Times New Roman"/>
          <w:bCs/>
          <w:spacing w:val="-6"/>
          <w:kern w:val="36"/>
          <w:sz w:val="28"/>
          <w:szCs w:val="28"/>
          <w:lang w:val="uk-UA" w:eastAsia="ru-RU"/>
        </w:rPr>
        <w:t>.</w:t>
      </w:r>
    </w:p>
    <w:p w14:paraId="3B096D79" w14:textId="77777777" w:rsidR="00AF7E02" w:rsidRPr="00A41B49" w:rsidRDefault="00AF7E02" w:rsidP="00246DF4">
      <w:pPr>
        <w:pStyle w:val="a6"/>
        <w:numPr>
          <w:ilvl w:val="0"/>
          <w:numId w:val="8"/>
        </w:numPr>
        <w:shd w:val="clear" w:color="auto" w:fill="FFFFFF"/>
        <w:tabs>
          <w:tab w:val="left" w:pos="1134"/>
        </w:tabs>
        <w:spacing w:after="0" w:line="240" w:lineRule="auto"/>
        <w:ind w:left="0" w:firstLine="709"/>
        <w:jc w:val="both"/>
        <w:outlineLvl w:val="0"/>
        <w:rPr>
          <w:rFonts w:ascii="Times New Roman" w:eastAsia="Times New Roman" w:hAnsi="Times New Roman" w:cs="Times New Roman"/>
          <w:bCs/>
          <w:spacing w:val="-6"/>
          <w:kern w:val="36"/>
          <w:sz w:val="28"/>
          <w:szCs w:val="28"/>
          <w:lang w:val="uk-UA" w:eastAsia="ru-RU"/>
        </w:rPr>
      </w:pPr>
      <w:r w:rsidRPr="00A41B49">
        <w:rPr>
          <w:rFonts w:ascii="Times New Roman" w:eastAsia="Times New Roman" w:hAnsi="Times New Roman" w:cs="Times New Roman"/>
          <w:bCs/>
          <w:spacing w:val="-6"/>
          <w:kern w:val="36"/>
          <w:sz w:val="28"/>
          <w:szCs w:val="28"/>
          <w:lang w:val="uk-UA" w:eastAsia="ru-RU"/>
        </w:rPr>
        <w:t>Українське представництво міжнародної антикорупційної мережі Transparency International. Програма Transparent cities. П</w:t>
      </w:r>
      <w:r w:rsidRPr="00A41B49">
        <w:rPr>
          <w:rFonts w:ascii="Times New Roman" w:hAnsi="Times New Roman" w:cs="Times New Roman"/>
          <w:spacing w:val="-6"/>
          <w:sz w:val="28"/>
          <w:szCs w:val="28"/>
          <w:shd w:val="clear" w:color="auto" w:fill="FFFFFF"/>
          <w:lang w:val="uk-UA"/>
        </w:rPr>
        <w:t>розорість інвестиційної сфери 100 найбільших міст України</w:t>
      </w:r>
      <w:r w:rsidRPr="00A41B49">
        <w:rPr>
          <w:rFonts w:ascii="Times New Roman" w:eastAsia="Times New Roman" w:hAnsi="Times New Roman" w:cs="Times New Roman"/>
          <w:bCs/>
          <w:spacing w:val="-6"/>
          <w:kern w:val="36"/>
          <w:sz w:val="28"/>
          <w:szCs w:val="28"/>
          <w:lang w:val="uk-UA" w:eastAsia="ru-RU"/>
        </w:rPr>
        <w:t>.</w:t>
      </w:r>
      <w:r w:rsidRPr="00A41B49">
        <w:rPr>
          <w:rFonts w:ascii="Times New Roman" w:hAnsi="Times New Roman" w:cs="Times New Roman"/>
          <w:spacing w:val="-6"/>
          <w:sz w:val="28"/>
          <w:szCs w:val="28"/>
          <w:shd w:val="clear" w:color="auto" w:fill="FFFFFF"/>
          <w:lang w:val="uk-UA"/>
        </w:rPr>
        <w:t xml:space="preserve"> Кривий Ріг. </w:t>
      </w:r>
      <w:r w:rsidRPr="00A41B49">
        <w:rPr>
          <w:rFonts w:ascii="Times New Roman" w:hAnsi="Times New Roman"/>
          <w:spacing w:val="-6"/>
          <w:sz w:val="28"/>
          <w:szCs w:val="28"/>
          <w:lang w:val="uk-UA"/>
        </w:rPr>
        <w:t>URL:</w:t>
      </w:r>
      <w:r w:rsidR="00246DF4" w:rsidRPr="00A41B49">
        <w:rPr>
          <w:rFonts w:ascii="Times New Roman" w:hAnsi="Times New Roman"/>
          <w:spacing w:val="-6"/>
          <w:sz w:val="28"/>
          <w:szCs w:val="28"/>
          <w:lang w:val="uk-UA"/>
        </w:rPr>
        <w:t xml:space="preserve"> </w:t>
      </w:r>
      <w:r w:rsidRPr="00A41B49">
        <w:rPr>
          <w:rFonts w:ascii="Times New Roman" w:hAnsi="Times New Roman" w:cs="Times New Roman"/>
          <w:spacing w:val="-6"/>
          <w:sz w:val="28"/>
          <w:szCs w:val="28"/>
          <w:shd w:val="clear" w:color="auto" w:fill="FFFFFF"/>
          <w:lang w:val="uk-UA"/>
        </w:rPr>
        <w:t>https://transparentcities.in.ua/city/kryvyi-rih</w:t>
      </w:r>
      <w:r w:rsidR="00246DF4" w:rsidRPr="00A41B49">
        <w:rPr>
          <w:rFonts w:ascii="Times New Roman" w:hAnsi="Times New Roman" w:cs="Times New Roman"/>
          <w:spacing w:val="-6"/>
          <w:sz w:val="28"/>
          <w:szCs w:val="28"/>
          <w:shd w:val="clear" w:color="auto" w:fill="FFFFFF"/>
          <w:lang w:val="uk-UA"/>
        </w:rPr>
        <w:t>.</w:t>
      </w:r>
    </w:p>
    <w:p w14:paraId="73B9A175"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Найкращі міста для ведення бізнесу 2021. </w:t>
      </w:r>
      <w:hyperlink r:id="rId14" w:history="1">
        <w:r w:rsidRPr="00A41B49">
          <w:rPr>
            <w:rStyle w:val="a7"/>
            <w:rFonts w:ascii="Times New Roman" w:hAnsi="Times New Roman" w:cs="Times New Roman"/>
            <w:color w:val="auto"/>
            <w:spacing w:val="-6"/>
            <w:sz w:val="28"/>
            <w:szCs w:val="28"/>
            <w:u w:val="none"/>
            <w:shd w:val="clear" w:color="auto" w:fill="FCFCFC"/>
            <w:lang w:val="uk-UA"/>
          </w:rPr>
          <w:t>Forbes</w:t>
        </w:r>
      </w:hyperlink>
      <w:r w:rsidRPr="00A41B49">
        <w:rPr>
          <w:rFonts w:ascii="Times New Roman" w:hAnsi="Times New Roman" w:cs="Times New Roman"/>
          <w:spacing w:val="-6"/>
          <w:sz w:val="28"/>
          <w:szCs w:val="28"/>
          <w:lang w:val="uk-UA"/>
        </w:rPr>
        <w:t xml:space="preserve">. </w:t>
      </w:r>
      <w:r w:rsidRPr="00A41B49">
        <w:rPr>
          <w:rFonts w:ascii="Times New Roman" w:hAnsi="Times New Roman"/>
          <w:spacing w:val="-6"/>
          <w:sz w:val="28"/>
          <w:szCs w:val="28"/>
          <w:lang w:val="uk-UA"/>
        </w:rPr>
        <w:t xml:space="preserve">URL: </w:t>
      </w:r>
      <w:hyperlink r:id="rId15" w:history="1">
        <w:r w:rsidRPr="00A41B49">
          <w:rPr>
            <w:rStyle w:val="a7"/>
            <w:rFonts w:ascii="Times New Roman" w:hAnsi="Times New Roman" w:cs="Times New Roman"/>
            <w:color w:val="auto"/>
            <w:spacing w:val="-6"/>
            <w:sz w:val="28"/>
            <w:szCs w:val="28"/>
            <w:u w:val="none"/>
            <w:lang w:val="uk-UA"/>
          </w:rPr>
          <w:t>https://forbes.ua/ratings/naykrashchi-mista-dlya-vedennya-biznesu-2021-05102021-2533</w:t>
        </w:r>
      </w:hyperlink>
      <w:r w:rsidR="00246DF4" w:rsidRPr="00A41B49">
        <w:rPr>
          <w:rFonts w:ascii="Times New Roman" w:hAnsi="Times New Roman" w:cs="Times New Roman"/>
          <w:spacing w:val="-6"/>
          <w:sz w:val="28"/>
          <w:szCs w:val="28"/>
          <w:lang w:val="uk-UA"/>
        </w:rPr>
        <w:t>.</w:t>
      </w:r>
    </w:p>
    <w:p w14:paraId="3373F1ED"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Індекс конкурентоспроможності міст України. Звіт 2021. </w:t>
      </w:r>
      <w:r w:rsidRPr="00A41B49">
        <w:rPr>
          <w:rFonts w:ascii="Times New Roman" w:hAnsi="Times New Roman"/>
          <w:spacing w:val="-6"/>
          <w:sz w:val="28"/>
          <w:szCs w:val="28"/>
          <w:lang w:val="uk-UA"/>
        </w:rPr>
        <w:t xml:space="preserve">URL: </w:t>
      </w:r>
      <w:hyperlink r:id="rId16" w:history="1">
        <w:r w:rsidRPr="00A41B49">
          <w:rPr>
            <w:rStyle w:val="a7"/>
            <w:rFonts w:ascii="Times New Roman" w:hAnsi="Times New Roman" w:cs="Times New Roman"/>
            <w:color w:val="auto"/>
            <w:spacing w:val="-6"/>
            <w:sz w:val="28"/>
            <w:szCs w:val="28"/>
            <w:u w:val="none"/>
            <w:lang w:val="uk-UA"/>
          </w:rPr>
          <w:t>http://www.ier.com.ua/ua/mci/index_2021</w:t>
        </w:r>
      </w:hyperlink>
      <w:r w:rsidR="00246DF4" w:rsidRPr="00A41B49">
        <w:rPr>
          <w:rFonts w:ascii="Times New Roman" w:hAnsi="Times New Roman" w:cs="Times New Roman"/>
          <w:spacing w:val="-6"/>
          <w:sz w:val="28"/>
          <w:szCs w:val="28"/>
          <w:lang w:val="uk-UA"/>
        </w:rPr>
        <w:t>.</w:t>
      </w:r>
    </w:p>
    <w:p w14:paraId="0214E4A6"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Марущак С. М. Міжнародна інвестиційна привабливість українських регіонів. URL:</w:t>
      </w:r>
      <w:r w:rsidR="00246DF4" w:rsidRPr="00A41B49">
        <w:rPr>
          <w:rFonts w:ascii="Times New Roman" w:hAnsi="Times New Roman" w:cs="Times New Roman"/>
          <w:spacing w:val="-6"/>
          <w:sz w:val="28"/>
          <w:szCs w:val="28"/>
          <w:lang w:val="uk-UA"/>
        </w:rPr>
        <w:t xml:space="preserve"> </w:t>
      </w:r>
      <w:hyperlink r:id="rId17" w:history="1">
        <w:r w:rsidR="00CD4669" w:rsidRPr="00A41B49">
          <w:rPr>
            <w:rStyle w:val="a7"/>
            <w:rFonts w:ascii="Times New Roman" w:hAnsi="Times New Roman" w:cs="Times New Roman"/>
            <w:color w:val="auto"/>
            <w:spacing w:val="-6"/>
            <w:sz w:val="28"/>
            <w:szCs w:val="28"/>
            <w:u w:val="none"/>
            <w:lang w:val="uk-UA"/>
          </w:rPr>
          <w:t>https://www.researchgate.net/publication/370504004_International_ Investment_Attractiveness_of_Ukrainian_Regions</w:t>
        </w:r>
      </w:hyperlink>
      <w:r w:rsidR="00246DF4" w:rsidRPr="00A41B49">
        <w:rPr>
          <w:rFonts w:ascii="Times New Roman" w:hAnsi="Times New Roman" w:cs="Times New Roman"/>
          <w:spacing w:val="-6"/>
          <w:sz w:val="28"/>
          <w:szCs w:val="28"/>
          <w:lang w:val="uk-UA"/>
        </w:rPr>
        <w:t>.</w:t>
      </w:r>
    </w:p>
    <w:p w14:paraId="769455B8"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Маркетингова стратегія міста Кривого Рогу. </w:t>
      </w:r>
      <w:r w:rsidRPr="00A41B49">
        <w:rPr>
          <w:rFonts w:ascii="Times New Roman" w:hAnsi="Times New Roman"/>
          <w:spacing w:val="-6"/>
          <w:sz w:val="28"/>
          <w:szCs w:val="28"/>
          <w:lang w:val="uk-UA"/>
        </w:rPr>
        <w:t>URL:</w:t>
      </w:r>
      <w:r w:rsidR="00246DF4" w:rsidRPr="00A41B49">
        <w:rPr>
          <w:rFonts w:ascii="Times New Roman" w:hAnsi="Times New Roman"/>
          <w:spacing w:val="-6"/>
          <w:sz w:val="28"/>
          <w:szCs w:val="28"/>
          <w:lang w:val="uk-UA"/>
        </w:rPr>
        <w:t xml:space="preserve"> </w:t>
      </w:r>
      <w:hyperlink r:id="rId18" w:history="1">
        <w:r w:rsidRPr="00A41B49">
          <w:rPr>
            <w:rStyle w:val="a7"/>
            <w:rFonts w:ascii="Times New Roman" w:hAnsi="Times New Roman" w:cs="Times New Roman"/>
            <w:color w:val="auto"/>
            <w:spacing w:val="-6"/>
            <w:sz w:val="28"/>
            <w:szCs w:val="28"/>
            <w:u w:val="none"/>
            <w:lang w:val="uk-UA"/>
          </w:rPr>
          <w:t>http://irm.kr.ua/files/pdf/KR_Marketing_Strategy.pdf</w:t>
        </w:r>
      </w:hyperlink>
      <w:r w:rsidR="00246DF4" w:rsidRPr="00A41B49">
        <w:rPr>
          <w:rFonts w:ascii="Times New Roman" w:hAnsi="Times New Roman" w:cs="Times New Roman"/>
          <w:spacing w:val="-6"/>
          <w:sz w:val="28"/>
          <w:szCs w:val="28"/>
          <w:lang w:val="uk-UA"/>
        </w:rPr>
        <w:t>.</w:t>
      </w:r>
    </w:p>
    <w:p w14:paraId="33A97480"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Гуткевич С.О., Пугачов М.І., Завадських Г.М., Занозовська О.Г.</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Стратегія розвитку: інвестиційний вимір: монографія. Харків, 2016. 162 с.</w:t>
      </w:r>
    </w:p>
    <w:p w14:paraId="06E71843"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Закон України «Про інвестиційну діяльність». URL:</w:t>
      </w:r>
      <w:r w:rsidR="00246DF4" w:rsidRPr="00A41B49">
        <w:rPr>
          <w:rFonts w:ascii="Times New Roman" w:hAnsi="Times New Roman" w:cs="Times New Roman"/>
          <w:spacing w:val="-6"/>
          <w:sz w:val="28"/>
          <w:szCs w:val="28"/>
          <w:lang w:val="uk-UA"/>
        </w:rPr>
        <w:t xml:space="preserve"> </w:t>
      </w:r>
      <w:hyperlink r:id="rId19" w:anchor="Text" w:history="1">
        <w:r w:rsidRPr="00A41B49">
          <w:rPr>
            <w:rStyle w:val="a7"/>
            <w:rFonts w:ascii="Times New Roman" w:hAnsi="Times New Roman" w:cs="Times New Roman"/>
            <w:color w:val="auto"/>
            <w:spacing w:val="-6"/>
            <w:sz w:val="28"/>
            <w:szCs w:val="28"/>
            <w:u w:val="none"/>
            <w:lang w:val="uk-UA"/>
          </w:rPr>
          <w:t>https://zakon.rada.gov.ua/laws/show/1560-12#Text</w:t>
        </w:r>
      </w:hyperlink>
      <w:r w:rsidR="00246DF4" w:rsidRPr="00A41B49">
        <w:rPr>
          <w:rFonts w:ascii="Times New Roman" w:hAnsi="Times New Roman" w:cs="Times New Roman"/>
          <w:spacing w:val="-6"/>
          <w:sz w:val="28"/>
          <w:szCs w:val="28"/>
          <w:lang w:val="uk-UA"/>
        </w:rPr>
        <w:t>.</w:t>
      </w:r>
    </w:p>
    <w:p w14:paraId="6A9A79EF"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Пронь Л.М. Інвестиційна політика та інвестиційний розвиток регіону: сутність та характеристика. </w:t>
      </w:r>
      <w:r w:rsidRPr="00A41B49">
        <w:rPr>
          <w:rFonts w:ascii="Times New Roman" w:hAnsi="Times New Roman"/>
          <w:spacing w:val="-6"/>
          <w:sz w:val="28"/>
          <w:szCs w:val="28"/>
          <w:lang w:val="uk-UA"/>
        </w:rPr>
        <w:t>URL:</w:t>
      </w:r>
      <w:r w:rsidR="00246DF4" w:rsidRPr="00A41B49">
        <w:rPr>
          <w:rFonts w:ascii="Times New Roman" w:hAnsi="Times New Roman"/>
          <w:spacing w:val="-6"/>
          <w:sz w:val="28"/>
          <w:szCs w:val="28"/>
          <w:lang w:val="uk-UA"/>
        </w:rPr>
        <w:t xml:space="preserve"> </w:t>
      </w:r>
      <w:hyperlink w:history="1">
        <w:r w:rsidR="00CD4669" w:rsidRPr="00A41B49">
          <w:rPr>
            <w:rStyle w:val="a7"/>
            <w:rFonts w:ascii="Times New Roman" w:hAnsi="Times New Roman" w:cs="Times New Roman"/>
            <w:color w:val="auto"/>
            <w:spacing w:val="-6"/>
            <w:sz w:val="28"/>
            <w:szCs w:val="28"/>
            <w:u w:val="none"/>
            <w:lang w:val="uk-UA"/>
          </w:rPr>
          <w:t>https://pubadm.vernadskyjournals.in.ua /journals/2022/6_2022/22.pdf</w:t>
        </w:r>
      </w:hyperlink>
      <w:r w:rsidR="00246DF4" w:rsidRPr="00A41B49">
        <w:rPr>
          <w:rFonts w:ascii="Times New Roman" w:hAnsi="Times New Roman" w:cs="Times New Roman"/>
          <w:spacing w:val="-6"/>
          <w:sz w:val="28"/>
          <w:szCs w:val="28"/>
          <w:lang w:val="uk-UA"/>
        </w:rPr>
        <w:t>.</w:t>
      </w:r>
    </w:p>
    <w:p w14:paraId="4344BD7C"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Кейс-стаді Впровадження Інвестиційних Інструментів на регіональному та муніципальному рівнях. </w:t>
      </w:r>
      <w:r w:rsidRPr="00A41B49">
        <w:rPr>
          <w:rFonts w:ascii="Times New Roman" w:hAnsi="Times New Roman"/>
          <w:spacing w:val="-6"/>
          <w:sz w:val="28"/>
          <w:szCs w:val="28"/>
          <w:lang w:val="uk-UA"/>
        </w:rPr>
        <w:t>URL:</w:t>
      </w:r>
      <w:r w:rsidR="00246DF4" w:rsidRPr="00A41B49">
        <w:rPr>
          <w:rFonts w:ascii="Times New Roman" w:hAnsi="Times New Roman"/>
          <w:spacing w:val="-6"/>
          <w:sz w:val="28"/>
          <w:szCs w:val="28"/>
          <w:lang w:val="uk-UA"/>
        </w:rPr>
        <w:t xml:space="preserve"> </w:t>
      </w:r>
      <w:hyperlink w:history="1">
        <w:r w:rsidR="00CD4669" w:rsidRPr="00A41B49">
          <w:rPr>
            <w:rStyle w:val="a7"/>
            <w:rFonts w:ascii="Times New Roman" w:hAnsi="Times New Roman" w:cs="Times New Roman"/>
            <w:color w:val="auto"/>
            <w:spacing w:val="-6"/>
            <w:sz w:val="28"/>
            <w:szCs w:val="28"/>
            <w:u w:val="none"/>
            <w:lang w:val="uk-UA"/>
          </w:rPr>
          <w:t>https://decentralization.gov.ua /uploads/library/file/609/Case_Study_PLEDDG_Investments-web.pdf</w:t>
        </w:r>
      </w:hyperlink>
      <w:r w:rsidR="00246DF4" w:rsidRPr="00A41B49">
        <w:rPr>
          <w:rFonts w:ascii="Times New Roman" w:hAnsi="Times New Roman" w:cs="Times New Roman"/>
          <w:spacing w:val="-6"/>
          <w:sz w:val="28"/>
          <w:szCs w:val="28"/>
          <w:lang w:val="uk-UA"/>
        </w:rPr>
        <w:t>.</w:t>
      </w:r>
    </w:p>
    <w:p w14:paraId="3F261AF5"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Погуляйко Ю.М. Інструменти інвестиційно-інноваційного забезпечення регіону в умовах децентралізаційних змін. </w:t>
      </w:r>
      <w:r w:rsidRPr="00A41B49">
        <w:rPr>
          <w:rFonts w:ascii="Times New Roman" w:hAnsi="Times New Roman"/>
          <w:spacing w:val="-6"/>
          <w:sz w:val="28"/>
          <w:szCs w:val="28"/>
          <w:lang w:val="uk-UA"/>
        </w:rPr>
        <w:t>URL:</w:t>
      </w:r>
      <w:r w:rsidR="00246DF4" w:rsidRPr="00A41B49">
        <w:rPr>
          <w:rFonts w:ascii="Times New Roman" w:hAnsi="Times New Roman"/>
          <w:spacing w:val="-6"/>
          <w:sz w:val="28"/>
          <w:szCs w:val="28"/>
          <w:lang w:val="uk-UA"/>
        </w:rPr>
        <w:t xml:space="preserve"> </w:t>
      </w:r>
      <w:hyperlink r:id="rId20" w:history="1">
        <w:r w:rsidRPr="00A41B49">
          <w:rPr>
            <w:rStyle w:val="a7"/>
            <w:rFonts w:ascii="Times New Roman" w:hAnsi="Times New Roman" w:cs="Times New Roman"/>
            <w:color w:val="auto"/>
            <w:spacing w:val="-6"/>
            <w:sz w:val="28"/>
            <w:szCs w:val="28"/>
            <w:u w:val="none"/>
            <w:lang w:val="uk-UA"/>
          </w:rPr>
          <w:t>https://journals.indexcopernicus.com/api/file/viewbyfileid/1436757</w:t>
        </w:r>
      </w:hyperlink>
      <w:r w:rsidR="00246DF4" w:rsidRPr="00A41B49">
        <w:rPr>
          <w:rFonts w:ascii="Times New Roman" w:hAnsi="Times New Roman" w:cs="Times New Roman"/>
          <w:spacing w:val="-6"/>
          <w:sz w:val="28"/>
          <w:szCs w:val="28"/>
          <w:lang w:val="uk-UA"/>
        </w:rPr>
        <w:t>.</w:t>
      </w:r>
    </w:p>
    <w:p w14:paraId="33E50BD6"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Звіт про роботу семінару Підтримка децентралізації в Україні: вдосконалення державного інвестування на всіх рівнях врядування. URL: </w:t>
      </w:r>
      <w:hyperlink r:id="rId21" w:history="1">
        <w:r w:rsidRPr="00A41B49">
          <w:rPr>
            <w:rStyle w:val="a7"/>
            <w:rFonts w:ascii="Times New Roman" w:hAnsi="Times New Roman" w:cs="Times New Roman"/>
            <w:color w:val="auto"/>
            <w:spacing w:val="-6"/>
            <w:sz w:val="28"/>
            <w:szCs w:val="28"/>
            <w:lang w:val="uk-UA"/>
          </w:rPr>
          <w:t>h</w:t>
        </w:r>
        <w:r w:rsidRPr="00A41B49">
          <w:rPr>
            <w:rStyle w:val="a7"/>
            <w:rFonts w:ascii="Times New Roman" w:hAnsi="Times New Roman" w:cs="Times New Roman"/>
            <w:color w:val="auto"/>
            <w:spacing w:val="-6"/>
            <w:sz w:val="28"/>
            <w:szCs w:val="28"/>
            <w:u w:val="none"/>
            <w:lang w:val="uk-UA"/>
          </w:rPr>
          <w:t>ttps://www.oecd.org/regional/regionaldevelopment/Ukraine-Decentralisation-Proceedings-Lviv-UKR.pdf</w:t>
        </w:r>
      </w:hyperlink>
      <w:r w:rsidR="00246DF4" w:rsidRPr="00A41B49">
        <w:rPr>
          <w:rFonts w:ascii="Times New Roman" w:hAnsi="Times New Roman" w:cs="Times New Roman"/>
          <w:spacing w:val="-6"/>
          <w:sz w:val="28"/>
          <w:szCs w:val="28"/>
          <w:lang w:val="uk-UA"/>
        </w:rPr>
        <w:t>.</w:t>
      </w:r>
    </w:p>
    <w:p w14:paraId="7503DA9E"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Гелеверя Є. М., Сергієнко Ю. І. Інвестиційна привабливість регіонів як основа сталого розвитку країни. </w:t>
      </w:r>
      <w:r w:rsidR="00F628CC" w:rsidRPr="00A41B49">
        <w:rPr>
          <w:rFonts w:ascii="Times New Roman" w:hAnsi="Times New Roman" w:cs="Times New Roman"/>
          <w:spacing w:val="-6"/>
          <w:sz w:val="28"/>
          <w:szCs w:val="28"/>
          <w:lang w:val="uk-UA"/>
        </w:rPr>
        <w:t>Бізнес</w:t>
      </w:r>
      <w:r w:rsidRPr="00A41B49">
        <w:rPr>
          <w:rFonts w:ascii="Times New Roman" w:hAnsi="Times New Roman" w:cs="Times New Roman"/>
          <w:spacing w:val="-6"/>
          <w:sz w:val="28"/>
          <w:szCs w:val="28"/>
          <w:lang w:val="uk-UA"/>
        </w:rPr>
        <w:t>-</w:t>
      </w:r>
      <w:r w:rsidR="00F628CC" w:rsidRPr="00A41B49">
        <w:rPr>
          <w:rFonts w:ascii="Times New Roman" w:hAnsi="Times New Roman" w:cs="Times New Roman"/>
          <w:spacing w:val="-6"/>
          <w:sz w:val="28"/>
          <w:szCs w:val="28"/>
          <w:lang w:val="uk-UA"/>
        </w:rPr>
        <w:t xml:space="preserve">інформ. № 4, </w:t>
      </w:r>
      <w:r w:rsidRPr="00A41B49">
        <w:rPr>
          <w:rFonts w:ascii="Times New Roman" w:hAnsi="Times New Roman" w:cs="Times New Roman"/>
          <w:spacing w:val="-6"/>
          <w:sz w:val="28"/>
          <w:szCs w:val="28"/>
          <w:lang w:val="uk-UA"/>
        </w:rPr>
        <w:t xml:space="preserve">2020. С. 111-117. </w:t>
      </w:r>
    </w:p>
    <w:p w14:paraId="2FE6E359"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Бобровська О.Ю., Савостенко Т.О., Кондрашихін А.Б. Публічне управління інвестиціями</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в</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умовах</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ринкових</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трансформацій: навч.</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посіб.</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А. 2-ге вид., допов. Дніпро : ГРАНІ, 2018. 238с.</w:t>
      </w:r>
    </w:p>
    <w:p w14:paraId="47ACA23A" w14:textId="77777777" w:rsidR="00CD4669" w:rsidRPr="00A41B49" w:rsidRDefault="00AF7E02" w:rsidP="00CD4669">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shd w:val="clear" w:color="auto" w:fill="FFFFFF"/>
          <w:lang w:val="uk-UA"/>
        </w:rPr>
        <w:t>Пронь Л. М.. Інструменти публічного управління інвестиційним розвитком регіону.</w:t>
      </w:r>
      <w:r w:rsidR="00246DF4" w:rsidRPr="00A41B49">
        <w:rPr>
          <w:rFonts w:ascii="Times New Roman" w:hAnsi="Times New Roman" w:cs="Times New Roman"/>
          <w:spacing w:val="-6"/>
          <w:sz w:val="28"/>
          <w:szCs w:val="28"/>
          <w:shd w:val="clear" w:color="auto" w:fill="FFFFFF"/>
          <w:lang w:val="uk-UA"/>
        </w:rPr>
        <w:t xml:space="preserve"> </w:t>
      </w:r>
      <w:r w:rsidRPr="00A41B49">
        <w:rPr>
          <w:rFonts w:ascii="Times New Roman" w:hAnsi="Times New Roman"/>
          <w:spacing w:val="-6"/>
          <w:sz w:val="28"/>
          <w:szCs w:val="28"/>
          <w:lang w:val="uk-UA"/>
        </w:rPr>
        <w:t xml:space="preserve">URL: </w:t>
      </w:r>
      <w:hyperlink r:id="rId22" w:history="1">
        <w:r w:rsidRPr="00A41B49">
          <w:rPr>
            <w:rStyle w:val="a7"/>
            <w:rFonts w:ascii="Times New Roman" w:hAnsi="Times New Roman" w:cs="Times New Roman"/>
            <w:color w:val="auto"/>
            <w:spacing w:val="-6"/>
            <w:sz w:val="28"/>
            <w:szCs w:val="28"/>
            <w:u w:val="none"/>
            <w:shd w:val="clear" w:color="auto" w:fill="FFFFFF"/>
            <w:lang w:val="uk-UA"/>
          </w:rPr>
          <w:t>https://doi.org/10.32851/tnv-pub.2023.2.3</w:t>
        </w:r>
      </w:hyperlink>
      <w:r w:rsidR="00246DF4" w:rsidRPr="00A41B49">
        <w:rPr>
          <w:rFonts w:ascii="Times New Roman" w:hAnsi="Times New Roman" w:cs="Times New Roman"/>
          <w:spacing w:val="-6"/>
          <w:sz w:val="28"/>
          <w:szCs w:val="28"/>
          <w:shd w:val="clear" w:color="auto" w:fill="FFFFFF"/>
          <w:lang w:val="uk-UA"/>
        </w:rPr>
        <w:t>.</w:t>
      </w:r>
    </w:p>
    <w:p w14:paraId="44D85D31" w14:textId="77777777" w:rsidR="00AF7E02" w:rsidRPr="00A41B49" w:rsidRDefault="00AF7E02" w:rsidP="00CD4669">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Васильєв О. Л. </w:t>
      </w:r>
      <w:r w:rsidR="00D14B47" w:rsidRPr="00A41B49">
        <w:rPr>
          <w:rFonts w:ascii="Times New Roman" w:hAnsi="Times New Roman" w:cs="Times New Roman"/>
          <w:spacing w:val="-6"/>
          <w:sz w:val="28"/>
          <w:szCs w:val="28"/>
          <w:lang w:val="uk-UA"/>
        </w:rPr>
        <w:t xml:space="preserve">Публічне управління інвестиціями місцевих громад в умовах євроінтеграції </w:t>
      </w:r>
      <w:r w:rsidR="00F628CC" w:rsidRPr="00A41B49">
        <w:rPr>
          <w:rFonts w:ascii="Times New Roman" w:hAnsi="Times New Roman" w:cs="Times New Roman"/>
          <w:spacing w:val="-6"/>
          <w:sz w:val="28"/>
          <w:szCs w:val="28"/>
          <w:lang w:val="uk-UA"/>
        </w:rPr>
        <w:t xml:space="preserve">України. </w:t>
      </w:r>
      <w:r w:rsidR="00C22056" w:rsidRPr="00A41B49">
        <w:rPr>
          <w:rFonts w:ascii="Times New Roman" w:hAnsi="Times New Roman" w:cs="Times New Roman"/>
          <w:spacing w:val="-6"/>
          <w:sz w:val="28"/>
          <w:szCs w:val="28"/>
          <w:lang w:val="uk-UA"/>
        </w:rPr>
        <w:t xml:space="preserve">URL: </w:t>
      </w:r>
      <w:hyperlink r:id="rId23" w:history="1">
        <w:r w:rsidR="00CD4669" w:rsidRPr="00A41B49">
          <w:rPr>
            <w:rStyle w:val="a7"/>
            <w:rFonts w:ascii="Times New Roman" w:hAnsi="Times New Roman" w:cs="Times New Roman"/>
            <w:color w:val="auto"/>
            <w:spacing w:val="-6"/>
            <w:sz w:val="28"/>
            <w:szCs w:val="28"/>
            <w:u w:val="none"/>
            <w:lang w:val="uk-UA"/>
          </w:rPr>
          <w:t>http://customs-admin.umsf.in.ua/archive/2022/ spec/4.pdf</w:t>
        </w:r>
      </w:hyperlink>
      <w:r w:rsidR="00246DF4" w:rsidRPr="00A41B49">
        <w:rPr>
          <w:rFonts w:ascii="Times New Roman" w:hAnsi="Times New Roman" w:cs="Times New Roman"/>
          <w:spacing w:val="-6"/>
          <w:sz w:val="28"/>
          <w:szCs w:val="28"/>
          <w:lang w:val="uk-UA"/>
        </w:rPr>
        <w:t>.</w:t>
      </w:r>
    </w:p>
    <w:p w14:paraId="3B7BFDA3"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lastRenderedPageBreak/>
        <w:t xml:space="preserve">Міністерство фінансів України. </w:t>
      </w:r>
      <w:r w:rsidRPr="00A41B49">
        <w:rPr>
          <w:rStyle w:val="text"/>
          <w:rFonts w:ascii="Times New Roman" w:hAnsi="Times New Roman" w:cs="Times New Roman"/>
          <w:spacing w:val="-6"/>
          <w:sz w:val="28"/>
          <w:szCs w:val="28"/>
          <w:bdr w:val="none" w:sz="0" w:space="0" w:color="auto" w:frame="1"/>
          <w:lang w:val="uk-UA"/>
        </w:rPr>
        <w:t>Кредитний рейтинг</w:t>
      </w:r>
      <w:r w:rsidR="00C22056" w:rsidRPr="00A41B49">
        <w:rPr>
          <w:rStyle w:val="text"/>
          <w:rFonts w:ascii="Times New Roman" w:hAnsi="Times New Roman" w:cs="Times New Roman"/>
          <w:spacing w:val="-6"/>
          <w:sz w:val="28"/>
          <w:szCs w:val="28"/>
          <w:bdr w:val="none" w:sz="0" w:space="0" w:color="auto" w:frame="1"/>
          <w:lang w:val="uk-UA"/>
        </w:rPr>
        <w:t xml:space="preserve">. </w:t>
      </w:r>
      <w:r w:rsidR="00C22056" w:rsidRPr="00A41B49">
        <w:rPr>
          <w:rFonts w:ascii="Times New Roman" w:hAnsi="Times New Roman" w:cs="Times New Roman"/>
          <w:spacing w:val="-6"/>
          <w:sz w:val="28"/>
          <w:szCs w:val="28"/>
          <w:lang w:val="uk-UA"/>
        </w:rPr>
        <w:t>URL:</w:t>
      </w:r>
      <w:r w:rsidR="00246DF4" w:rsidRPr="00A41B49">
        <w:rPr>
          <w:rFonts w:ascii="Times New Roman" w:hAnsi="Times New Roman" w:cs="Times New Roman"/>
          <w:spacing w:val="-6"/>
          <w:sz w:val="28"/>
          <w:szCs w:val="28"/>
          <w:lang w:val="uk-UA"/>
        </w:rPr>
        <w:t xml:space="preserve"> </w:t>
      </w:r>
      <w:r w:rsidRPr="00A41B49">
        <w:rPr>
          <w:rStyle w:val="text"/>
          <w:rFonts w:ascii="Times New Roman" w:hAnsi="Times New Roman" w:cs="Times New Roman"/>
          <w:spacing w:val="-6"/>
          <w:sz w:val="28"/>
          <w:szCs w:val="28"/>
          <w:bdr w:val="none" w:sz="0" w:space="0" w:color="auto" w:frame="1"/>
          <w:lang w:val="uk-UA"/>
        </w:rPr>
        <w:t>https://mof.gov.ua/uk/kreditnij-rejting-potochni-rejtingi-zagalna-informacija-istorichni-zmini</w:t>
      </w:r>
      <w:r w:rsidR="00246DF4" w:rsidRPr="00A41B49">
        <w:rPr>
          <w:rStyle w:val="text"/>
          <w:rFonts w:ascii="Times New Roman" w:hAnsi="Times New Roman" w:cs="Times New Roman"/>
          <w:spacing w:val="-6"/>
          <w:sz w:val="28"/>
          <w:szCs w:val="28"/>
          <w:bdr w:val="none" w:sz="0" w:space="0" w:color="auto" w:frame="1"/>
          <w:lang w:val="uk-UA"/>
        </w:rPr>
        <w:t>.</w:t>
      </w:r>
    </w:p>
    <w:p w14:paraId="1EBE3214"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Національний банк України. </w:t>
      </w:r>
      <w:r w:rsidRPr="00A41B49">
        <w:rPr>
          <w:rFonts w:ascii="Times New Roman" w:hAnsi="Times New Roman" w:cs="Times New Roman"/>
          <w:spacing w:val="-6"/>
          <w:sz w:val="28"/>
          <w:szCs w:val="28"/>
          <w:shd w:val="clear" w:color="auto" w:fill="FFFFFF"/>
          <w:lang w:val="uk-UA"/>
        </w:rPr>
        <w:t>Статистика зовнішнього сектору</w:t>
      </w:r>
      <w:r w:rsidR="00C22056" w:rsidRPr="00A41B49">
        <w:rPr>
          <w:rFonts w:ascii="Times New Roman" w:hAnsi="Times New Roman" w:cs="Times New Roman"/>
          <w:spacing w:val="-6"/>
          <w:sz w:val="28"/>
          <w:szCs w:val="28"/>
          <w:shd w:val="clear" w:color="auto" w:fill="FFFFFF"/>
          <w:lang w:val="uk-UA"/>
        </w:rPr>
        <w:t xml:space="preserve">. </w:t>
      </w:r>
      <w:r w:rsidR="00C22056" w:rsidRPr="00A41B49">
        <w:rPr>
          <w:rFonts w:ascii="Times New Roman" w:hAnsi="Times New Roman" w:cs="Times New Roman"/>
          <w:spacing w:val="-6"/>
          <w:sz w:val="28"/>
          <w:szCs w:val="28"/>
          <w:lang w:val="uk-UA"/>
        </w:rPr>
        <w:t xml:space="preserve">URL: </w:t>
      </w:r>
      <w:hyperlink r:id="rId24" w:history="1">
        <w:r w:rsidRPr="00A41B49">
          <w:rPr>
            <w:rStyle w:val="a7"/>
            <w:rFonts w:ascii="Times New Roman" w:hAnsi="Times New Roman" w:cs="Times New Roman"/>
            <w:color w:val="auto"/>
            <w:spacing w:val="-6"/>
            <w:sz w:val="28"/>
            <w:szCs w:val="28"/>
            <w:u w:val="none"/>
            <w:lang w:val="uk-UA"/>
          </w:rPr>
          <w:t>https://bank.gov.ua/ua/statistic/sector-external</w:t>
        </w:r>
      </w:hyperlink>
      <w:r w:rsidR="00246DF4" w:rsidRPr="00A41B49">
        <w:rPr>
          <w:rFonts w:ascii="Times New Roman" w:hAnsi="Times New Roman" w:cs="Times New Roman"/>
          <w:spacing w:val="-6"/>
          <w:sz w:val="28"/>
          <w:szCs w:val="28"/>
          <w:lang w:val="uk-UA"/>
        </w:rPr>
        <w:t>.</w:t>
      </w:r>
    </w:p>
    <w:p w14:paraId="0193F745" w14:textId="77777777" w:rsidR="00AF7E02" w:rsidRPr="00A41B49" w:rsidRDefault="00C22056"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Звіт з виконання у 2020 році</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програми економічного та соціального розвитку</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 xml:space="preserve">м. </w:t>
      </w:r>
      <w:r w:rsidR="00FF12E7" w:rsidRPr="00A41B49">
        <w:rPr>
          <w:rFonts w:ascii="Times New Roman" w:hAnsi="Times New Roman" w:cs="Times New Roman"/>
          <w:spacing w:val="-6"/>
          <w:sz w:val="28"/>
          <w:szCs w:val="28"/>
          <w:lang w:val="uk-UA"/>
        </w:rPr>
        <w:t>Кривого Рогу</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на 2017–2022</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роки</w:t>
      </w:r>
      <w:r w:rsidR="00AF7E02" w:rsidRPr="00A41B49">
        <w:rPr>
          <w:rFonts w:ascii="Times New Roman" w:hAnsi="Times New Roman" w:cs="Times New Roman"/>
          <w:spacing w:val="-6"/>
          <w:sz w:val="28"/>
          <w:szCs w:val="28"/>
          <w:lang w:val="uk-UA"/>
        </w:rPr>
        <w:t>. 50 с.</w:t>
      </w:r>
    </w:p>
    <w:p w14:paraId="2481C8EA" w14:textId="77777777" w:rsidR="00AF7E02" w:rsidRPr="00A41B49" w:rsidRDefault="00FF12E7"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Звіт з виконання у 2021 році</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програми економічного та соціального розвитку м. Кривого Рогу</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на 2017–2022</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роки. 56 с.</w:t>
      </w:r>
    </w:p>
    <w:p w14:paraId="2205915A" w14:textId="77777777" w:rsidR="00AF7E02" w:rsidRPr="00A41B49" w:rsidRDefault="00FF12E7"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Звіт про виконання у 2022 році програми економічного та соціального розвитку м. Кривого Рогу на 2017–2023</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роки. 4</w:t>
      </w:r>
      <w:r w:rsidR="00AF7E02" w:rsidRPr="00A41B49">
        <w:rPr>
          <w:rFonts w:ascii="Times New Roman" w:hAnsi="Times New Roman" w:cs="Times New Roman"/>
          <w:spacing w:val="-6"/>
          <w:sz w:val="28"/>
          <w:szCs w:val="28"/>
          <w:lang w:val="uk-UA"/>
        </w:rPr>
        <w:t>5 с.</w:t>
      </w:r>
    </w:p>
    <w:p w14:paraId="4AA5EE97"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Дніпропетровське Інвестиційне агентство</w:t>
      </w:r>
      <w:r w:rsidR="00FF12E7" w:rsidRPr="00A41B49">
        <w:rPr>
          <w:rFonts w:ascii="Times New Roman" w:hAnsi="Times New Roman" w:cs="Times New Roman"/>
          <w:spacing w:val="-6"/>
          <w:sz w:val="28"/>
          <w:szCs w:val="28"/>
          <w:lang w:val="uk-UA"/>
        </w:rPr>
        <w:t>. URL:</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https://dia.dp.gov.ua/misto-krivij-rig-stvoryuye-umovi-dlya-potencijnix-investoriv/</w:t>
      </w:r>
    </w:p>
    <w:p w14:paraId="5ABF0496"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Дніпропетровське Інвестиційне агентство. Інвестиційний гайд 2022-2023.</w:t>
      </w:r>
      <w:r w:rsidR="00FF12E7" w:rsidRPr="00A41B49">
        <w:rPr>
          <w:rFonts w:ascii="Times New Roman" w:hAnsi="Times New Roman" w:cs="Times New Roman"/>
          <w:spacing w:val="-6"/>
          <w:sz w:val="28"/>
          <w:szCs w:val="28"/>
          <w:lang w:val="uk-UA"/>
        </w:rPr>
        <w:t xml:space="preserve"> URL: </w:t>
      </w:r>
      <w:hyperlink r:id="rId25" w:history="1">
        <w:r w:rsidR="00CD4669" w:rsidRPr="00A41B49">
          <w:rPr>
            <w:rStyle w:val="a7"/>
            <w:rFonts w:ascii="Times New Roman" w:hAnsi="Times New Roman" w:cs="Times New Roman"/>
            <w:color w:val="auto"/>
            <w:spacing w:val="-6"/>
            <w:sz w:val="28"/>
            <w:szCs w:val="28"/>
            <w:u w:val="none"/>
            <w:lang w:val="uk-UA"/>
          </w:rPr>
          <w:t>https://dia.dp.gov.ua/wp-content/uploads/2023/05/%D0%86%D0%BD</w:t>
        </w:r>
      </w:hyperlink>
      <w:r w:rsidR="00CD4669"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%D0%B2%D0%B5%D1%81%D1%82%D0%B8%D1%86%D1%96%D0%B9%D0%BD%D0%B8%D0%B9-%D0%B3%D0%B0%D0%B9%D0%B4-2022-2023.pdf</w:t>
      </w:r>
      <w:r w:rsidR="00246DF4" w:rsidRPr="00A41B49">
        <w:rPr>
          <w:rFonts w:ascii="Times New Roman" w:hAnsi="Times New Roman" w:cs="Times New Roman"/>
          <w:spacing w:val="-6"/>
          <w:sz w:val="28"/>
          <w:szCs w:val="28"/>
          <w:lang w:val="uk-UA"/>
        </w:rPr>
        <w:t>.</w:t>
      </w:r>
    </w:p>
    <w:p w14:paraId="6D1FDC09"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Експертна платформа. Іноземні інвестиції в Україні: де знайти дані, як читати платіжний баланс, про що говорять останні цифри. 2019. </w:t>
      </w:r>
      <w:r w:rsidR="00FF12E7" w:rsidRPr="00A41B49">
        <w:rPr>
          <w:rFonts w:ascii="Times New Roman" w:hAnsi="Times New Roman" w:cs="Times New Roman"/>
          <w:spacing w:val="-6"/>
          <w:sz w:val="28"/>
          <w:szCs w:val="28"/>
          <w:lang w:val="uk-UA"/>
        </w:rPr>
        <w:t xml:space="preserve">URL: </w:t>
      </w:r>
      <w:hyperlink r:id="rId26" w:history="1">
        <w:r w:rsidRPr="00A41B49">
          <w:rPr>
            <w:rStyle w:val="a7"/>
            <w:rFonts w:ascii="Times New Roman" w:hAnsi="Times New Roman" w:cs="Times New Roman"/>
            <w:color w:val="auto"/>
            <w:spacing w:val="-6"/>
            <w:sz w:val="28"/>
            <w:szCs w:val="28"/>
            <w:u w:val="none"/>
            <w:lang w:val="uk-UA"/>
          </w:rPr>
          <w:t>https://expla.bank.gov.ua/expla/src/files/Publication126.pdf</w:t>
        </w:r>
      </w:hyperlink>
      <w:r w:rsidR="00246DF4" w:rsidRPr="00A41B49">
        <w:rPr>
          <w:rFonts w:ascii="Times New Roman" w:hAnsi="Times New Roman" w:cs="Times New Roman"/>
          <w:spacing w:val="-6"/>
          <w:sz w:val="28"/>
          <w:szCs w:val="28"/>
          <w:lang w:val="uk-UA"/>
        </w:rPr>
        <w:t>.</w:t>
      </w:r>
    </w:p>
    <w:p w14:paraId="7A493489" w14:textId="77777777" w:rsidR="00AF7E02" w:rsidRPr="00A41B49" w:rsidRDefault="00FF12E7"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Програма соціально-економічного та культурного розвитку Криворізького району на 2023 - 2027 роки. URL:</w:t>
      </w:r>
      <w:r w:rsidR="00246DF4" w:rsidRPr="00A41B49">
        <w:rPr>
          <w:rFonts w:ascii="Times New Roman" w:hAnsi="Times New Roman" w:cs="Times New Roman"/>
          <w:spacing w:val="-6"/>
          <w:sz w:val="28"/>
          <w:szCs w:val="28"/>
          <w:lang w:val="uk-UA"/>
        </w:rPr>
        <w:t xml:space="preserve"> </w:t>
      </w:r>
      <w:hyperlink r:id="rId27" w:history="1">
        <w:r w:rsidR="00AF7E02" w:rsidRPr="00A41B49">
          <w:rPr>
            <w:rStyle w:val="a7"/>
            <w:rFonts w:ascii="Times New Roman" w:hAnsi="Times New Roman" w:cs="Times New Roman"/>
            <w:color w:val="auto"/>
            <w:spacing w:val="-6"/>
            <w:sz w:val="28"/>
            <w:szCs w:val="28"/>
            <w:u w:val="none"/>
            <w:lang w:val="uk-UA"/>
          </w:rPr>
          <w:t>https://krrda.dp.gov.ua/storage/app/uploads/public/649/c1f/f66/649c1ff6695e6884708974.pdf</w:t>
        </w:r>
      </w:hyperlink>
      <w:r w:rsidR="00246DF4" w:rsidRPr="00A41B49">
        <w:rPr>
          <w:rFonts w:ascii="Times New Roman" w:hAnsi="Times New Roman" w:cs="Times New Roman"/>
          <w:spacing w:val="-6"/>
          <w:sz w:val="28"/>
          <w:szCs w:val="28"/>
          <w:lang w:val="uk-UA"/>
        </w:rPr>
        <w:t>.</w:t>
      </w:r>
    </w:p>
    <w:p w14:paraId="657161EE"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Інвестиційний паспорт м. Кривий Ріг 2021. </w:t>
      </w:r>
      <w:r w:rsidR="00FF12E7" w:rsidRPr="00A41B49">
        <w:rPr>
          <w:rFonts w:ascii="Times New Roman" w:hAnsi="Times New Roman" w:cs="Times New Roman"/>
          <w:spacing w:val="-6"/>
          <w:sz w:val="28"/>
          <w:szCs w:val="28"/>
          <w:lang w:val="uk-UA"/>
        </w:rPr>
        <w:t xml:space="preserve">URL: </w:t>
      </w:r>
      <w:hyperlink r:id="rId28" w:history="1">
        <w:r w:rsidRPr="00A41B49">
          <w:rPr>
            <w:rStyle w:val="a7"/>
            <w:rFonts w:ascii="Times New Roman" w:hAnsi="Times New Roman" w:cs="Times New Roman"/>
            <w:color w:val="auto"/>
            <w:spacing w:val="-6"/>
            <w:sz w:val="28"/>
            <w:szCs w:val="28"/>
            <w:u w:val="none"/>
            <w:lang w:val="uk-UA"/>
          </w:rPr>
          <w:t>https://montenegro.mfa.gov.ua/storage/app/sites/54/ig-2021.pdf</w:t>
        </w:r>
      </w:hyperlink>
      <w:r w:rsidR="00246DF4" w:rsidRPr="00A41B49">
        <w:rPr>
          <w:rFonts w:ascii="Times New Roman" w:hAnsi="Times New Roman" w:cs="Times New Roman"/>
          <w:spacing w:val="-6"/>
          <w:sz w:val="28"/>
          <w:szCs w:val="28"/>
          <w:lang w:val="uk-UA"/>
        </w:rPr>
        <w:t>.</w:t>
      </w:r>
    </w:p>
    <w:p w14:paraId="49C6D288"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Закон України </w:t>
      </w:r>
      <w:r w:rsidR="00FF12E7" w:rsidRPr="00A41B49">
        <w:rPr>
          <w:rFonts w:ascii="Times New Roman" w:hAnsi="Times New Roman" w:cs="Times New Roman"/>
          <w:spacing w:val="-6"/>
          <w:sz w:val="28"/>
          <w:szCs w:val="28"/>
          <w:lang w:val="uk-UA"/>
        </w:rPr>
        <w:t>«</w:t>
      </w:r>
      <w:r w:rsidRPr="00A41B49">
        <w:rPr>
          <w:rFonts w:ascii="Times New Roman" w:hAnsi="Times New Roman" w:cs="Times New Roman"/>
          <w:spacing w:val="-6"/>
          <w:sz w:val="28"/>
          <w:szCs w:val="28"/>
          <w:lang w:val="uk-UA"/>
        </w:rPr>
        <w:t>Про інвестиційну діяльність</w:t>
      </w:r>
      <w:r w:rsidR="00FF12E7" w:rsidRPr="00A41B49">
        <w:rPr>
          <w:rFonts w:ascii="Times New Roman" w:hAnsi="Times New Roman" w:cs="Times New Roman"/>
          <w:spacing w:val="-6"/>
          <w:sz w:val="28"/>
          <w:szCs w:val="28"/>
          <w:lang w:val="uk-UA"/>
        </w:rPr>
        <w:t>». URL:</w:t>
      </w:r>
      <w:r w:rsidR="00246DF4" w:rsidRPr="00A41B49">
        <w:rPr>
          <w:rFonts w:ascii="Times New Roman" w:hAnsi="Times New Roman" w:cs="Times New Roman"/>
          <w:spacing w:val="-6"/>
          <w:sz w:val="28"/>
          <w:szCs w:val="28"/>
          <w:lang w:val="uk-UA"/>
        </w:rPr>
        <w:t xml:space="preserve"> </w:t>
      </w:r>
      <w:hyperlink r:id="rId29" w:anchor="Text" w:history="1">
        <w:r w:rsidRPr="00A41B49">
          <w:rPr>
            <w:rStyle w:val="a7"/>
            <w:rFonts w:ascii="Times New Roman" w:hAnsi="Times New Roman" w:cs="Times New Roman"/>
            <w:color w:val="auto"/>
            <w:spacing w:val="-6"/>
            <w:sz w:val="28"/>
            <w:szCs w:val="28"/>
            <w:u w:val="none"/>
            <w:lang w:val="uk-UA"/>
          </w:rPr>
          <w:t>https://zakon.rada.gov.ua/laws/show/1560-12#Text</w:t>
        </w:r>
      </w:hyperlink>
      <w:r w:rsidR="00246DF4" w:rsidRPr="00A41B49">
        <w:rPr>
          <w:rFonts w:ascii="Times New Roman" w:hAnsi="Times New Roman" w:cs="Times New Roman"/>
          <w:spacing w:val="-6"/>
          <w:sz w:val="28"/>
          <w:szCs w:val="28"/>
          <w:lang w:val="uk-UA"/>
        </w:rPr>
        <w:t>.</w:t>
      </w:r>
    </w:p>
    <w:p w14:paraId="6B879AE6" w14:textId="77777777" w:rsidR="001D7606" w:rsidRPr="00A41B49" w:rsidRDefault="00AF7E02" w:rsidP="001D7606">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Нікольчук</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Ю. ., Лопатовська</w:t>
      </w:r>
      <w:r w:rsidR="00246DF4"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 xml:space="preserve">О. </w:t>
      </w:r>
      <w:r w:rsidR="00FF12E7" w:rsidRPr="00A41B49">
        <w:rPr>
          <w:rFonts w:ascii="Times New Roman" w:hAnsi="Times New Roman" w:cs="Times New Roman"/>
          <w:spacing w:val="-6"/>
          <w:sz w:val="28"/>
          <w:szCs w:val="28"/>
          <w:lang w:val="uk-UA"/>
        </w:rPr>
        <w:t>Інвестиційна привабливість україни: основні тенденції, проблеми та ключові вектори вирішення</w:t>
      </w:r>
      <w:r w:rsidRPr="00A41B49">
        <w:rPr>
          <w:rFonts w:ascii="Times New Roman" w:hAnsi="Times New Roman" w:cs="Times New Roman"/>
          <w:spacing w:val="-6"/>
          <w:sz w:val="28"/>
          <w:szCs w:val="28"/>
          <w:lang w:val="uk-UA"/>
        </w:rPr>
        <w:t xml:space="preserve">. Innovation and Sustainability, </w:t>
      </w:r>
      <w:r w:rsidR="00FF12E7" w:rsidRPr="00A41B49">
        <w:rPr>
          <w:rFonts w:ascii="Times New Roman" w:hAnsi="Times New Roman" w:cs="Times New Roman"/>
          <w:spacing w:val="-6"/>
          <w:sz w:val="28"/>
          <w:szCs w:val="28"/>
          <w:lang w:val="uk-UA"/>
        </w:rPr>
        <w:t xml:space="preserve">2022, </w:t>
      </w:r>
      <w:r w:rsidRPr="00A41B49">
        <w:rPr>
          <w:rFonts w:ascii="Times New Roman" w:hAnsi="Times New Roman" w:cs="Times New Roman"/>
          <w:spacing w:val="-6"/>
          <w:sz w:val="28"/>
          <w:szCs w:val="28"/>
          <w:lang w:val="uk-UA"/>
        </w:rPr>
        <w:t xml:space="preserve">(1), </w:t>
      </w:r>
      <w:r w:rsidR="00FF12E7" w:rsidRPr="00A41B49">
        <w:rPr>
          <w:rFonts w:ascii="Times New Roman" w:hAnsi="Times New Roman" w:cs="Times New Roman"/>
          <w:spacing w:val="-6"/>
          <w:sz w:val="28"/>
          <w:szCs w:val="28"/>
          <w:lang w:val="uk-UA"/>
        </w:rPr>
        <w:t xml:space="preserve">С. 164–175. URL: </w:t>
      </w:r>
      <w:hyperlink r:id="rId30" w:history="1">
        <w:r w:rsidR="00CD4669" w:rsidRPr="00A41B49">
          <w:rPr>
            <w:rStyle w:val="a7"/>
            <w:rFonts w:ascii="Times New Roman" w:hAnsi="Times New Roman" w:cs="Times New Roman"/>
            <w:color w:val="auto"/>
            <w:spacing w:val="-6"/>
            <w:sz w:val="28"/>
            <w:szCs w:val="28"/>
            <w:u w:val="none"/>
            <w:lang w:val="uk-UA"/>
          </w:rPr>
          <w:t>https://ins.vntu.edu.ua/ index.php/ins/article/view/158/159</w:t>
        </w:r>
      </w:hyperlink>
      <w:r w:rsidR="00246DF4" w:rsidRPr="00A41B49">
        <w:rPr>
          <w:rFonts w:ascii="Times New Roman" w:hAnsi="Times New Roman" w:cs="Times New Roman"/>
          <w:spacing w:val="-6"/>
          <w:sz w:val="28"/>
          <w:szCs w:val="28"/>
          <w:lang w:val="uk-UA"/>
        </w:rPr>
        <w:t>.</w:t>
      </w:r>
    </w:p>
    <w:p w14:paraId="4C4E4E2F" w14:textId="77777777" w:rsidR="00AF7E02" w:rsidRPr="00A41B49" w:rsidRDefault="00AF7E02" w:rsidP="001D7606">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Жук</w:t>
      </w:r>
      <w:r w:rsidR="00FF12E7" w:rsidRPr="00A41B49">
        <w:rPr>
          <w:rFonts w:ascii="Times New Roman" w:hAnsi="Times New Roman" w:cs="Times New Roman"/>
          <w:spacing w:val="-6"/>
          <w:sz w:val="28"/>
          <w:szCs w:val="28"/>
          <w:lang w:val="uk-UA"/>
        </w:rPr>
        <w:t xml:space="preserve"> П. В.</w:t>
      </w:r>
      <w:r w:rsidRPr="00A41B49">
        <w:rPr>
          <w:rFonts w:ascii="Times New Roman" w:hAnsi="Times New Roman" w:cs="Times New Roman"/>
          <w:spacing w:val="-6"/>
          <w:sz w:val="28"/>
          <w:szCs w:val="28"/>
          <w:lang w:val="uk-UA"/>
        </w:rPr>
        <w:t xml:space="preserve">, Сірик </w:t>
      </w:r>
      <w:r w:rsidR="00FF12E7" w:rsidRPr="00A41B49">
        <w:rPr>
          <w:rFonts w:ascii="Times New Roman" w:hAnsi="Times New Roman" w:cs="Times New Roman"/>
          <w:spacing w:val="-6"/>
          <w:sz w:val="28"/>
          <w:szCs w:val="28"/>
          <w:lang w:val="uk-UA"/>
        </w:rPr>
        <w:t xml:space="preserve">З. О. </w:t>
      </w:r>
      <w:r w:rsidRPr="00A41B49">
        <w:rPr>
          <w:rFonts w:ascii="Times New Roman" w:hAnsi="Times New Roman" w:cs="Times New Roman"/>
          <w:spacing w:val="-6"/>
          <w:sz w:val="28"/>
          <w:szCs w:val="28"/>
          <w:lang w:val="uk-UA"/>
        </w:rPr>
        <w:t xml:space="preserve">Інвестиційний потенціал територіальних громад: суть поняття та питання управління. Регіональна економіка 2017, №2. С. 16-22. </w:t>
      </w:r>
      <w:r w:rsidR="00FF12E7" w:rsidRPr="00A41B49">
        <w:rPr>
          <w:rFonts w:ascii="Times New Roman" w:hAnsi="Times New Roman" w:cs="Times New Roman"/>
          <w:spacing w:val="-6"/>
          <w:sz w:val="28"/>
          <w:szCs w:val="28"/>
          <w:lang w:val="uk-UA"/>
        </w:rPr>
        <w:t xml:space="preserve">URL: </w:t>
      </w:r>
      <w:hyperlink r:id="rId31" w:history="1">
        <w:r w:rsidRPr="00A41B49">
          <w:rPr>
            <w:rStyle w:val="a7"/>
            <w:rFonts w:ascii="Times New Roman" w:hAnsi="Times New Roman" w:cs="Times New Roman"/>
            <w:color w:val="auto"/>
            <w:spacing w:val="-6"/>
            <w:sz w:val="28"/>
            <w:szCs w:val="28"/>
            <w:u w:val="none"/>
            <w:lang w:val="uk-UA"/>
          </w:rPr>
          <w:t>https://re.gov.ua/re201702/re201702_016_ZhukPV,SirykZO.pdf</w:t>
        </w:r>
      </w:hyperlink>
      <w:r w:rsidR="00246DF4" w:rsidRPr="00A41B49">
        <w:rPr>
          <w:rFonts w:ascii="Times New Roman" w:hAnsi="Times New Roman" w:cs="Times New Roman"/>
          <w:spacing w:val="-6"/>
          <w:sz w:val="28"/>
          <w:szCs w:val="28"/>
          <w:lang w:val="uk-UA"/>
        </w:rPr>
        <w:t>.</w:t>
      </w:r>
    </w:p>
    <w:p w14:paraId="731A38D0"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Єпіфанова І., Джеджула В., Косарук О., Сауляк А. </w:t>
      </w:r>
      <w:r w:rsidR="00246DF4" w:rsidRPr="00A41B49">
        <w:rPr>
          <w:rFonts w:ascii="Times New Roman" w:hAnsi="Times New Roman" w:cs="Times New Roman"/>
          <w:spacing w:val="-6"/>
          <w:sz w:val="28"/>
          <w:szCs w:val="28"/>
          <w:lang w:val="uk-UA"/>
        </w:rPr>
        <w:t xml:space="preserve">Управління інвестиційним потенціалом підприємств харчової промисловості. </w:t>
      </w:r>
      <w:r w:rsidRPr="00A41B49">
        <w:rPr>
          <w:rFonts w:ascii="Times New Roman" w:hAnsi="Times New Roman" w:cs="Times New Roman"/>
          <w:spacing w:val="-6"/>
          <w:sz w:val="28"/>
          <w:szCs w:val="28"/>
          <w:lang w:val="uk-UA"/>
        </w:rPr>
        <w:t>Innovation and Sustainability. 2022. №2.</w:t>
      </w:r>
      <w:r w:rsidR="00246DF4" w:rsidRPr="00A41B49">
        <w:rPr>
          <w:rFonts w:ascii="Times New Roman" w:hAnsi="Times New Roman" w:cs="Times New Roman"/>
          <w:spacing w:val="-6"/>
          <w:sz w:val="28"/>
          <w:szCs w:val="28"/>
          <w:lang w:val="uk-UA"/>
        </w:rPr>
        <w:t xml:space="preserve"> URL: </w:t>
      </w:r>
      <w:hyperlink r:id="rId32" w:history="1">
        <w:r w:rsidR="00CD4669" w:rsidRPr="00A41B49">
          <w:rPr>
            <w:rStyle w:val="a7"/>
            <w:rFonts w:ascii="Times New Roman" w:hAnsi="Times New Roman" w:cs="Times New Roman"/>
            <w:color w:val="auto"/>
            <w:spacing w:val="-6"/>
            <w:sz w:val="28"/>
            <w:szCs w:val="28"/>
            <w:u w:val="none"/>
            <w:lang w:val="uk-UA"/>
          </w:rPr>
          <w:t>https://ir.lib.vntu.edu.ua/bitstream /handle/123456789/35727/110102.pdf?sequence=2&amp;isAllowed=y</w:t>
        </w:r>
      </w:hyperlink>
      <w:r w:rsidR="00246DF4" w:rsidRPr="00A41B49">
        <w:rPr>
          <w:rFonts w:ascii="Times New Roman" w:hAnsi="Times New Roman" w:cs="Times New Roman"/>
          <w:spacing w:val="-6"/>
          <w:sz w:val="28"/>
          <w:szCs w:val="28"/>
          <w:lang w:val="uk-UA"/>
        </w:rPr>
        <w:t>.</w:t>
      </w:r>
    </w:p>
    <w:p w14:paraId="5002784D"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Мошляк, І. О. </w:t>
      </w:r>
      <w:r w:rsidR="00246DF4" w:rsidRPr="00A41B49">
        <w:rPr>
          <w:rFonts w:ascii="Times New Roman" w:hAnsi="Times New Roman" w:cs="Times New Roman"/>
          <w:spacing w:val="-6"/>
          <w:sz w:val="28"/>
          <w:szCs w:val="28"/>
          <w:lang w:val="uk-UA"/>
        </w:rPr>
        <w:t>Інвестиційний клімат в Україні та напрями його покращення</w:t>
      </w:r>
      <w:r w:rsidRPr="00A41B49">
        <w:rPr>
          <w:rFonts w:ascii="Times New Roman" w:hAnsi="Times New Roman" w:cs="Times New Roman"/>
          <w:spacing w:val="-6"/>
          <w:sz w:val="28"/>
          <w:szCs w:val="28"/>
          <w:lang w:val="uk-UA"/>
        </w:rPr>
        <w:t xml:space="preserve">. Вчені записки Університету «КРОК». 2019. (2 (54), 65–71. </w:t>
      </w:r>
      <w:r w:rsidR="00246DF4" w:rsidRPr="00A41B49">
        <w:rPr>
          <w:rFonts w:ascii="Times New Roman" w:hAnsi="Times New Roman" w:cs="Times New Roman"/>
          <w:spacing w:val="-6"/>
          <w:sz w:val="28"/>
          <w:szCs w:val="28"/>
          <w:lang w:val="uk-UA"/>
        </w:rPr>
        <w:t xml:space="preserve">URL: </w:t>
      </w:r>
      <w:hyperlink r:id="rId33" w:history="1">
        <w:r w:rsidR="00CD4669" w:rsidRPr="00A41B49">
          <w:rPr>
            <w:rStyle w:val="a7"/>
            <w:rFonts w:ascii="Times New Roman" w:hAnsi="Times New Roman" w:cs="Times New Roman"/>
            <w:color w:val="auto"/>
            <w:spacing w:val="-6"/>
            <w:sz w:val="28"/>
            <w:szCs w:val="28"/>
            <w:u w:val="none"/>
            <w:lang w:val="uk-UA"/>
          </w:rPr>
          <w:t>https://snku.krok.edu.ua/index.php/vcheni-zapiski-universitetu-krok/article/view/ 175/207</w:t>
        </w:r>
      </w:hyperlink>
      <w:r w:rsidR="00246DF4" w:rsidRPr="00A41B49">
        <w:rPr>
          <w:rFonts w:ascii="Times New Roman" w:hAnsi="Times New Roman" w:cs="Times New Roman"/>
          <w:spacing w:val="-6"/>
          <w:sz w:val="28"/>
          <w:szCs w:val="28"/>
          <w:lang w:val="uk-UA"/>
        </w:rPr>
        <w:t>.</w:t>
      </w:r>
    </w:p>
    <w:p w14:paraId="09CDFBD1" w14:textId="77777777" w:rsidR="00AF7E02" w:rsidRPr="00A41B49" w:rsidRDefault="00246DF4"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Мунька С. С. Аналіз інвестиційної привабливості регіонів України. </w:t>
      </w:r>
      <w:r w:rsidR="00AF7E02" w:rsidRPr="00A41B49">
        <w:rPr>
          <w:rFonts w:ascii="Times New Roman" w:hAnsi="Times New Roman" w:cs="Times New Roman"/>
          <w:spacing w:val="-6"/>
          <w:sz w:val="28"/>
          <w:szCs w:val="28"/>
          <w:lang w:val="uk-UA"/>
        </w:rPr>
        <w:t>Вісник Хмельницького національного університету</w:t>
      </w:r>
      <w:r w:rsidRPr="00A41B49">
        <w:rPr>
          <w:rFonts w:ascii="Times New Roman" w:hAnsi="Times New Roman" w:cs="Times New Roman"/>
          <w:spacing w:val="-6"/>
          <w:sz w:val="28"/>
          <w:szCs w:val="28"/>
          <w:lang w:val="uk-UA"/>
        </w:rPr>
        <w:t>,</w:t>
      </w:r>
      <w:r w:rsidR="00AF7E02" w:rsidRPr="00A41B49">
        <w:rPr>
          <w:rFonts w:ascii="Times New Roman" w:hAnsi="Times New Roman" w:cs="Times New Roman"/>
          <w:spacing w:val="-6"/>
          <w:sz w:val="28"/>
          <w:szCs w:val="28"/>
          <w:lang w:val="uk-UA"/>
        </w:rPr>
        <w:t xml:space="preserve"> 2021</w:t>
      </w:r>
      <w:r w:rsidRPr="00A41B49">
        <w:rPr>
          <w:rFonts w:ascii="Times New Roman" w:hAnsi="Times New Roman" w:cs="Times New Roman"/>
          <w:spacing w:val="-6"/>
          <w:sz w:val="28"/>
          <w:szCs w:val="28"/>
          <w:lang w:val="uk-UA"/>
        </w:rPr>
        <w:t>.</w:t>
      </w:r>
      <w:r w:rsidR="00AF7E02" w:rsidRPr="00A41B49">
        <w:rPr>
          <w:rFonts w:ascii="Times New Roman" w:hAnsi="Times New Roman" w:cs="Times New Roman"/>
          <w:spacing w:val="-6"/>
          <w:sz w:val="28"/>
          <w:szCs w:val="28"/>
          <w:lang w:val="uk-UA"/>
        </w:rPr>
        <w:t xml:space="preserve"> № 1. С.90-93</w:t>
      </w:r>
      <w:r w:rsidRPr="00A41B49">
        <w:rPr>
          <w:rFonts w:ascii="Times New Roman" w:hAnsi="Times New Roman" w:cs="Times New Roman"/>
          <w:spacing w:val="-6"/>
          <w:sz w:val="28"/>
          <w:szCs w:val="28"/>
          <w:lang w:val="uk-UA"/>
        </w:rPr>
        <w:t>.</w:t>
      </w:r>
    </w:p>
    <w:p w14:paraId="3E422C3C" w14:textId="77777777" w:rsidR="0055223A" w:rsidRPr="00A41B49" w:rsidRDefault="00AF7E02" w:rsidP="0055223A">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lastRenderedPageBreak/>
        <w:t>Торкатюк В. І., Ряб’єв А. А., Ван Чжизян, Євтушенко М. В., Чен Хуайген</w:t>
      </w:r>
      <w:r w:rsidR="00246DF4" w:rsidRPr="00A41B49">
        <w:rPr>
          <w:rFonts w:ascii="Times New Roman" w:hAnsi="Times New Roman" w:cs="Times New Roman"/>
          <w:spacing w:val="-6"/>
          <w:sz w:val="28"/>
          <w:szCs w:val="28"/>
          <w:lang w:val="uk-UA"/>
        </w:rPr>
        <w:t>.</w:t>
      </w:r>
      <w:r w:rsidRPr="00A41B49">
        <w:rPr>
          <w:rFonts w:ascii="Times New Roman" w:hAnsi="Times New Roman" w:cs="Times New Roman"/>
          <w:spacing w:val="-6"/>
          <w:sz w:val="28"/>
          <w:szCs w:val="28"/>
          <w:lang w:val="uk-UA"/>
        </w:rPr>
        <w:t xml:space="preserve"> </w:t>
      </w:r>
      <w:r w:rsidR="00246DF4" w:rsidRPr="00A41B49">
        <w:rPr>
          <w:rFonts w:ascii="Times New Roman" w:hAnsi="Times New Roman" w:cs="Times New Roman"/>
          <w:spacing w:val="-6"/>
          <w:sz w:val="28"/>
          <w:szCs w:val="28"/>
          <w:lang w:val="uk-UA"/>
        </w:rPr>
        <w:t xml:space="preserve">Основні Підходи Щодо Оцінки Інвестиційної Привабливості Регіонів України. URL: </w:t>
      </w:r>
      <w:hyperlink r:id="rId34" w:history="1">
        <w:r w:rsidRPr="00A41B49">
          <w:rPr>
            <w:rStyle w:val="a7"/>
            <w:rFonts w:ascii="Times New Roman" w:hAnsi="Times New Roman" w:cs="Times New Roman"/>
            <w:color w:val="auto"/>
            <w:spacing w:val="-6"/>
            <w:sz w:val="28"/>
            <w:szCs w:val="28"/>
            <w:u w:val="none"/>
            <w:lang w:val="uk-UA"/>
          </w:rPr>
          <w:t>https://eprints.kname.edu.ua/37962/1/81-83.pdf</w:t>
        </w:r>
      </w:hyperlink>
      <w:r w:rsidR="00246DF4" w:rsidRPr="00A41B49">
        <w:rPr>
          <w:rFonts w:ascii="Times New Roman" w:hAnsi="Times New Roman" w:cs="Times New Roman"/>
          <w:spacing w:val="-6"/>
          <w:sz w:val="28"/>
          <w:szCs w:val="28"/>
          <w:lang w:val="uk-UA"/>
        </w:rPr>
        <w:t>.</w:t>
      </w:r>
    </w:p>
    <w:p w14:paraId="0BA7D331" w14:textId="77777777" w:rsidR="0055223A" w:rsidRPr="00A41B49" w:rsidRDefault="0055223A" w:rsidP="0055223A">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Офіційний вебсайт Криворізької міської ради та її виконавчого комітету. URL: https://kr.gov.ua/.</w:t>
      </w:r>
    </w:p>
    <w:p w14:paraId="405DA6AA"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Венгуренко Т. Г., Плахотнюк В. В. Аналіз інвестиційної привабливості України</w:t>
      </w:r>
      <w:r w:rsidR="00246DF4" w:rsidRPr="00A41B49">
        <w:rPr>
          <w:rFonts w:ascii="Times New Roman" w:hAnsi="Times New Roman" w:cs="Times New Roman"/>
          <w:spacing w:val="-6"/>
          <w:sz w:val="28"/>
          <w:szCs w:val="28"/>
          <w:lang w:val="uk-UA"/>
        </w:rPr>
        <w:t>.</w:t>
      </w:r>
      <w:r w:rsidRPr="00A41B49">
        <w:rPr>
          <w:rFonts w:ascii="Times New Roman" w:hAnsi="Times New Roman" w:cs="Times New Roman"/>
          <w:spacing w:val="-6"/>
          <w:sz w:val="28"/>
          <w:szCs w:val="28"/>
          <w:lang w:val="uk-UA"/>
        </w:rPr>
        <w:t xml:space="preserve"> </w:t>
      </w:r>
      <w:r w:rsidR="00246DF4" w:rsidRPr="00A41B49">
        <w:rPr>
          <w:rFonts w:ascii="Times New Roman" w:hAnsi="Times New Roman" w:cs="Times New Roman"/>
          <w:spacing w:val="-6"/>
          <w:sz w:val="28"/>
          <w:szCs w:val="28"/>
          <w:lang w:val="uk-UA"/>
        </w:rPr>
        <w:t xml:space="preserve">Бізнес-інформ, 2020. </w:t>
      </w:r>
      <w:r w:rsidRPr="00A41B49">
        <w:rPr>
          <w:rFonts w:ascii="Times New Roman" w:hAnsi="Times New Roman" w:cs="Times New Roman"/>
          <w:spacing w:val="-6"/>
          <w:sz w:val="28"/>
          <w:szCs w:val="28"/>
          <w:lang w:val="uk-UA"/>
        </w:rPr>
        <w:t>№ 4. С. 103-111</w:t>
      </w:r>
      <w:r w:rsidR="00246DF4" w:rsidRPr="00A41B49">
        <w:rPr>
          <w:rFonts w:ascii="Times New Roman" w:hAnsi="Times New Roman" w:cs="Times New Roman"/>
          <w:spacing w:val="-6"/>
          <w:sz w:val="28"/>
          <w:szCs w:val="28"/>
          <w:lang w:val="uk-UA"/>
        </w:rPr>
        <w:t>.</w:t>
      </w:r>
    </w:p>
    <w:p w14:paraId="63CF9382"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Корінець Р. </w:t>
      </w:r>
      <w:r w:rsidR="00246DF4" w:rsidRPr="00A41B49">
        <w:rPr>
          <w:rFonts w:ascii="Times New Roman" w:hAnsi="Times New Roman" w:cs="Times New Roman"/>
          <w:spacing w:val="-6"/>
          <w:sz w:val="28"/>
          <w:szCs w:val="28"/>
          <w:lang w:val="uk-UA"/>
        </w:rPr>
        <w:t xml:space="preserve">Підвищення рівня інвестиційної активності територіальних громад. URL: </w:t>
      </w:r>
      <w:hyperlink r:id="rId35" w:history="1">
        <w:r w:rsidR="00CD4669" w:rsidRPr="00A41B49">
          <w:rPr>
            <w:rStyle w:val="a7"/>
            <w:rFonts w:ascii="Times New Roman" w:hAnsi="Times New Roman" w:cs="Times New Roman"/>
            <w:color w:val="auto"/>
            <w:spacing w:val="-6"/>
            <w:sz w:val="28"/>
            <w:szCs w:val="28"/>
            <w:u w:val="none"/>
            <w:lang w:val="uk-UA"/>
          </w:rPr>
          <w:t>https://hromady.org/wp-content/uploads/2023/04/%D0%9F%D1 %80%D0%B5%D0%B7%D0%B5%D0%BD%D1%82%D0%B0%D1%86%D1%96%D1%8F.-%D0%9A%D0%BE%D1%80%D1%96%D0%BD%D0%B5 %D1%86%D1%8C-26042023-%D0%9E%D0%A2%D0%93.pdf</w:t>
        </w:r>
      </w:hyperlink>
      <w:r w:rsidR="00246DF4" w:rsidRPr="00A41B49">
        <w:rPr>
          <w:rFonts w:ascii="Times New Roman" w:hAnsi="Times New Roman" w:cs="Times New Roman"/>
          <w:spacing w:val="-6"/>
          <w:sz w:val="28"/>
          <w:szCs w:val="28"/>
          <w:lang w:val="uk-UA"/>
        </w:rPr>
        <w:t>.</w:t>
      </w:r>
    </w:p>
    <w:p w14:paraId="2D5AD492" w14:textId="77777777" w:rsidR="00AF7E02" w:rsidRPr="00A41B49" w:rsidRDefault="00246DF4"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Бабкіна І. Адекватність оцінок провідних рейтингових агентств. URL: </w:t>
      </w:r>
      <w:hyperlink r:id="rId36" w:history="1">
        <w:r w:rsidR="00AF7E02" w:rsidRPr="00A41B49">
          <w:rPr>
            <w:rStyle w:val="a7"/>
            <w:rFonts w:ascii="Times New Roman" w:hAnsi="Times New Roman" w:cs="Times New Roman"/>
            <w:color w:val="auto"/>
            <w:spacing w:val="-6"/>
            <w:sz w:val="28"/>
            <w:szCs w:val="28"/>
            <w:u w:val="none"/>
            <w:lang w:val="uk-UA"/>
          </w:rPr>
          <w:t>http://visnik.knute.edu.ua/files/2011/04/7.pdf</w:t>
        </w:r>
      </w:hyperlink>
      <w:r w:rsidRPr="00A41B49">
        <w:rPr>
          <w:rFonts w:ascii="Times New Roman" w:hAnsi="Times New Roman" w:cs="Times New Roman"/>
          <w:spacing w:val="-6"/>
          <w:sz w:val="28"/>
          <w:szCs w:val="28"/>
          <w:lang w:val="uk-UA"/>
        </w:rPr>
        <w:t>.</w:t>
      </w:r>
    </w:p>
    <w:p w14:paraId="10999F90" w14:textId="77777777" w:rsidR="00AF7E02" w:rsidRPr="00A41B49" w:rsidRDefault="00AF7E02" w:rsidP="00246DF4">
      <w:pPr>
        <w:pStyle w:val="a6"/>
        <w:numPr>
          <w:ilvl w:val="0"/>
          <w:numId w:val="8"/>
        </w:numPr>
        <w:tabs>
          <w:tab w:val="left" w:pos="567"/>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Михайленко О. Г., Красникова Н. А. Вплив іноземних інвестицій на розвиток економіки України в умовах глобалізації. URL: </w:t>
      </w:r>
      <w:hyperlink r:id="rId37" w:history="1">
        <w:r w:rsidRPr="00A41B49">
          <w:rPr>
            <w:rStyle w:val="a7"/>
            <w:rFonts w:ascii="Times New Roman" w:hAnsi="Times New Roman" w:cs="Times New Roman"/>
            <w:color w:val="auto"/>
            <w:spacing w:val="-6"/>
            <w:sz w:val="28"/>
            <w:szCs w:val="28"/>
            <w:u w:val="none"/>
            <w:lang w:val="uk-UA"/>
          </w:rPr>
          <w:t>http://www.economy.nayka.com.ua/pdf/7_2020/56.pdf</w:t>
        </w:r>
      </w:hyperlink>
      <w:r w:rsidR="00246DF4" w:rsidRPr="00A41B49">
        <w:rPr>
          <w:rFonts w:ascii="Times New Roman" w:hAnsi="Times New Roman" w:cs="Times New Roman"/>
          <w:spacing w:val="-6"/>
          <w:sz w:val="28"/>
          <w:szCs w:val="28"/>
          <w:lang w:val="uk-UA"/>
        </w:rPr>
        <w:t>.</w:t>
      </w:r>
    </w:p>
    <w:p w14:paraId="708B0577" w14:textId="77777777" w:rsidR="00AF7E02" w:rsidRPr="00A41B49" w:rsidRDefault="00AF7E02" w:rsidP="00246DF4">
      <w:pPr>
        <w:pStyle w:val="a6"/>
        <w:numPr>
          <w:ilvl w:val="0"/>
          <w:numId w:val="8"/>
        </w:numPr>
        <w:tabs>
          <w:tab w:val="left" w:pos="1134"/>
        </w:tabs>
        <w:spacing w:after="0" w:line="240" w:lineRule="auto"/>
        <w:ind w:left="0" w:firstLine="709"/>
        <w:jc w:val="both"/>
        <w:rPr>
          <w:rFonts w:ascii="Times New Roman" w:hAnsi="Times New Roman" w:cs="Times New Roman"/>
          <w:spacing w:val="-6"/>
          <w:sz w:val="28"/>
          <w:szCs w:val="28"/>
          <w:lang w:val="uk-UA"/>
        </w:rPr>
      </w:pPr>
      <w:r w:rsidRPr="00A41B49">
        <w:rPr>
          <w:rFonts w:ascii="Times New Roman" w:hAnsi="Times New Roman" w:cs="Times New Roman"/>
          <w:spacing w:val="-6"/>
          <w:sz w:val="28"/>
          <w:szCs w:val="28"/>
          <w:lang w:val="uk-UA"/>
        </w:rPr>
        <w:t xml:space="preserve">Гуткевич С.О., Пулій О.В. Інвестиційна привабливість: сутність, показники і чинники впливу. URL: </w:t>
      </w:r>
      <w:hyperlink r:id="rId38" w:history="1">
        <w:r w:rsidR="00CD4669" w:rsidRPr="00A41B49">
          <w:rPr>
            <w:rStyle w:val="a7"/>
            <w:rFonts w:ascii="Times New Roman" w:hAnsi="Times New Roman" w:cs="Times New Roman"/>
            <w:color w:val="auto"/>
            <w:spacing w:val="-6"/>
            <w:sz w:val="28"/>
            <w:szCs w:val="28"/>
            <w:u w:val="none"/>
            <w:lang w:val="uk-UA"/>
          </w:rPr>
          <w:t>https://dspace.nuft.edu.ua/jspui</w:t>
        </w:r>
      </w:hyperlink>
      <w:r w:rsidR="00CD4669" w:rsidRPr="00A41B49">
        <w:rPr>
          <w:rFonts w:ascii="Times New Roman" w:hAnsi="Times New Roman" w:cs="Times New Roman"/>
          <w:spacing w:val="-6"/>
          <w:sz w:val="28"/>
          <w:szCs w:val="28"/>
          <w:lang w:val="uk-UA"/>
        </w:rPr>
        <w:t xml:space="preserve"> </w:t>
      </w:r>
      <w:r w:rsidRPr="00A41B49">
        <w:rPr>
          <w:rFonts w:ascii="Times New Roman" w:hAnsi="Times New Roman" w:cs="Times New Roman"/>
          <w:spacing w:val="-6"/>
          <w:sz w:val="28"/>
          <w:szCs w:val="28"/>
          <w:lang w:val="uk-UA"/>
        </w:rPr>
        <w:t>/handle/123456789/29900</w:t>
      </w:r>
      <w:r w:rsidR="00246DF4" w:rsidRPr="00A41B49">
        <w:rPr>
          <w:rFonts w:ascii="Times New Roman" w:hAnsi="Times New Roman" w:cs="Times New Roman"/>
          <w:spacing w:val="-6"/>
          <w:sz w:val="28"/>
          <w:szCs w:val="28"/>
          <w:lang w:val="uk-UA"/>
        </w:rPr>
        <w:t>.</w:t>
      </w:r>
    </w:p>
    <w:p w14:paraId="205DA23D" w14:textId="77777777" w:rsidR="00153CD2" w:rsidRPr="00A41B49" w:rsidRDefault="00153CD2">
      <w:pPr>
        <w:rPr>
          <w:rFonts w:ascii="Times New Roman" w:hAnsi="Times New Roman" w:cs="Times New Roman"/>
          <w:b/>
          <w:sz w:val="28"/>
          <w:szCs w:val="28"/>
          <w:lang w:val="uk-UA"/>
        </w:rPr>
      </w:pPr>
      <w:r w:rsidRPr="00A41B49">
        <w:rPr>
          <w:rFonts w:ascii="Times New Roman" w:hAnsi="Times New Roman" w:cs="Times New Roman"/>
          <w:b/>
          <w:sz w:val="28"/>
          <w:szCs w:val="28"/>
          <w:lang w:val="uk-UA"/>
        </w:rPr>
        <w:br w:type="page"/>
      </w:r>
    </w:p>
    <w:p w14:paraId="4325C950" w14:textId="77777777" w:rsidR="00AF7E02" w:rsidRPr="00A41B49" w:rsidRDefault="00AF7E02" w:rsidP="00534360">
      <w:pPr>
        <w:tabs>
          <w:tab w:val="left" w:pos="1134"/>
        </w:tabs>
        <w:spacing w:after="0" w:line="240" w:lineRule="auto"/>
        <w:ind w:firstLine="709"/>
        <w:jc w:val="center"/>
        <w:rPr>
          <w:rFonts w:ascii="Times New Roman" w:hAnsi="Times New Roman" w:cs="Times New Roman"/>
          <w:b/>
          <w:sz w:val="28"/>
          <w:szCs w:val="28"/>
          <w:lang w:val="uk-UA"/>
        </w:rPr>
      </w:pPr>
    </w:p>
    <w:p w14:paraId="1BA8E306"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p>
    <w:p w14:paraId="391A124E"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p>
    <w:p w14:paraId="383D0BDC"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p>
    <w:p w14:paraId="18FCC261"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p>
    <w:p w14:paraId="33B9B358"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p>
    <w:p w14:paraId="762201F8"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p>
    <w:p w14:paraId="11B2807B"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p>
    <w:p w14:paraId="07F7AC0E"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p>
    <w:p w14:paraId="43903F7F"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p>
    <w:p w14:paraId="0FE0BDA3"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p>
    <w:p w14:paraId="3BD7C92B"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p>
    <w:p w14:paraId="604D3DE0"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p>
    <w:p w14:paraId="0E4BB09D"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p>
    <w:p w14:paraId="08C342A4"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p>
    <w:p w14:paraId="45E04B9E"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p>
    <w:p w14:paraId="48C1D586"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p>
    <w:p w14:paraId="4F294973" w14:textId="77777777" w:rsidR="00153CD2" w:rsidRPr="00A41B49" w:rsidRDefault="00153CD2" w:rsidP="00534360">
      <w:pPr>
        <w:tabs>
          <w:tab w:val="left" w:pos="1134"/>
        </w:tabs>
        <w:spacing w:after="0" w:line="240" w:lineRule="auto"/>
        <w:ind w:firstLine="709"/>
        <w:jc w:val="center"/>
        <w:rPr>
          <w:rFonts w:ascii="Times New Roman" w:hAnsi="Times New Roman" w:cs="Times New Roman"/>
          <w:b/>
          <w:sz w:val="28"/>
          <w:szCs w:val="28"/>
          <w:lang w:val="uk-UA"/>
        </w:rPr>
      </w:pPr>
      <w:r w:rsidRPr="00A41B49">
        <w:rPr>
          <w:rFonts w:ascii="Times New Roman" w:hAnsi="Times New Roman" w:cs="Times New Roman"/>
          <w:b/>
          <w:sz w:val="28"/>
          <w:szCs w:val="28"/>
          <w:lang w:val="uk-UA"/>
        </w:rPr>
        <w:t>ДОДАТКИ</w:t>
      </w:r>
    </w:p>
    <w:p w14:paraId="7DF39D76" w14:textId="77777777" w:rsidR="00153CD2" w:rsidRPr="00A41B49" w:rsidRDefault="00153CD2">
      <w:pPr>
        <w:rPr>
          <w:rFonts w:ascii="Times New Roman" w:hAnsi="Times New Roman" w:cs="Times New Roman"/>
          <w:b/>
          <w:sz w:val="28"/>
          <w:szCs w:val="28"/>
          <w:lang w:val="uk-UA"/>
        </w:rPr>
      </w:pPr>
      <w:r w:rsidRPr="00A41B49">
        <w:rPr>
          <w:rFonts w:ascii="Times New Roman" w:hAnsi="Times New Roman" w:cs="Times New Roman"/>
          <w:b/>
          <w:sz w:val="28"/>
          <w:szCs w:val="28"/>
          <w:lang w:val="uk-UA"/>
        </w:rPr>
        <w:br w:type="page"/>
      </w:r>
    </w:p>
    <w:p w14:paraId="05ECAC29" w14:textId="77777777" w:rsidR="00153CD2" w:rsidRPr="00A41B49" w:rsidRDefault="00153CD2" w:rsidP="00153CD2">
      <w:pPr>
        <w:tabs>
          <w:tab w:val="left" w:pos="1134"/>
        </w:tabs>
        <w:spacing w:after="0" w:line="240" w:lineRule="auto"/>
        <w:ind w:firstLine="709"/>
        <w:jc w:val="right"/>
        <w:rPr>
          <w:rFonts w:ascii="Times New Roman" w:hAnsi="Times New Roman" w:cs="Times New Roman"/>
          <w:b/>
          <w:sz w:val="28"/>
          <w:szCs w:val="28"/>
          <w:lang w:val="uk-UA"/>
        </w:rPr>
      </w:pPr>
      <w:r w:rsidRPr="00A41B49">
        <w:rPr>
          <w:rFonts w:ascii="Times New Roman" w:hAnsi="Times New Roman" w:cs="Times New Roman"/>
          <w:b/>
          <w:sz w:val="28"/>
          <w:szCs w:val="28"/>
          <w:lang w:val="uk-UA"/>
        </w:rPr>
        <w:lastRenderedPageBreak/>
        <w:t>Додаток А</w:t>
      </w:r>
    </w:p>
    <w:p w14:paraId="639550C6"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b/>
          <w:bCs/>
          <w:i/>
          <w:iCs/>
          <w:sz w:val="24"/>
          <w:szCs w:val="24"/>
          <w:bdr w:val="none" w:sz="0" w:space="0" w:color="auto" w:frame="1"/>
          <w:lang w:val="uk-UA" w:eastAsia="ru-RU"/>
        </w:rPr>
        <w:t>Міста-партнери Кривого Рогу:</w:t>
      </w:r>
    </w:p>
    <w:p w14:paraId="72489863"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w:t>
      </w:r>
      <w:r w:rsidRPr="00A41B49">
        <w:rPr>
          <w:rFonts w:ascii="Times New Roman" w:eastAsia="Times New Roman" w:hAnsi="Times New Roman" w:cs="Times New Roman"/>
          <w:b/>
          <w:bCs/>
          <w:sz w:val="24"/>
          <w:szCs w:val="24"/>
          <w:bdr w:val="none" w:sz="0" w:space="0" w:color="auto" w:frame="1"/>
          <w:lang w:val="uk-UA" w:eastAsia="ru-RU"/>
        </w:rPr>
        <w:t>Ханьдань</w:t>
      </w:r>
      <w:r w:rsidRPr="00A41B49">
        <w:rPr>
          <w:rFonts w:ascii="Times New Roman" w:eastAsia="Times New Roman" w:hAnsi="Times New Roman" w:cs="Times New Roman"/>
          <w:sz w:val="24"/>
          <w:szCs w:val="24"/>
          <w:lang w:val="uk-UA" w:eastAsia="ru-RU"/>
        </w:rPr>
        <w:t> (Китайська Народна Республіка):</w:t>
      </w:r>
    </w:p>
    <w:p w14:paraId="660B13B6"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30.05.2001 – Угода між виконавчим комітетом Криворізької міської ради (Україна) і Народним урядом міста Ханьдань (КНР) про торгово-економічне, науково-технічне і культурне співробітництво;</w:t>
      </w:r>
    </w:p>
    <w:p w14:paraId="52000FCC"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22.11.2012 – Угода про співпрацю між містами Кривий Ріг (Україна) та Ханьдань (КНР).</w:t>
      </w:r>
    </w:p>
    <w:p w14:paraId="676AE76A"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 </w:t>
      </w:r>
      <w:r w:rsidRPr="00A41B49">
        <w:rPr>
          <w:rFonts w:ascii="Times New Roman" w:eastAsia="Times New Roman" w:hAnsi="Times New Roman" w:cs="Times New Roman"/>
          <w:b/>
          <w:bCs/>
          <w:sz w:val="24"/>
          <w:szCs w:val="24"/>
          <w:bdr w:val="none" w:sz="0" w:space="0" w:color="auto" w:frame="1"/>
          <w:lang w:val="uk-UA" w:eastAsia="ru-RU"/>
        </w:rPr>
        <w:t>Мішкольц</w:t>
      </w:r>
      <w:r w:rsidRPr="00A41B49">
        <w:rPr>
          <w:rFonts w:ascii="Times New Roman" w:eastAsia="Times New Roman" w:hAnsi="Times New Roman" w:cs="Times New Roman"/>
          <w:sz w:val="24"/>
          <w:szCs w:val="24"/>
          <w:lang w:val="uk-UA" w:eastAsia="ru-RU"/>
        </w:rPr>
        <w:t> (Угорська Республіка):</w:t>
      </w:r>
    </w:p>
    <w:p w14:paraId="0B3CB357"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24.11.2016 – протокол про наміри між муніципалітетом міста і Мішкольц (Угорська Республіка) та виконавчим комітетом Криворізької міської ради (Україна).</w:t>
      </w:r>
    </w:p>
    <w:p w14:paraId="32B8BE50"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 </w:t>
      </w:r>
      <w:r w:rsidRPr="00A41B49">
        <w:rPr>
          <w:rFonts w:ascii="Times New Roman" w:eastAsia="Times New Roman" w:hAnsi="Times New Roman" w:cs="Times New Roman"/>
          <w:b/>
          <w:bCs/>
          <w:sz w:val="24"/>
          <w:szCs w:val="24"/>
          <w:bdr w:val="none" w:sz="0" w:space="0" w:color="auto" w:frame="1"/>
          <w:lang w:val="uk-UA" w:eastAsia="ru-RU"/>
        </w:rPr>
        <w:t>Люблін</w:t>
      </w:r>
      <w:r w:rsidRPr="00A41B49">
        <w:rPr>
          <w:rFonts w:ascii="Times New Roman" w:eastAsia="Times New Roman" w:hAnsi="Times New Roman" w:cs="Times New Roman"/>
          <w:sz w:val="24"/>
          <w:szCs w:val="24"/>
          <w:lang w:val="uk-UA" w:eastAsia="ru-RU"/>
        </w:rPr>
        <w:t> (Республіка Польща):</w:t>
      </w:r>
    </w:p>
    <w:p w14:paraId="7469D542"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30.03.2017 – Протокол про наміри між містами: Люблін (Республіка Польща) і Кривий Ріг (Україна).</w:t>
      </w:r>
    </w:p>
    <w:p w14:paraId="1B2728C9"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23.02.2023 – Угода про партнерство та співпрацю між містами Любліном (Республіка Польща) і Кривим Рогом (Україна).</w:t>
      </w:r>
    </w:p>
    <w:p w14:paraId="48545866"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4) </w:t>
      </w:r>
      <w:r w:rsidRPr="00A41B49">
        <w:rPr>
          <w:rFonts w:ascii="Times New Roman" w:eastAsia="Times New Roman" w:hAnsi="Times New Roman" w:cs="Times New Roman"/>
          <w:b/>
          <w:bCs/>
          <w:sz w:val="24"/>
          <w:szCs w:val="24"/>
          <w:bdr w:val="none" w:sz="0" w:space="0" w:color="auto" w:frame="1"/>
          <w:lang w:val="uk-UA" w:eastAsia="ru-RU"/>
        </w:rPr>
        <w:t>Кошице</w:t>
      </w:r>
      <w:r w:rsidRPr="00A41B49">
        <w:rPr>
          <w:rFonts w:ascii="Times New Roman" w:eastAsia="Times New Roman" w:hAnsi="Times New Roman" w:cs="Times New Roman"/>
          <w:sz w:val="24"/>
          <w:szCs w:val="24"/>
          <w:lang w:val="uk-UA" w:eastAsia="ru-RU"/>
        </w:rPr>
        <w:t> (Словацька Республіка):</w:t>
      </w:r>
    </w:p>
    <w:p w14:paraId="66D00F6D"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26.04.2017 – Декларація про співробітництво в галузі спорту між містами Кошице (Словацька Республіка) і Кривий Ріг (Україна).</w:t>
      </w:r>
    </w:p>
    <w:p w14:paraId="56ECC8A6"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 xml:space="preserve">5) </w:t>
      </w:r>
      <w:r w:rsidRPr="00A41B49">
        <w:rPr>
          <w:rFonts w:ascii="Times New Roman" w:eastAsia="Times New Roman" w:hAnsi="Times New Roman" w:cs="Times New Roman"/>
          <w:b/>
          <w:bCs/>
          <w:sz w:val="24"/>
          <w:szCs w:val="24"/>
          <w:bdr w:val="none" w:sz="0" w:space="0" w:color="auto" w:frame="1"/>
          <w:lang w:val="uk-UA" w:eastAsia="ru-RU"/>
        </w:rPr>
        <w:t>Дуйсбург</w:t>
      </w:r>
      <w:r w:rsidRPr="00A41B49">
        <w:rPr>
          <w:rFonts w:ascii="Times New Roman" w:eastAsia="Times New Roman" w:hAnsi="Times New Roman" w:cs="Times New Roman"/>
          <w:sz w:val="24"/>
          <w:szCs w:val="24"/>
          <w:lang w:val="uk-UA" w:eastAsia="ru-RU"/>
        </w:rPr>
        <w:t xml:space="preserve"> (Федеративна Республіка Німеччина):</w:t>
      </w:r>
    </w:p>
    <w:p w14:paraId="54DA7267"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22.02.2023 - Солідарне партнерство між містами Кривий Ріг (Україна) та Дуйсбург (Федеративна Республіка Німеччина).</w:t>
      </w:r>
    </w:p>
    <w:p w14:paraId="5B63BB0C"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 xml:space="preserve">6) </w:t>
      </w:r>
      <w:r w:rsidRPr="00A41B49">
        <w:rPr>
          <w:rFonts w:ascii="Times New Roman" w:eastAsia="Times New Roman" w:hAnsi="Times New Roman" w:cs="Times New Roman"/>
          <w:b/>
          <w:bCs/>
          <w:sz w:val="24"/>
          <w:szCs w:val="24"/>
          <w:bdr w:val="none" w:sz="0" w:space="0" w:color="auto" w:frame="1"/>
          <w:lang w:val="uk-UA" w:eastAsia="ru-RU"/>
        </w:rPr>
        <w:t>Еспоо</w:t>
      </w:r>
      <w:r w:rsidRPr="00A41B49">
        <w:rPr>
          <w:rFonts w:ascii="Times New Roman" w:eastAsia="Times New Roman" w:hAnsi="Times New Roman" w:cs="Times New Roman"/>
          <w:sz w:val="24"/>
          <w:szCs w:val="24"/>
          <w:lang w:val="uk-UA" w:eastAsia="ru-RU"/>
        </w:rPr>
        <w:t xml:space="preserve"> (Фінляндська Республіка):</w:t>
      </w:r>
    </w:p>
    <w:p w14:paraId="1C0BAF33"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09.05.2023 - Меморандум про дружбу, співробітництво та партнерство між містом Еспоо (Фінляндська Республіка) та містом Кривий Ріг (Україна).</w:t>
      </w:r>
    </w:p>
    <w:p w14:paraId="074D0A54"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 xml:space="preserve">7) </w:t>
      </w:r>
      <w:r w:rsidRPr="00A41B49">
        <w:rPr>
          <w:rFonts w:ascii="Times New Roman" w:eastAsia="Times New Roman" w:hAnsi="Times New Roman" w:cs="Times New Roman"/>
          <w:b/>
          <w:bCs/>
          <w:sz w:val="24"/>
          <w:szCs w:val="24"/>
          <w:bdr w:val="none" w:sz="0" w:space="0" w:color="auto" w:frame="1"/>
          <w:lang w:val="uk-UA" w:eastAsia="ru-RU"/>
        </w:rPr>
        <w:t xml:space="preserve">Лінгдал </w:t>
      </w:r>
      <w:r w:rsidRPr="00A41B49">
        <w:rPr>
          <w:rFonts w:ascii="Times New Roman" w:eastAsia="Times New Roman" w:hAnsi="Times New Roman" w:cs="Times New Roman"/>
          <w:sz w:val="24"/>
          <w:szCs w:val="24"/>
          <w:lang w:val="uk-UA" w:eastAsia="ru-RU"/>
        </w:rPr>
        <w:t>(Королівство Норвегія):</w:t>
      </w:r>
    </w:p>
    <w:p w14:paraId="3191E0FA"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20.06.2023 - Угода про партнерство та солідарність між містом Кривий Ріг (Україна) та  муніципалітетом Лінгдал (Королівство Норвегія)</w:t>
      </w:r>
      <w:r w:rsidR="00F97831" w:rsidRPr="00A41B49">
        <w:rPr>
          <w:rFonts w:ascii="Times New Roman" w:eastAsia="Times New Roman" w:hAnsi="Times New Roman" w:cs="Times New Roman"/>
          <w:sz w:val="24"/>
          <w:szCs w:val="24"/>
          <w:lang w:val="uk-UA" w:eastAsia="ru-RU"/>
        </w:rPr>
        <w:t xml:space="preserve"> [34]</w:t>
      </w:r>
      <w:r w:rsidRPr="00A41B49">
        <w:rPr>
          <w:rFonts w:ascii="Times New Roman" w:eastAsia="Times New Roman" w:hAnsi="Times New Roman" w:cs="Times New Roman"/>
          <w:sz w:val="24"/>
          <w:szCs w:val="24"/>
          <w:lang w:val="uk-UA" w:eastAsia="ru-RU"/>
        </w:rPr>
        <w:t>.</w:t>
      </w:r>
    </w:p>
    <w:p w14:paraId="4470B3F5"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p>
    <w:p w14:paraId="32B48F61"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b/>
          <w:bCs/>
          <w:sz w:val="24"/>
          <w:szCs w:val="24"/>
          <w:bdr w:val="none" w:sz="0" w:space="0" w:color="auto" w:frame="1"/>
          <w:lang w:val="uk-UA" w:eastAsia="ru-RU"/>
        </w:rPr>
        <w:t>Кривий Ріг є членом міжнародних організацій:</w:t>
      </w:r>
    </w:p>
    <w:p w14:paraId="53ED39C1"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2010 – вступ до </w:t>
      </w:r>
      <w:r w:rsidRPr="00A41B49">
        <w:rPr>
          <w:rFonts w:ascii="Times New Roman" w:eastAsia="Times New Roman" w:hAnsi="Times New Roman" w:cs="Times New Roman"/>
          <w:b/>
          <w:bCs/>
          <w:sz w:val="24"/>
          <w:szCs w:val="24"/>
          <w:bdr w:val="none" w:sz="0" w:space="0" w:color="auto" w:frame="1"/>
          <w:lang w:val="uk-UA" w:eastAsia="ru-RU"/>
        </w:rPr>
        <w:t>Асоціації «Енергоефективні міста України»</w:t>
      </w:r>
      <w:r w:rsidRPr="00A41B49">
        <w:rPr>
          <w:rFonts w:ascii="Times New Roman" w:eastAsia="Times New Roman" w:hAnsi="Times New Roman" w:cs="Times New Roman"/>
          <w:sz w:val="24"/>
          <w:szCs w:val="24"/>
          <w:lang w:val="uk-UA" w:eastAsia="ru-RU"/>
        </w:rPr>
        <w:t> (місто стало підписантом Європейської ініціативи «Угода мерів», відповідно до якої розроблено План дій сталого енергетичного розвитку міста (SEOP)»)</w:t>
      </w:r>
    </w:p>
    <w:p w14:paraId="4ECD7FD2"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01.08.2016 – вступ до </w:t>
      </w:r>
      <w:r w:rsidRPr="00A41B49">
        <w:rPr>
          <w:rFonts w:ascii="Times New Roman" w:eastAsia="Times New Roman" w:hAnsi="Times New Roman" w:cs="Times New Roman"/>
          <w:b/>
          <w:bCs/>
          <w:sz w:val="24"/>
          <w:szCs w:val="24"/>
          <w:bdr w:val="none" w:sz="0" w:space="0" w:color="auto" w:frame="1"/>
          <w:lang w:val="uk-UA" w:eastAsia="ru-RU"/>
        </w:rPr>
        <w:t>Асамблеї європейських регіонів (АЄР)</w:t>
      </w:r>
      <w:r w:rsidRPr="00A41B49">
        <w:rPr>
          <w:rFonts w:ascii="Times New Roman" w:eastAsia="Times New Roman" w:hAnsi="Times New Roman" w:cs="Times New Roman"/>
          <w:sz w:val="24"/>
          <w:szCs w:val="24"/>
          <w:lang w:val="uk-UA" w:eastAsia="ru-RU"/>
        </w:rPr>
        <w:t> – Assembly of European Regions (AER);</w:t>
      </w:r>
    </w:p>
    <w:p w14:paraId="3CAD8BE8"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06.11.2018 – вступ до </w:t>
      </w:r>
      <w:r w:rsidRPr="00A41B49">
        <w:rPr>
          <w:rFonts w:ascii="Times New Roman" w:eastAsia="Times New Roman" w:hAnsi="Times New Roman" w:cs="Times New Roman"/>
          <w:b/>
          <w:bCs/>
          <w:sz w:val="24"/>
          <w:szCs w:val="24"/>
          <w:bdr w:val="none" w:sz="0" w:space="0" w:color="auto" w:frame="1"/>
          <w:lang w:val="uk-UA" w:eastAsia="ru-RU"/>
        </w:rPr>
        <w:t>Асоціації «Європейський маршрут індустріальної спадщини»</w:t>
      </w:r>
      <w:r w:rsidRPr="00A41B49">
        <w:rPr>
          <w:rFonts w:ascii="Times New Roman" w:eastAsia="Times New Roman" w:hAnsi="Times New Roman" w:cs="Times New Roman"/>
          <w:sz w:val="24"/>
          <w:szCs w:val="24"/>
          <w:lang w:val="uk-UA" w:eastAsia="ru-RU"/>
        </w:rPr>
        <w:t> – European route of industrial heritage </w:t>
      </w:r>
      <w:r w:rsidRPr="00A41B49">
        <w:rPr>
          <w:rFonts w:ascii="Times New Roman" w:eastAsia="Times New Roman" w:hAnsi="Times New Roman" w:cs="Times New Roman"/>
          <w:b/>
          <w:bCs/>
          <w:sz w:val="24"/>
          <w:szCs w:val="24"/>
          <w:bdr w:val="none" w:sz="0" w:space="0" w:color="auto" w:frame="1"/>
          <w:lang w:val="uk-UA" w:eastAsia="ru-RU"/>
        </w:rPr>
        <w:t>(ЕRІH)</w:t>
      </w:r>
      <w:r w:rsidRPr="00A41B49">
        <w:rPr>
          <w:rFonts w:ascii="Times New Roman" w:eastAsia="Times New Roman" w:hAnsi="Times New Roman" w:cs="Times New Roman"/>
          <w:sz w:val="24"/>
          <w:szCs w:val="24"/>
          <w:lang w:val="uk-UA" w:eastAsia="ru-RU"/>
        </w:rPr>
        <w:t>;</w:t>
      </w:r>
    </w:p>
    <w:p w14:paraId="68DD1D58"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10.12.2019 – місто отримало звання Європейське місто спорту 2020 від Федерації європейських столиць і міст спорту – </w:t>
      </w:r>
      <w:r w:rsidRPr="00A41B49">
        <w:rPr>
          <w:rFonts w:ascii="Times New Roman" w:eastAsia="Times New Roman" w:hAnsi="Times New Roman" w:cs="Times New Roman"/>
          <w:b/>
          <w:bCs/>
          <w:sz w:val="24"/>
          <w:szCs w:val="24"/>
          <w:bdr w:val="none" w:sz="0" w:space="0" w:color="auto" w:frame="1"/>
          <w:lang w:val="uk-UA" w:eastAsia="ru-RU"/>
        </w:rPr>
        <w:t>European Capitals and Cities of Sport Federation (ACES Europe)</w:t>
      </w:r>
      <w:r w:rsidRPr="00A41B49">
        <w:rPr>
          <w:rFonts w:ascii="Times New Roman" w:eastAsia="Times New Roman" w:hAnsi="Times New Roman" w:cs="Times New Roman"/>
          <w:sz w:val="24"/>
          <w:szCs w:val="24"/>
          <w:lang w:val="uk-UA" w:eastAsia="ru-RU"/>
        </w:rPr>
        <w:t>.</w:t>
      </w:r>
    </w:p>
    <w:p w14:paraId="05BB9F8D"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 xml:space="preserve">21.08.2023 – вступ до </w:t>
      </w:r>
      <w:r w:rsidRPr="00A41B49">
        <w:rPr>
          <w:rFonts w:ascii="Times New Roman" w:eastAsia="Times New Roman" w:hAnsi="Times New Roman" w:cs="Times New Roman"/>
          <w:b/>
          <w:bCs/>
          <w:sz w:val="24"/>
          <w:szCs w:val="24"/>
          <w:bdr w:val="none" w:sz="0" w:space="0" w:color="auto" w:frame="1"/>
          <w:lang w:val="uk-UA" w:eastAsia="ru-RU"/>
        </w:rPr>
        <w:t xml:space="preserve">Європейської асоціації місцевої демократії </w:t>
      </w:r>
      <w:r w:rsidRPr="00A41B49">
        <w:rPr>
          <w:rFonts w:ascii="Times New Roman" w:eastAsia="Times New Roman" w:hAnsi="Times New Roman" w:cs="Times New Roman"/>
          <w:sz w:val="24"/>
          <w:szCs w:val="24"/>
          <w:lang w:val="uk-UA" w:eastAsia="ru-RU"/>
        </w:rPr>
        <w:t>– European Association for Local Democracy (ALDA);</w:t>
      </w:r>
    </w:p>
    <w:p w14:paraId="09E48AE4" w14:textId="77777777" w:rsidR="00153CD2" w:rsidRPr="00A41B49" w:rsidRDefault="00153CD2" w:rsidP="00153CD2">
      <w:pPr>
        <w:spacing w:after="0" w:line="240" w:lineRule="auto"/>
        <w:ind w:firstLine="709"/>
        <w:jc w:val="both"/>
        <w:textAlignment w:val="baseline"/>
        <w:rPr>
          <w:rFonts w:ascii="Times New Roman" w:eastAsia="Times New Roman" w:hAnsi="Times New Roman" w:cs="Times New Roman"/>
          <w:sz w:val="24"/>
          <w:szCs w:val="24"/>
          <w:lang w:val="uk-UA" w:eastAsia="ru-RU"/>
        </w:rPr>
      </w:pPr>
      <w:r w:rsidRPr="00A41B49">
        <w:rPr>
          <w:rFonts w:ascii="Times New Roman" w:eastAsia="Times New Roman" w:hAnsi="Times New Roman" w:cs="Times New Roman"/>
          <w:sz w:val="24"/>
          <w:szCs w:val="24"/>
          <w:lang w:val="uk-UA" w:eastAsia="ru-RU"/>
        </w:rPr>
        <w:t xml:space="preserve">У червні 2020 року </w:t>
      </w:r>
      <w:r w:rsidRPr="00A41B49">
        <w:rPr>
          <w:rFonts w:ascii="Times New Roman" w:eastAsia="Times New Roman" w:hAnsi="Times New Roman" w:cs="Times New Roman"/>
          <w:b/>
          <w:bCs/>
          <w:sz w:val="24"/>
          <w:szCs w:val="24"/>
          <w:lang w:val="uk-UA" w:eastAsia="ru-RU"/>
        </w:rPr>
        <w:t>світове рейтингове агентство Fitch Ratings</w:t>
      </w:r>
      <w:r w:rsidRPr="00A41B49">
        <w:rPr>
          <w:rFonts w:ascii="Times New Roman" w:eastAsia="Times New Roman" w:hAnsi="Times New Roman" w:cs="Times New Roman"/>
          <w:sz w:val="24"/>
          <w:szCs w:val="24"/>
          <w:lang w:val="uk-UA" w:eastAsia="ru-RU"/>
        </w:rPr>
        <w:t xml:space="preserve"> присвоїло Кривому Рогу довгостроковий рейтинг (РДЕ) в іноземній та національній валюті на рівні «B» з прогнозом «Стабільний», короткостроковий РДЕ в іноземній валюті «B» та національний рейтинг «A+(ukr)» зі «Стабільним» прогнозом. </w:t>
      </w:r>
      <w:bookmarkStart w:id="1" w:name="_Hlk147929846"/>
      <w:r w:rsidRPr="00A41B49">
        <w:rPr>
          <w:rFonts w:ascii="Times New Roman" w:eastAsia="Times New Roman" w:hAnsi="Times New Roman" w:cs="Times New Roman"/>
          <w:sz w:val="24"/>
          <w:szCs w:val="24"/>
          <w:lang w:val="uk-UA" w:eastAsia="ru-RU"/>
        </w:rPr>
        <w:t>До 2022 року кредитний рейтинг було підтверджено на цьому ж рівні. Проте у звязку з російською збройною агресією проти України кредитний рейтинг Кривого Рогу змінювався на фоні змін суверенного рейтингу України.</w:t>
      </w:r>
    </w:p>
    <w:p w14:paraId="1FB0F5D1" w14:textId="77777777" w:rsidR="00153CD2" w:rsidRPr="00A41B49" w:rsidRDefault="00153CD2" w:rsidP="00153CD2">
      <w:pPr>
        <w:spacing w:after="0" w:line="240" w:lineRule="auto"/>
        <w:ind w:firstLine="709"/>
        <w:jc w:val="both"/>
        <w:textAlignment w:val="baseline"/>
        <w:rPr>
          <w:rFonts w:ascii="Times New Roman" w:hAnsi="Times New Roman" w:cs="Times New Roman"/>
          <w:sz w:val="24"/>
          <w:szCs w:val="24"/>
          <w:lang w:val="uk-UA"/>
        </w:rPr>
      </w:pPr>
      <w:r w:rsidRPr="00A41B49">
        <w:rPr>
          <w:rFonts w:ascii="Times New Roman" w:eastAsia="Times New Roman" w:hAnsi="Times New Roman" w:cs="Times New Roman"/>
          <w:sz w:val="24"/>
          <w:szCs w:val="24"/>
          <w:lang w:val="uk-UA" w:eastAsia="ru-RU"/>
        </w:rPr>
        <w:t>21.04.2023 рейтинг Кривого Рогу в іноземній валюті було підтверджено на рівні «СС», рейтинг міста в національній валюті –</w:t>
      </w:r>
      <w:r w:rsidR="00F97831" w:rsidRPr="00A41B49">
        <w:rPr>
          <w:rFonts w:ascii="Times New Roman" w:hAnsi="Times New Roman" w:cs="Times New Roman"/>
          <w:sz w:val="24"/>
          <w:szCs w:val="24"/>
          <w:lang w:val="uk-UA"/>
        </w:rPr>
        <w:t xml:space="preserve">на рівні «ССС-» </w:t>
      </w:r>
      <w:r w:rsidR="00F97831" w:rsidRPr="00A41B49">
        <w:rPr>
          <w:rFonts w:ascii="Times New Roman" w:eastAsia="Times New Roman" w:hAnsi="Times New Roman" w:cs="Times New Roman"/>
          <w:sz w:val="24"/>
          <w:szCs w:val="24"/>
          <w:lang w:val="uk-UA" w:eastAsia="ru-RU"/>
        </w:rPr>
        <w:t>[34].</w:t>
      </w:r>
    </w:p>
    <w:bookmarkEnd w:id="1"/>
    <w:p w14:paraId="62D3141D" w14:textId="77777777" w:rsidR="00153CD2" w:rsidRPr="00A41B49" w:rsidRDefault="00153CD2" w:rsidP="0074424B">
      <w:pPr>
        <w:tabs>
          <w:tab w:val="left" w:pos="1134"/>
        </w:tabs>
        <w:spacing w:after="0" w:line="240" w:lineRule="auto"/>
        <w:rPr>
          <w:rFonts w:ascii="Times New Roman" w:eastAsia="Times New Roman" w:hAnsi="Times New Roman" w:cs="Times New Roman"/>
          <w:sz w:val="24"/>
          <w:szCs w:val="24"/>
          <w:bdr w:val="none" w:sz="0" w:space="0" w:color="auto" w:frame="1"/>
          <w:lang w:val="uk-UA" w:eastAsia="ru-RU"/>
        </w:rPr>
      </w:pPr>
      <w:r w:rsidRPr="00A41B49">
        <w:rPr>
          <w:rFonts w:ascii="Times New Roman" w:eastAsia="Times New Roman" w:hAnsi="Times New Roman" w:cs="Times New Roman"/>
          <w:sz w:val="24"/>
          <w:szCs w:val="24"/>
          <w:bdr w:val="none" w:sz="0" w:space="0" w:color="auto" w:frame="1"/>
          <w:lang w:val="uk-UA" w:eastAsia="ru-RU"/>
        </w:rPr>
        <w:br w:type="page"/>
      </w:r>
    </w:p>
    <w:p w14:paraId="56B7776C" w14:textId="77777777" w:rsidR="00153CD2" w:rsidRPr="00A41B49" w:rsidRDefault="00153CD2" w:rsidP="00153CD2">
      <w:pPr>
        <w:tabs>
          <w:tab w:val="left" w:pos="1134"/>
        </w:tabs>
        <w:spacing w:after="0" w:line="240" w:lineRule="auto"/>
        <w:ind w:firstLine="709"/>
        <w:jc w:val="right"/>
        <w:rPr>
          <w:rFonts w:ascii="Times New Roman" w:hAnsi="Times New Roman" w:cs="Times New Roman"/>
          <w:b/>
          <w:sz w:val="28"/>
          <w:szCs w:val="28"/>
          <w:lang w:val="uk-UA"/>
        </w:rPr>
        <w:sectPr w:rsidR="00153CD2" w:rsidRPr="00A41B49" w:rsidSect="00C8397A">
          <w:headerReference w:type="default" r:id="rId39"/>
          <w:pgSz w:w="11906" w:h="16838"/>
          <w:pgMar w:top="1134" w:right="850" w:bottom="1134" w:left="1701" w:header="708" w:footer="708" w:gutter="0"/>
          <w:cols w:space="708"/>
          <w:titlePg/>
          <w:docGrid w:linePitch="360"/>
        </w:sectPr>
      </w:pPr>
    </w:p>
    <w:p w14:paraId="576D50BC" w14:textId="6420D4D8" w:rsidR="00153CD2" w:rsidRPr="00A41B49" w:rsidRDefault="00B93BCC" w:rsidP="00153CD2">
      <w:pPr>
        <w:tabs>
          <w:tab w:val="left" w:pos="1134"/>
        </w:tabs>
        <w:spacing w:after="0" w:line="240" w:lineRule="auto"/>
        <w:ind w:firstLine="709"/>
        <w:jc w:val="right"/>
        <w:rPr>
          <w:rFonts w:ascii="Times New Roman" w:hAnsi="Times New Roman" w:cs="Times New Roman"/>
          <w:b/>
          <w:sz w:val="28"/>
          <w:szCs w:val="28"/>
          <w:lang w:val="uk-UA"/>
        </w:rPr>
      </w:pPr>
      <w:r w:rsidRPr="00A41B49">
        <w:rPr>
          <w:rFonts w:ascii="Times New Roman" w:hAnsi="Times New Roman" w:cs="Times New Roman"/>
          <w:b/>
          <w:sz w:val="28"/>
          <w:szCs w:val="28"/>
          <w:lang w:val="uk-UA"/>
        </w:rPr>
        <w:lastRenderedPageBreak/>
        <w:t xml:space="preserve">Продовження </w:t>
      </w:r>
      <w:r w:rsidR="00153CD2" w:rsidRPr="00A41B49">
        <w:rPr>
          <w:rFonts w:ascii="Times New Roman" w:hAnsi="Times New Roman" w:cs="Times New Roman"/>
          <w:b/>
          <w:sz w:val="28"/>
          <w:szCs w:val="28"/>
          <w:lang w:val="uk-UA"/>
        </w:rPr>
        <w:t>Додатк</w:t>
      </w:r>
      <w:r w:rsidRPr="00A41B49">
        <w:rPr>
          <w:rFonts w:ascii="Times New Roman" w:hAnsi="Times New Roman" w:cs="Times New Roman"/>
          <w:b/>
          <w:sz w:val="28"/>
          <w:szCs w:val="28"/>
          <w:lang w:val="uk-UA"/>
        </w:rPr>
        <w:t>у</w:t>
      </w:r>
      <w:r w:rsidR="00153CD2" w:rsidRPr="00A41B49">
        <w:rPr>
          <w:rFonts w:ascii="Times New Roman" w:hAnsi="Times New Roman" w:cs="Times New Roman"/>
          <w:b/>
          <w:sz w:val="28"/>
          <w:szCs w:val="28"/>
          <w:lang w:val="uk-UA"/>
        </w:rPr>
        <w:t xml:space="preserve"> А</w:t>
      </w:r>
    </w:p>
    <w:p w14:paraId="17BF28B9" w14:textId="77777777" w:rsidR="00153CD2" w:rsidRPr="00A41B49" w:rsidRDefault="00153CD2" w:rsidP="00153CD2">
      <w:pPr>
        <w:spacing w:after="0" w:line="240" w:lineRule="auto"/>
        <w:jc w:val="center"/>
        <w:textAlignment w:val="baseline"/>
        <w:rPr>
          <w:rFonts w:ascii="Times New Roman" w:eastAsia="Times New Roman" w:hAnsi="Times New Roman" w:cs="Times New Roman"/>
          <w:sz w:val="24"/>
          <w:szCs w:val="24"/>
          <w:bdr w:val="none" w:sz="0" w:space="0" w:color="auto" w:frame="1"/>
          <w:lang w:val="uk-UA" w:eastAsia="ru-RU"/>
        </w:rPr>
      </w:pPr>
    </w:p>
    <w:p w14:paraId="1B89EE51" w14:textId="77777777" w:rsidR="00153CD2" w:rsidRPr="00A41B49" w:rsidRDefault="00153CD2" w:rsidP="00153CD2">
      <w:pPr>
        <w:spacing w:after="0" w:line="240" w:lineRule="auto"/>
        <w:jc w:val="center"/>
        <w:textAlignment w:val="baseline"/>
        <w:rPr>
          <w:rFonts w:ascii="Times New Roman" w:eastAsia="Times New Roman" w:hAnsi="Times New Roman" w:cs="Times New Roman"/>
          <w:sz w:val="28"/>
          <w:szCs w:val="28"/>
          <w:lang w:val="uk-UA" w:eastAsia="ru-RU"/>
        </w:rPr>
      </w:pPr>
      <w:r w:rsidRPr="00A41B49">
        <w:rPr>
          <w:rFonts w:ascii="Times New Roman" w:eastAsia="Times New Roman" w:hAnsi="Times New Roman" w:cs="Times New Roman"/>
          <w:sz w:val="28"/>
          <w:szCs w:val="28"/>
          <w:bdr w:val="none" w:sz="0" w:space="0" w:color="auto" w:frame="1"/>
          <w:lang w:val="uk-UA" w:eastAsia="ru-RU"/>
        </w:rPr>
        <w:t xml:space="preserve">Таблиця А.1 - </w:t>
      </w:r>
      <w:r w:rsidRPr="00A41B49">
        <w:rPr>
          <w:rFonts w:ascii="Times New Roman" w:eastAsia="Times New Roman" w:hAnsi="Times New Roman" w:cs="Times New Roman"/>
          <w:sz w:val="28"/>
          <w:szCs w:val="28"/>
          <w:bdr w:val="none" w:sz="0" w:space="0" w:color="auto" w:frame="1"/>
          <w:lang w:eastAsia="ru-RU"/>
        </w:rPr>
        <w:t> </w:t>
      </w:r>
      <w:r w:rsidRPr="00A41B49">
        <w:rPr>
          <w:rFonts w:ascii="Times New Roman" w:eastAsia="Times New Roman" w:hAnsi="Times New Roman" w:cs="Times New Roman"/>
          <w:bCs/>
          <w:iCs/>
          <w:sz w:val="28"/>
          <w:szCs w:val="28"/>
          <w:bdr w:val="none" w:sz="0" w:space="0" w:color="auto" w:frame="1"/>
          <w:lang w:eastAsia="ru-RU"/>
        </w:rPr>
        <w:t xml:space="preserve">Співпраця </w:t>
      </w:r>
      <w:r w:rsidR="00F97831" w:rsidRPr="00A41B49">
        <w:rPr>
          <w:rFonts w:ascii="Times New Roman" w:eastAsia="Times New Roman" w:hAnsi="Times New Roman" w:cs="Times New Roman"/>
          <w:bCs/>
          <w:iCs/>
          <w:sz w:val="28"/>
          <w:szCs w:val="28"/>
          <w:bdr w:val="none" w:sz="0" w:space="0" w:color="auto" w:frame="1"/>
          <w:lang w:val="uk-UA" w:eastAsia="ru-RU"/>
        </w:rPr>
        <w:t xml:space="preserve">м. Кривий Ріг </w:t>
      </w:r>
      <w:r w:rsidRPr="00A41B49">
        <w:rPr>
          <w:rFonts w:ascii="Times New Roman" w:eastAsia="Times New Roman" w:hAnsi="Times New Roman" w:cs="Times New Roman"/>
          <w:bCs/>
          <w:iCs/>
          <w:sz w:val="28"/>
          <w:szCs w:val="28"/>
          <w:bdr w:val="none" w:sz="0" w:space="0" w:color="auto" w:frame="1"/>
          <w:lang w:eastAsia="ru-RU"/>
        </w:rPr>
        <w:t>з міжнародними організаціями</w:t>
      </w:r>
      <w:r w:rsidR="00F97831" w:rsidRPr="00A41B49">
        <w:rPr>
          <w:rFonts w:ascii="Times New Roman" w:eastAsia="Times New Roman" w:hAnsi="Times New Roman" w:cs="Times New Roman"/>
          <w:bCs/>
          <w:iCs/>
          <w:sz w:val="28"/>
          <w:szCs w:val="28"/>
          <w:bdr w:val="none" w:sz="0" w:space="0" w:color="auto" w:frame="1"/>
          <w:lang w:val="uk-UA" w:eastAsia="ru-RU"/>
        </w:rPr>
        <w:t xml:space="preserve"> </w:t>
      </w:r>
      <w:r w:rsidR="00F97831" w:rsidRPr="00A41B49">
        <w:rPr>
          <w:rFonts w:ascii="Times New Roman" w:eastAsia="Times New Roman" w:hAnsi="Times New Roman" w:cs="Times New Roman"/>
          <w:sz w:val="24"/>
          <w:szCs w:val="24"/>
          <w:lang w:val="uk-UA" w:eastAsia="ru-RU"/>
        </w:rPr>
        <w:t>[34]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4"/>
        <w:gridCol w:w="2064"/>
        <w:gridCol w:w="1312"/>
        <w:gridCol w:w="2849"/>
        <w:gridCol w:w="8131"/>
      </w:tblGrid>
      <w:tr w:rsidR="00A41B49" w:rsidRPr="00A41B49" w14:paraId="28270FF3" w14:textId="77777777" w:rsidTr="00072DB0">
        <w:trPr>
          <w:tblHeader/>
        </w:trPr>
        <w:tc>
          <w:tcPr>
            <w:tcW w:w="173"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vAlign w:val="bottom"/>
            <w:hideMark/>
          </w:tcPr>
          <w:p w14:paraId="15885A3E" w14:textId="77777777" w:rsidR="00153CD2" w:rsidRPr="00A41B49" w:rsidRDefault="00153CD2" w:rsidP="0034764D">
            <w:pPr>
              <w:spacing w:after="0" w:line="240" w:lineRule="auto"/>
              <w:jc w:val="center"/>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b/>
                <w:bCs/>
                <w:i/>
                <w:iCs/>
                <w:sz w:val="21"/>
                <w:szCs w:val="21"/>
                <w:bdr w:val="none" w:sz="0" w:space="0" w:color="auto" w:frame="1"/>
                <w:lang w:val="uk-UA" w:eastAsia="ru-RU"/>
              </w:rPr>
              <w:t>№</w:t>
            </w:r>
          </w:p>
        </w:tc>
        <w:tc>
          <w:tcPr>
            <w:tcW w:w="69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vAlign w:val="bottom"/>
            <w:hideMark/>
          </w:tcPr>
          <w:p w14:paraId="2AFAB492" w14:textId="77777777" w:rsidR="00153CD2" w:rsidRPr="00A41B49" w:rsidRDefault="00153CD2" w:rsidP="0034764D">
            <w:pPr>
              <w:spacing w:after="0" w:line="240" w:lineRule="auto"/>
              <w:jc w:val="center"/>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b/>
                <w:bCs/>
                <w:i/>
                <w:iCs/>
                <w:sz w:val="21"/>
                <w:szCs w:val="21"/>
                <w:bdr w:val="none" w:sz="0" w:space="0" w:color="auto" w:frame="1"/>
                <w:lang w:val="uk-UA" w:eastAsia="ru-RU"/>
              </w:rPr>
              <w:t>Організація</w:t>
            </w: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vAlign w:val="bottom"/>
            <w:hideMark/>
          </w:tcPr>
          <w:p w14:paraId="6EEE19C8" w14:textId="77777777" w:rsidR="00153CD2" w:rsidRPr="00A41B49" w:rsidRDefault="00153CD2" w:rsidP="0034764D">
            <w:pPr>
              <w:spacing w:after="0" w:line="240" w:lineRule="auto"/>
              <w:jc w:val="center"/>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b/>
                <w:bCs/>
                <w:i/>
                <w:iCs/>
                <w:sz w:val="21"/>
                <w:szCs w:val="21"/>
                <w:bdr w:val="none" w:sz="0" w:space="0" w:color="auto" w:frame="1"/>
                <w:lang w:val="uk-UA" w:eastAsia="ru-RU"/>
              </w:rPr>
              <w:t>Дата</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vAlign w:val="bottom"/>
            <w:hideMark/>
          </w:tcPr>
          <w:p w14:paraId="3F5FF834" w14:textId="77777777" w:rsidR="00153CD2" w:rsidRPr="00A41B49" w:rsidRDefault="00153CD2" w:rsidP="0034764D">
            <w:pPr>
              <w:spacing w:after="0" w:line="240" w:lineRule="auto"/>
              <w:jc w:val="center"/>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b/>
                <w:bCs/>
                <w:i/>
                <w:iCs/>
                <w:sz w:val="21"/>
                <w:szCs w:val="21"/>
                <w:bdr w:val="none" w:sz="0" w:space="0" w:color="auto" w:frame="1"/>
                <w:lang w:val="uk-UA" w:eastAsia="ru-RU"/>
              </w:rPr>
              <w:t>Проєкт</w:t>
            </w:r>
          </w:p>
        </w:tc>
        <w:tc>
          <w:tcPr>
            <w:tcW w:w="273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vAlign w:val="bottom"/>
            <w:hideMark/>
          </w:tcPr>
          <w:p w14:paraId="5FC1C81E" w14:textId="77777777" w:rsidR="00153CD2" w:rsidRPr="00A41B49" w:rsidRDefault="00153CD2" w:rsidP="0034764D">
            <w:pPr>
              <w:spacing w:after="0" w:line="240" w:lineRule="auto"/>
              <w:jc w:val="center"/>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b/>
                <w:bCs/>
                <w:i/>
                <w:iCs/>
                <w:sz w:val="21"/>
                <w:szCs w:val="21"/>
                <w:bdr w:val="none" w:sz="0" w:space="0" w:color="auto" w:frame="1"/>
                <w:lang w:val="uk-UA" w:eastAsia="ru-RU"/>
              </w:rPr>
              <w:t>Результати співпраці</w:t>
            </w:r>
          </w:p>
        </w:tc>
      </w:tr>
      <w:tr w:rsidR="00A41B49" w:rsidRPr="00A41B49" w14:paraId="0D90EC40" w14:textId="77777777" w:rsidTr="00072DB0">
        <w:tc>
          <w:tcPr>
            <w:tcW w:w="173"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7D9BAA13"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1</w:t>
            </w:r>
          </w:p>
        </w:tc>
        <w:tc>
          <w:tcPr>
            <w:tcW w:w="69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57D8A212"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Федерація канадських муніципалітетів</w:t>
            </w: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2CCE8074"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2010-2014</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0922BBE9"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Місцевий економічний розвиток міст України (МЕРМ)</w:t>
            </w:r>
          </w:p>
        </w:tc>
        <w:tc>
          <w:tcPr>
            <w:tcW w:w="273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148F7DFD"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перший «Стратегічний план розвитку міста Кривого Рогу на період до 2015 року»;</w:t>
            </w:r>
          </w:p>
          <w:p w14:paraId="5FE10A0E"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«Маркетингова стратегія розвитку міста Кривого Рогу та інструменти її впровадження»;</w:t>
            </w:r>
          </w:p>
          <w:p w14:paraId="574BAF4C"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запроваджено роботу «Центру надання адміністративних послуг м. Кривого Рогу «Віза» за новими стандартами</w:t>
            </w:r>
          </w:p>
        </w:tc>
      </w:tr>
      <w:tr w:rsidR="00A41B49" w:rsidRPr="00A41B49" w14:paraId="603BC31C" w14:textId="77777777" w:rsidTr="00072DB0">
        <w:tc>
          <w:tcPr>
            <w:tcW w:w="173"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0BC40D79"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w:t>
            </w:r>
          </w:p>
        </w:tc>
        <w:tc>
          <w:tcPr>
            <w:tcW w:w="69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7B459399"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Конференційна рада Канади</w:t>
            </w: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373C6113"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2010-2014</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2264DF8F"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Розбудова спроможності до економічного обґрунтованого планування розвитку областей та міст України (РЕОП)</w:t>
            </w:r>
          </w:p>
        </w:tc>
        <w:tc>
          <w:tcPr>
            <w:tcW w:w="273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12E139A2"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здійснено розробку моделей демографічного, економічного та бюджетного прогнозів;</w:t>
            </w:r>
          </w:p>
          <w:p w14:paraId="656CB6AB"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підготовлено бюлетені й збірники: «Профіль міста Кривого Рогу», «Демографічний прогноз для Кривого Рогу», «Бюджетний прогноз для Кривого Рогу», «Економічний прогноз до 2017 року для Кривого Рогу», «Кластерний аналіз економіки Кривого Рогу», «Кривий Ріг: Бенч-маркінг конкурентоспроможності», «Інвестиційні можливості: будівельний кластер м. Кривий Ріг».</w:t>
            </w:r>
          </w:p>
          <w:p w14:paraId="16A8AE84"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фахівці органів місцевого самоврядування міста отримали навички з планування розвитку міста, бюджетування тощо</w:t>
            </w:r>
          </w:p>
        </w:tc>
      </w:tr>
      <w:tr w:rsidR="00A41B49" w:rsidRPr="00A41B49" w14:paraId="626430A4" w14:textId="77777777" w:rsidTr="00072DB0">
        <w:tc>
          <w:tcPr>
            <w:tcW w:w="173"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6FB8FC1C"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3</w:t>
            </w:r>
          </w:p>
        </w:tc>
        <w:tc>
          <w:tcPr>
            <w:tcW w:w="694"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26ACB070"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Урядом ФРН через Федеральне Міністерство економічного співробітництва та розвитку Німеччини /BMZ/</w:t>
            </w:r>
          </w:p>
        </w:tc>
        <w:tc>
          <w:tcPr>
            <w:tcW w:w="441"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49F992AD"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2011</w:t>
            </w:r>
          </w:p>
        </w:tc>
        <w:tc>
          <w:tcPr>
            <w:tcW w:w="958"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067CD676"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Проєкт міжнародної технічної допомоги «Енергоефективність у громадах»</w:t>
            </w:r>
          </w:p>
        </w:tc>
        <w:tc>
          <w:tcPr>
            <w:tcW w:w="2734"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7E3C17A6"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Надали навчальну та консультативну допомогу з упровадження й удосконалення системи енергетичного менеджменту міста</w:t>
            </w:r>
          </w:p>
        </w:tc>
      </w:tr>
      <w:tr w:rsidR="00A41B49" w:rsidRPr="00A41B49" w14:paraId="4301DE04" w14:textId="77777777" w:rsidTr="00072DB0">
        <w:tc>
          <w:tcPr>
            <w:tcW w:w="173" w:type="pct"/>
            <w:vMerge w:val="restart"/>
            <w:tcBorders>
              <w:top w:val="single" w:sz="12" w:space="0" w:color="4D0A0A"/>
              <w:left w:val="single" w:sz="12" w:space="0" w:color="4D0A0A"/>
              <w:bottom w:val="single" w:sz="6" w:space="0" w:color="4D0A0A"/>
              <w:right w:val="single" w:sz="6" w:space="0" w:color="4D0A0A"/>
            </w:tcBorders>
            <w:tcMar>
              <w:top w:w="75" w:type="dxa"/>
              <w:left w:w="150" w:type="dxa"/>
              <w:bottom w:w="75" w:type="dxa"/>
              <w:right w:w="150" w:type="dxa"/>
            </w:tcMar>
            <w:hideMark/>
          </w:tcPr>
          <w:p w14:paraId="38AAEECD"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4</w:t>
            </w:r>
          </w:p>
        </w:tc>
        <w:tc>
          <w:tcPr>
            <w:tcW w:w="694" w:type="pct"/>
            <w:vMerge w:val="restar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1098058B"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Урядом США через Агентство США з міжнародного розвитку (USAID)</w:t>
            </w:r>
          </w:p>
        </w:tc>
        <w:tc>
          <w:tcPr>
            <w:tcW w:w="441"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33195B85"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2011-2018</w:t>
            </w:r>
          </w:p>
        </w:tc>
        <w:tc>
          <w:tcPr>
            <w:tcW w:w="958"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6ED8D5BB"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Проєкт міжнародної технічної допомоги «Муніципальна енергетична реформа в Україні»</w:t>
            </w:r>
          </w:p>
        </w:tc>
        <w:tc>
          <w:tcPr>
            <w:tcW w:w="2734" w:type="pct"/>
            <w:tcBorders>
              <w:top w:val="single" w:sz="12"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0F8C4DAA"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проведення навчань, тренінгів та інформування (забезпечення інформаційними матеріалами, брошурами, відеороликами) посадових осіб органів місцевого самоврядування, громадськості, учнівської та студентської молоді, ОСББ в питаннях ефективного використання енергетичних ресурсів та підвищення енергоефективності;</w:t>
            </w:r>
          </w:p>
          <w:p w14:paraId="148C276F"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сприяння у проведенні в місті щороку «Днів сталої енергії»;</w:t>
            </w:r>
          </w:p>
          <w:p w14:paraId="5FD19B66"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xml:space="preserve">- сприяння в актуалізації та внесенні відповідних коригувань до Плану сталого енергетичного розвитку міста Кривого Рогу до 2020 року, проведення з цією метою досліджень, розрахунків та аналізу інвестиційних пропозицій. Кінцевим результатом стало прийняття рішення міської ради від 26.04.2017 №1595, яким затверджено План </w:t>
            </w:r>
            <w:r w:rsidRPr="00A41B49">
              <w:rPr>
                <w:rFonts w:ascii="Times New Roman" w:eastAsia="Times New Roman" w:hAnsi="Times New Roman" w:cs="Times New Roman"/>
                <w:sz w:val="21"/>
                <w:szCs w:val="21"/>
                <w:lang w:val="uk-UA" w:eastAsia="ru-RU"/>
              </w:rPr>
              <w:lastRenderedPageBreak/>
              <w:t>дій зі сталого енергетичного розвитку міста Кривого Рогу до 2025 року;</w:t>
            </w:r>
          </w:p>
          <w:p w14:paraId="07437C3D"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в 2017 році, за сприяння проєкту, місту було надано допомогу в підготовці енергетичних аудитів для 50 освітніх закладів міста та попереднього ТЕО з метою залучення інвестицій для виконання проєкту з підвищення енергоефективності в бюджетних будівлях міста</w:t>
            </w:r>
          </w:p>
        </w:tc>
      </w:tr>
      <w:tr w:rsidR="00A41B49" w:rsidRPr="00A41B49" w14:paraId="58916794" w14:textId="77777777" w:rsidTr="00072DB0">
        <w:tc>
          <w:tcPr>
            <w:tcW w:w="173" w:type="pct"/>
            <w:vMerge/>
            <w:tcBorders>
              <w:top w:val="single" w:sz="6" w:space="0" w:color="4D0A0A"/>
              <w:left w:val="single" w:sz="12" w:space="0" w:color="4D0A0A"/>
              <w:bottom w:val="single" w:sz="6" w:space="0" w:color="4D0A0A"/>
              <w:right w:val="single" w:sz="6" w:space="0" w:color="4D0A0A"/>
            </w:tcBorders>
            <w:hideMark/>
          </w:tcPr>
          <w:p w14:paraId="39AF1F96"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6" w:space="0" w:color="4D0A0A"/>
              <w:right w:val="single" w:sz="6" w:space="0" w:color="4D0A0A"/>
            </w:tcBorders>
            <w:hideMark/>
          </w:tcPr>
          <w:p w14:paraId="0E5B990F"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6B0B8693"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2017</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3436A319"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«Стійкість ВІЛ-послуг»</w:t>
            </w:r>
          </w:p>
        </w:tc>
        <w:tc>
          <w:tcPr>
            <w:tcW w:w="2734" w:type="pct"/>
            <w:tcBorders>
              <w:top w:val="single" w:sz="6"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2F1BCCED"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Відкрито три спеціалізованих кабінети інтегрованого лікування для пацієнтів з ВІЛ/СНІД</w:t>
            </w:r>
          </w:p>
        </w:tc>
      </w:tr>
      <w:tr w:rsidR="00A41B49" w:rsidRPr="00A41B49" w14:paraId="53EF0AD7" w14:textId="77777777" w:rsidTr="00072DB0">
        <w:tc>
          <w:tcPr>
            <w:tcW w:w="173" w:type="pct"/>
            <w:vMerge/>
            <w:tcBorders>
              <w:top w:val="single" w:sz="6" w:space="0" w:color="4D0A0A"/>
              <w:left w:val="single" w:sz="12" w:space="0" w:color="4D0A0A"/>
              <w:bottom w:val="single" w:sz="12" w:space="0" w:color="4D0A0A"/>
              <w:right w:val="single" w:sz="6" w:space="0" w:color="4D0A0A"/>
            </w:tcBorders>
            <w:hideMark/>
          </w:tcPr>
          <w:p w14:paraId="5D3F7D8B"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12" w:space="0" w:color="4D0A0A"/>
              <w:right w:val="single" w:sz="6" w:space="0" w:color="4D0A0A"/>
            </w:tcBorders>
            <w:hideMark/>
          </w:tcPr>
          <w:p w14:paraId="67C02319"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510F5B9C"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2018</w:t>
            </w:r>
          </w:p>
        </w:tc>
        <w:tc>
          <w:tcPr>
            <w:tcW w:w="958"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553A4E3B"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«Містечко USAID» у рамках фестивалю EUROFEST-День Європи в Кривому Розі</w:t>
            </w:r>
          </w:p>
        </w:tc>
        <w:tc>
          <w:tcPr>
            <w:tcW w:w="2734" w:type="pct"/>
            <w:tcBorders>
              <w:top w:val="single" w:sz="6" w:space="0" w:color="4D0A0A"/>
              <w:left w:val="single" w:sz="6" w:space="0" w:color="4D0A0A"/>
              <w:bottom w:val="single" w:sz="12" w:space="0" w:color="4D0A0A"/>
              <w:right w:val="single" w:sz="12" w:space="0" w:color="4D0A0A"/>
            </w:tcBorders>
            <w:tcMar>
              <w:top w:w="75" w:type="dxa"/>
              <w:left w:w="150" w:type="dxa"/>
              <w:bottom w:w="75" w:type="dxa"/>
              <w:right w:w="150" w:type="dxa"/>
            </w:tcMar>
            <w:hideMark/>
          </w:tcPr>
          <w:p w14:paraId="38D8101D"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Спеціалісти містечка міжнародного проєкту USAID знайомили городян з проєктами та організаціями, які співпрацюють з Агентством, та втілюють проєкти, безпосередньо у Кривому Розі, з протидії корупції, правової допомоги, освіти, розвитку громад, малого та середнього бізнесу</w:t>
            </w:r>
          </w:p>
        </w:tc>
      </w:tr>
      <w:tr w:rsidR="00A41B49" w:rsidRPr="00A41B49" w14:paraId="3856F55D" w14:textId="77777777" w:rsidTr="00072DB0">
        <w:tc>
          <w:tcPr>
            <w:tcW w:w="173" w:type="pct"/>
            <w:vMerge w:val="restart"/>
            <w:tcBorders>
              <w:top w:val="single" w:sz="12" w:space="0" w:color="4D0A0A"/>
              <w:left w:val="single" w:sz="12" w:space="0" w:color="4D0A0A"/>
              <w:bottom w:val="single" w:sz="6" w:space="0" w:color="4D0A0A"/>
              <w:right w:val="single" w:sz="6" w:space="0" w:color="4D0A0A"/>
            </w:tcBorders>
            <w:tcMar>
              <w:top w:w="75" w:type="dxa"/>
              <w:left w:w="150" w:type="dxa"/>
              <w:bottom w:w="75" w:type="dxa"/>
              <w:right w:w="150" w:type="dxa"/>
            </w:tcMar>
            <w:hideMark/>
          </w:tcPr>
          <w:p w14:paraId="147FBFF0"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5</w:t>
            </w:r>
          </w:p>
        </w:tc>
        <w:tc>
          <w:tcPr>
            <w:tcW w:w="694" w:type="pct"/>
            <w:vMerge w:val="restar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03F307E6"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Німецьке товариство міжнародного співробітництва (GIZ)</w:t>
            </w:r>
          </w:p>
        </w:tc>
        <w:tc>
          <w:tcPr>
            <w:tcW w:w="441"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1D82AE64"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Вересень 2014</w:t>
            </w:r>
          </w:p>
        </w:tc>
        <w:tc>
          <w:tcPr>
            <w:tcW w:w="958"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3968EFC5"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Проєкт міжнародної технічної допомоги.</w:t>
            </w:r>
          </w:p>
          <w:p w14:paraId="09C33050"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w:t>
            </w:r>
          </w:p>
          <w:p w14:paraId="20211514"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Підписано Меморандум про взаєморозуміння та співпрацю (надалі – Меморандум з GIZ)</w:t>
            </w:r>
          </w:p>
          <w:p w14:paraId="30325398"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w:t>
            </w:r>
          </w:p>
        </w:tc>
        <w:tc>
          <w:tcPr>
            <w:tcW w:w="2734" w:type="pct"/>
            <w:tcBorders>
              <w:top w:val="single" w:sz="12"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15BDB1F5"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створено містечко з модульних будиночків для переселенців зі східних та південних областей України;</w:t>
            </w:r>
          </w:p>
          <w:p w14:paraId="2960BF46"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w:t>
            </w:r>
          </w:p>
          <w:p w14:paraId="7F96ADE7"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співпраця у сфері зміцнення громадського здоров’я, профілактики ВІЛ/СНІДу та підтримки програм корпоративної соціальної відповідальності;</w:t>
            </w:r>
          </w:p>
          <w:p w14:paraId="529A7014"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w:t>
            </w:r>
          </w:p>
          <w:p w14:paraId="09CA7E2B"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у 2014, 2015 роках проведено спортивний захід – ZdravoFest SPORT та музичний рок-фестиваль «Не Дай СНІДу Шанс!»</w:t>
            </w:r>
          </w:p>
        </w:tc>
      </w:tr>
      <w:tr w:rsidR="00A41B49" w:rsidRPr="00A41B49" w14:paraId="4004C354" w14:textId="77777777" w:rsidTr="00072DB0">
        <w:tc>
          <w:tcPr>
            <w:tcW w:w="173" w:type="pct"/>
            <w:vMerge/>
            <w:tcBorders>
              <w:top w:val="single" w:sz="6" w:space="0" w:color="4D0A0A"/>
              <w:left w:val="single" w:sz="12" w:space="0" w:color="4D0A0A"/>
              <w:bottom w:val="single" w:sz="6" w:space="0" w:color="4D0A0A"/>
              <w:right w:val="single" w:sz="6" w:space="0" w:color="4D0A0A"/>
            </w:tcBorders>
            <w:hideMark/>
          </w:tcPr>
          <w:p w14:paraId="7B0FBE08"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6" w:space="0" w:color="4D0A0A"/>
              <w:right w:val="single" w:sz="6" w:space="0" w:color="4D0A0A"/>
            </w:tcBorders>
            <w:hideMark/>
          </w:tcPr>
          <w:p w14:paraId="25FA4387"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0CFD4705"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2016</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6B9A4E66"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Розвиток соціальної інфраструктури у зв’язку зі збільшенням кількості ВПО</w:t>
            </w:r>
          </w:p>
        </w:tc>
        <w:tc>
          <w:tcPr>
            <w:tcW w:w="2734" w:type="pct"/>
            <w:tcBorders>
              <w:top w:val="single" w:sz="6"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19BE991E"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Проведено комплекс заходів з термомодернізації будівель, у навчальних закладах міста</w:t>
            </w:r>
          </w:p>
        </w:tc>
      </w:tr>
      <w:tr w:rsidR="00A41B49" w:rsidRPr="00A41B49" w14:paraId="436BB8BB" w14:textId="77777777" w:rsidTr="00072DB0">
        <w:tc>
          <w:tcPr>
            <w:tcW w:w="173" w:type="pct"/>
            <w:vMerge/>
            <w:tcBorders>
              <w:top w:val="single" w:sz="6" w:space="0" w:color="4D0A0A"/>
              <w:left w:val="single" w:sz="12" w:space="0" w:color="4D0A0A"/>
              <w:bottom w:val="single" w:sz="6" w:space="0" w:color="4D0A0A"/>
              <w:right w:val="single" w:sz="6" w:space="0" w:color="4D0A0A"/>
            </w:tcBorders>
            <w:hideMark/>
          </w:tcPr>
          <w:p w14:paraId="11C64689"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6" w:space="0" w:color="4D0A0A"/>
              <w:right w:val="single" w:sz="6" w:space="0" w:color="4D0A0A"/>
            </w:tcBorders>
            <w:hideMark/>
          </w:tcPr>
          <w:p w14:paraId="7E8CA126"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740F3586"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2017</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0685464D"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 рамках Меморандуму з GIZ</w:t>
            </w:r>
          </w:p>
        </w:tc>
        <w:tc>
          <w:tcPr>
            <w:tcW w:w="2734" w:type="pct"/>
            <w:tcBorders>
              <w:top w:val="single" w:sz="6"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41E6ABC0"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Здійснено ремонтні роботи у Криворізьких загальноосвітніх школах І-ІІІ ступенів №№58, 76, 115.</w:t>
            </w:r>
          </w:p>
          <w:p w14:paraId="4957ABEE"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 закладах виконано роботи із заміни вікон, утеплення фасадів, ремонту покрівель)</w:t>
            </w:r>
          </w:p>
        </w:tc>
      </w:tr>
      <w:tr w:rsidR="00A41B49" w:rsidRPr="00A41B49" w14:paraId="6A3436F0" w14:textId="77777777" w:rsidTr="00072DB0">
        <w:tc>
          <w:tcPr>
            <w:tcW w:w="173" w:type="pct"/>
            <w:vMerge/>
            <w:tcBorders>
              <w:top w:val="single" w:sz="6" w:space="0" w:color="4D0A0A"/>
              <w:left w:val="single" w:sz="12" w:space="0" w:color="4D0A0A"/>
              <w:bottom w:val="single" w:sz="6" w:space="0" w:color="4D0A0A"/>
              <w:right w:val="single" w:sz="6" w:space="0" w:color="4D0A0A"/>
            </w:tcBorders>
            <w:hideMark/>
          </w:tcPr>
          <w:p w14:paraId="169AADA9"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6" w:space="0" w:color="4D0A0A"/>
              <w:right w:val="single" w:sz="6" w:space="0" w:color="4D0A0A"/>
            </w:tcBorders>
            <w:hideMark/>
          </w:tcPr>
          <w:p w14:paraId="4704EA0F"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22942E19"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2017</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29B93718"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 рамках Меморандуму з GIZ</w:t>
            </w:r>
          </w:p>
        </w:tc>
        <w:tc>
          <w:tcPr>
            <w:tcW w:w="2734" w:type="pct"/>
            <w:tcBorders>
              <w:top w:val="single" w:sz="6"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41836E88"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Установлення індивідуальних теплових пунктів (ІТП) в 4-х освітніх закладах міста: Криворізькі загальноосвітні школи І-ІІІ ступенів №№110, 115, 117, 123</w:t>
            </w:r>
          </w:p>
        </w:tc>
      </w:tr>
      <w:tr w:rsidR="00A41B49" w:rsidRPr="00A41B49" w14:paraId="3865CD3B" w14:textId="77777777" w:rsidTr="00072DB0">
        <w:tc>
          <w:tcPr>
            <w:tcW w:w="173" w:type="pct"/>
            <w:vMerge/>
            <w:tcBorders>
              <w:top w:val="single" w:sz="6" w:space="0" w:color="4D0A0A"/>
              <w:left w:val="single" w:sz="12" w:space="0" w:color="4D0A0A"/>
              <w:bottom w:val="single" w:sz="6" w:space="0" w:color="4D0A0A"/>
              <w:right w:val="single" w:sz="6" w:space="0" w:color="4D0A0A"/>
            </w:tcBorders>
            <w:hideMark/>
          </w:tcPr>
          <w:p w14:paraId="702C85BA"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6" w:space="0" w:color="4D0A0A"/>
              <w:right w:val="single" w:sz="6" w:space="0" w:color="4D0A0A"/>
            </w:tcBorders>
            <w:hideMark/>
          </w:tcPr>
          <w:p w14:paraId="77132A07"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35403951"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2017</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7BE3AC1E"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 рамках Меморандуму з GIZ</w:t>
            </w:r>
          </w:p>
        </w:tc>
        <w:tc>
          <w:tcPr>
            <w:tcW w:w="2734" w:type="pct"/>
            <w:tcBorders>
              <w:top w:val="single" w:sz="6"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684EF6FA"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Упроваджено проєкти «Консультування з ВІЛ/СНІДу та підтримка інституцій», «FairPlay – Чесна гра». За підсумками конкурсу в рамках проєкту «Спеціальна ініціатива «Україна» 6 освітніх закладів міста отримали сучасне обладнання для проведення тренінгових занять</w:t>
            </w:r>
          </w:p>
        </w:tc>
      </w:tr>
      <w:tr w:rsidR="00A41B49" w:rsidRPr="00A41B49" w14:paraId="5E89A5C4" w14:textId="77777777" w:rsidTr="00072DB0">
        <w:tc>
          <w:tcPr>
            <w:tcW w:w="173" w:type="pct"/>
            <w:vMerge/>
            <w:tcBorders>
              <w:top w:val="single" w:sz="6" w:space="0" w:color="4D0A0A"/>
              <w:left w:val="single" w:sz="12" w:space="0" w:color="4D0A0A"/>
              <w:bottom w:val="single" w:sz="6" w:space="0" w:color="4D0A0A"/>
              <w:right w:val="single" w:sz="6" w:space="0" w:color="4D0A0A"/>
            </w:tcBorders>
            <w:hideMark/>
          </w:tcPr>
          <w:p w14:paraId="347F264D"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6" w:space="0" w:color="4D0A0A"/>
              <w:right w:val="single" w:sz="6" w:space="0" w:color="4D0A0A"/>
            </w:tcBorders>
            <w:hideMark/>
          </w:tcPr>
          <w:p w14:paraId="0CED37F6"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03887FA2"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2017</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26952439"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 рамках Меморандуму з GIZ та Фонду народонаселення ООН</w:t>
            </w:r>
          </w:p>
        </w:tc>
        <w:tc>
          <w:tcPr>
            <w:tcW w:w="2734" w:type="pct"/>
            <w:tcBorders>
              <w:top w:val="single" w:sz="6"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429B654A"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Організовано семінари та тренінги для протидії домашньому насильству й побудовано комунальний заклад «Кризовий центр для жінок, постраждалих від насильства в сім'ї, «З надією в майбутнє»</w:t>
            </w:r>
          </w:p>
        </w:tc>
      </w:tr>
      <w:tr w:rsidR="00A41B49" w:rsidRPr="00A41B49" w14:paraId="491EF206" w14:textId="77777777" w:rsidTr="00072DB0">
        <w:tc>
          <w:tcPr>
            <w:tcW w:w="173" w:type="pct"/>
            <w:vMerge/>
            <w:tcBorders>
              <w:top w:val="single" w:sz="6" w:space="0" w:color="4D0A0A"/>
              <w:left w:val="single" w:sz="12" w:space="0" w:color="4D0A0A"/>
              <w:bottom w:val="single" w:sz="6" w:space="0" w:color="4D0A0A"/>
              <w:right w:val="single" w:sz="6" w:space="0" w:color="4D0A0A"/>
            </w:tcBorders>
            <w:hideMark/>
          </w:tcPr>
          <w:p w14:paraId="61A940E5"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6" w:space="0" w:color="4D0A0A"/>
              <w:right w:val="single" w:sz="6" w:space="0" w:color="4D0A0A"/>
            </w:tcBorders>
            <w:hideMark/>
          </w:tcPr>
          <w:p w14:paraId="352B7239"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5EC9D729"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2019</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005033AA"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 рамках Меморандуму з GIZ</w:t>
            </w:r>
          </w:p>
        </w:tc>
        <w:tc>
          <w:tcPr>
            <w:tcW w:w="2734" w:type="pct"/>
            <w:tcBorders>
              <w:top w:val="single" w:sz="6"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1FDAA639"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Робота з підтримки розвитку інклюзії в місті:</w:t>
            </w:r>
          </w:p>
          <w:p w14:paraId="2227ABA8"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проведено тижневий тренінг для педагогів міста, які працюють з дітьми з особливими освітніми потребами (62 учасники), а також тренінг з покращення навичок роботи педагогів з дітьми у сенсорній кімнаті (25 учасників). За підсумками програми підготовки педагогічної громади до роботи з дітьми з особливими освітніми потребами видано підручник «Теорія і практика інклюзивної освіти», яким забезпечено всі заклади інклюзивної освіти міста;</w:t>
            </w:r>
          </w:p>
          <w:p w14:paraId="66F110D0"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придбано 10 сенсорних кімнат для 10 закладів загальної середньої освіти та обладнання для Комунальної установи «Інклюзивно-ресурсний центр №1»</w:t>
            </w:r>
          </w:p>
        </w:tc>
      </w:tr>
      <w:tr w:rsidR="00A41B49" w:rsidRPr="00A41B49" w14:paraId="7F7CEA5E" w14:textId="77777777" w:rsidTr="00072DB0">
        <w:tc>
          <w:tcPr>
            <w:tcW w:w="173" w:type="pct"/>
            <w:vMerge/>
            <w:tcBorders>
              <w:top w:val="single" w:sz="6" w:space="0" w:color="4D0A0A"/>
              <w:left w:val="single" w:sz="12" w:space="0" w:color="4D0A0A"/>
              <w:bottom w:val="single" w:sz="6" w:space="0" w:color="4D0A0A"/>
              <w:right w:val="single" w:sz="6" w:space="0" w:color="4D0A0A"/>
            </w:tcBorders>
            <w:hideMark/>
          </w:tcPr>
          <w:p w14:paraId="4337B0B0"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6" w:space="0" w:color="4D0A0A"/>
              <w:right w:val="single" w:sz="6" w:space="0" w:color="4D0A0A"/>
            </w:tcBorders>
            <w:hideMark/>
          </w:tcPr>
          <w:p w14:paraId="4A8227FA"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7E448C11"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2019</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26BE57BF"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 рамках Меморандуму з GIZ</w:t>
            </w:r>
          </w:p>
        </w:tc>
        <w:tc>
          <w:tcPr>
            <w:tcW w:w="2734" w:type="pct"/>
            <w:tcBorders>
              <w:top w:val="single" w:sz="6"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6F38FFB1"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здійснена гуманітарна допомога в місто у вигляді медичного обладнання з Німеччини для КЗ «Криворізька міська лікарня №10» КМР, і не тільки;</w:t>
            </w:r>
          </w:p>
          <w:p w14:paraId="78B62A2D"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ремонт травматологічного відділення КЗ «Криворізька міська лікарня №10» КМР за європейськими стандартами</w:t>
            </w:r>
          </w:p>
        </w:tc>
      </w:tr>
      <w:tr w:rsidR="00A41B49" w:rsidRPr="00A41B49" w14:paraId="76D39418" w14:textId="77777777" w:rsidTr="00072DB0">
        <w:tc>
          <w:tcPr>
            <w:tcW w:w="173" w:type="pct"/>
            <w:vMerge/>
            <w:tcBorders>
              <w:top w:val="single" w:sz="6" w:space="0" w:color="4D0A0A"/>
              <w:left w:val="single" w:sz="12" w:space="0" w:color="4D0A0A"/>
              <w:bottom w:val="single" w:sz="12" w:space="0" w:color="4D0A0A"/>
              <w:right w:val="single" w:sz="6" w:space="0" w:color="4D0A0A"/>
            </w:tcBorders>
          </w:tcPr>
          <w:p w14:paraId="7638193F"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12" w:space="0" w:color="4D0A0A"/>
              <w:right w:val="single" w:sz="6" w:space="0" w:color="4D0A0A"/>
            </w:tcBorders>
          </w:tcPr>
          <w:p w14:paraId="612D84E3"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tcPr>
          <w:p w14:paraId="2A4FF42C"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10.09.2020</w:t>
            </w:r>
          </w:p>
        </w:tc>
        <w:tc>
          <w:tcPr>
            <w:tcW w:w="958"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tcPr>
          <w:p w14:paraId="5857118D"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Укладено Меморандум про співпрацю в рамках проєкту міжнародної технічної допомоги</w:t>
            </w:r>
          </w:p>
          <w:p w14:paraId="1F4938B3"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«Зміцнення ресурсів для сталого розвитку приймаючих громад на сході України»</w:t>
            </w:r>
          </w:p>
        </w:tc>
        <w:tc>
          <w:tcPr>
            <w:tcW w:w="2734" w:type="pct"/>
            <w:tcBorders>
              <w:top w:val="single" w:sz="6" w:space="0" w:color="4D0A0A"/>
              <w:left w:val="single" w:sz="6" w:space="0" w:color="4D0A0A"/>
              <w:bottom w:val="single" w:sz="12" w:space="0" w:color="4D0A0A"/>
              <w:right w:val="single" w:sz="12" w:space="0" w:color="4D0A0A"/>
            </w:tcBorders>
            <w:tcMar>
              <w:top w:w="75" w:type="dxa"/>
              <w:left w:w="150" w:type="dxa"/>
              <w:bottom w:w="75" w:type="dxa"/>
              <w:right w:w="150" w:type="dxa"/>
            </w:tcMar>
          </w:tcPr>
          <w:p w14:paraId="5710E2C6"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експертне консультування;</w:t>
            </w:r>
          </w:p>
          <w:p w14:paraId="3DD8A52A"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проведення заходів для співробітників комунальних установ та закладів  соціальної та медичної сфери, а також відповідних департаментів, з метою покращення професійних компетенцій, а також зміцнення організаційних структур;</w:t>
            </w:r>
          </w:p>
          <w:p w14:paraId="3B4510ED"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проведення заходів з обміну досвідом;</w:t>
            </w:r>
          </w:p>
          <w:p w14:paraId="63A737AD"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забезпечення майном  відповідно до узгоджених заходів згідно розроблених стратегій чи концепцій</w:t>
            </w:r>
          </w:p>
          <w:p w14:paraId="210FD10D"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p>
        </w:tc>
      </w:tr>
      <w:tr w:rsidR="00A41B49" w:rsidRPr="00A41B49" w14:paraId="1DCF88D2" w14:textId="77777777" w:rsidTr="00072DB0">
        <w:tc>
          <w:tcPr>
            <w:tcW w:w="173"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2DE55BA6"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6</w:t>
            </w:r>
          </w:p>
        </w:tc>
        <w:tc>
          <w:tcPr>
            <w:tcW w:w="694"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52F9BDC1"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Австрійський Проєкт «Four Paws»</w:t>
            </w:r>
          </w:p>
        </w:tc>
        <w:tc>
          <w:tcPr>
            <w:tcW w:w="441"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51F175C5"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2014</w:t>
            </w:r>
          </w:p>
        </w:tc>
        <w:tc>
          <w:tcPr>
            <w:tcW w:w="958"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373FEC8B"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Проєкт поводження з безпритульними тваринами</w:t>
            </w:r>
          </w:p>
        </w:tc>
        <w:tc>
          <w:tcPr>
            <w:tcW w:w="2734"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2A627281"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Стерилізовано 184 тварини, проведено серію «уроків добра» з учнями загальноосвітніх шкіл міста (№8, №60), організовано стажування 11 криворізьких ветеринарних лікарів</w:t>
            </w:r>
          </w:p>
        </w:tc>
      </w:tr>
      <w:tr w:rsidR="00A41B49" w:rsidRPr="00A41B49" w14:paraId="19801115" w14:textId="77777777" w:rsidTr="00072DB0">
        <w:tc>
          <w:tcPr>
            <w:tcW w:w="173"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3DC09E7B"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7</w:t>
            </w:r>
          </w:p>
        </w:tc>
        <w:tc>
          <w:tcPr>
            <w:tcW w:w="69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218CA562"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xml:space="preserve">Світовий банк (Міжнародний банк реконструкції та розвитку) та Міністерство </w:t>
            </w:r>
            <w:r w:rsidRPr="00A41B49">
              <w:rPr>
                <w:rFonts w:ascii="Times New Roman" w:eastAsia="Times New Roman" w:hAnsi="Times New Roman" w:cs="Times New Roman"/>
                <w:sz w:val="21"/>
                <w:szCs w:val="21"/>
                <w:lang w:val="uk-UA" w:eastAsia="ru-RU"/>
              </w:rPr>
              <w:lastRenderedPageBreak/>
              <w:t>охорони здоров'я України</w:t>
            </w: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2BB16C21"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lastRenderedPageBreak/>
              <w:t>2015</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508E0B6C"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Проєкт «Поліпшення охорони здоров'я на службі у людей»</w:t>
            </w:r>
          </w:p>
        </w:tc>
        <w:tc>
          <w:tcPr>
            <w:tcW w:w="273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74591B7A"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Метою проєкту є удосконалення якості медичних послуг у відібраних областях, з особливим акцентом на первинній і вторинній профілактиці серцево-судинних захворювань та раку й поліпшенні ефективності системи охорони здоров'я</w:t>
            </w:r>
          </w:p>
        </w:tc>
      </w:tr>
      <w:tr w:rsidR="00A41B49" w:rsidRPr="00A41B49" w14:paraId="75851E2A" w14:textId="77777777" w:rsidTr="00072DB0">
        <w:tc>
          <w:tcPr>
            <w:tcW w:w="173"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611C0C8C"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8</w:t>
            </w:r>
          </w:p>
        </w:tc>
        <w:tc>
          <w:tcPr>
            <w:tcW w:w="69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0C1A405D"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Федеральне Міністерство закордонних справ ФРН</w:t>
            </w: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6623D9AB"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2015</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08626392"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Грантові проєкти</w:t>
            </w:r>
          </w:p>
        </w:tc>
        <w:tc>
          <w:tcPr>
            <w:tcW w:w="273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4192817A"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1) Проведення арт-фестивалю сучасного мистецтва «Сплав» (2, 3 жовтня 2015 року);</w:t>
            </w:r>
          </w:p>
          <w:p w14:paraId="2C7DE9F5"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 Створення комфортних умов для дітей з обмеженими можливостями в комунальній установі «Центр соціальної реабілітації дітей-інвалідів в місті Кривий Ріг» (замінено вікна на першому та другому поверхах закладу, чим значно покращено умови перебування дітей-інвалідів)</w:t>
            </w:r>
          </w:p>
        </w:tc>
      </w:tr>
      <w:tr w:rsidR="00A41B49" w:rsidRPr="00A41B49" w14:paraId="7FD5B976" w14:textId="77777777" w:rsidTr="00072DB0">
        <w:tc>
          <w:tcPr>
            <w:tcW w:w="173"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0EE31A03"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9</w:t>
            </w:r>
          </w:p>
        </w:tc>
        <w:tc>
          <w:tcPr>
            <w:tcW w:w="694"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3969962B"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Клініка Johannes Wesling Minden (ФРН)</w:t>
            </w:r>
          </w:p>
        </w:tc>
        <w:tc>
          <w:tcPr>
            <w:tcW w:w="441"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22B2C87D"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2016</w:t>
            </w:r>
          </w:p>
        </w:tc>
        <w:tc>
          <w:tcPr>
            <w:tcW w:w="958"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3FC22738"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Підписано меморандум.</w:t>
            </w:r>
          </w:p>
          <w:p w14:paraId="166777F2"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Співпраця в області практичної медицини на базі комунального закладу «Криворізька міська лікарня №10»</w:t>
            </w:r>
          </w:p>
          <w:p w14:paraId="1A714845"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w:t>
            </w:r>
          </w:p>
        </w:tc>
        <w:tc>
          <w:tcPr>
            <w:tcW w:w="2734"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06EE523E"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Сприяння в професійному навчанні та підвищенні кваліфікації медичної спільноти у питаннях лікування патологій опорно-рухового апарату</w:t>
            </w:r>
          </w:p>
        </w:tc>
      </w:tr>
      <w:tr w:rsidR="00A41B49" w:rsidRPr="00A41B49" w14:paraId="45D767CC" w14:textId="77777777" w:rsidTr="00072DB0">
        <w:tc>
          <w:tcPr>
            <w:tcW w:w="173" w:type="pct"/>
            <w:vMerge w:val="restart"/>
            <w:tcBorders>
              <w:top w:val="single" w:sz="12" w:space="0" w:color="4D0A0A"/>
              <w:left w:val="single" w:sz="12" w:space="0" w:color="4D0A0A"/>
              <w:bottom w:val="single" w:sz="6" w:space="0" w:color="4D0A0A"/>
              <w:right w:val="single" w:sz="6" w:space="0" w:color="4D0A0A"/>
            </w:tcBorders>
            <w:tcMar>
              <w:top w:w="75" w:type="dxa"/>
              <w:left w:w="150" w:type="dxa"/>
              <w:bottom w:w="75" w:type="dxa"/>
              <w:right w:w="150" w:type="dxa"/>
            </w:tcMar>
            <w:hideMark/>
          </w:tcPr>
          <w:p w14:paraId="4538D2C3"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10</w:t>
            </w:r>
          </w:p>
        </w:tc>
        <w:tc>
          <w:tcPr>
            <w:tcW w:w="694" w:type="pct"/>
            <w:vMerge w:val="restar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2FFA5616"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Європейський інвестиційний банк (ЄІБ)</w:t>
            </w:r>
          </w:p>
        </w:tc>
        <w:tc>
          <w:tcPr>
            <w:tcW w:w="441"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31C55C44"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2016-по теперішній час</w:t>
            </w:r>
          </w:p>
        </w:tc>
        <w:tc>
          <w:tcPr>
            <w:tcW w:w="958"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7B71611C"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Програма розвитку муніципальної інфраструктури України</w:t>
            </w:r>
          </w:p>
        </w:tc>
        <w:tc>
          <w:tcPr>
            <w:tcW w:w="2734" w:type="pct"/>
            <w:tcBorders>
              <w:top w:val="single" w:sz="12"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47A76928"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Реалізація субпроєкту «Модернізація системи теплопостачання міста Кривого Рогу (І етап)» (надалі – субпроєкт).</w:t>
            </w:r>
          </w:p>
          <w:p w14:paraId="7C79F247"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w:t>
            </w:r>
          </w:p>
          <w:p w14:paraId="6D508A52"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Проєктом передбачається: реконструкція та оптимізація системи теплопостачання в м. Кривому Розі шляхом реконструкції 2-х котелень («Гігант» та «Механобрчормет»), будівництва однієї котельні, виведення з експлуатації фізично та морально застарілої котельні з надлишковою потужністю й низькою енергоефективністю на території ПАТ «АрселорМіттал Кривий Ріг», ліквідація великої кількості магістральних трубопроводів, що мають високі втрати теплової енергії, часткова заміна теплових мереж, оптимізація системи управління та контролю теплопостачання. Крім цього, за рахунок грантових коштів планується оснастити індивідуальними тепловими пунктами бюджетні заклади міста та окремі багатоповерхові житлові будинки</w:t>
            </w:r>
          </w:p>
        </w:tc>
      </w:tr>
      <w:tr w:rsidR="00A41B49" w:rsidRPr="00A41B49" w14:paraId="6B05CEB6" w14:textId="77777777" w:rsidTr="00072DB0">
        <w:tc>
          <w:tcPr>
            <w:tcW w:w="173" w:type="pct"/>
            <w:vMerge/>
            <w:tcBorders>
              <w:top w:val="single" w:sz="6" w:space="0" w:color="4D0A0A"/>
              <w:left w:val="single" w:sz="12" w:space="0" w:color="4D0A0A"/>
              <w:bottom w:val="single" w:sz="6" w:space="0" w:color="4D0A0A"/>
              <w:right w:val="single" w:sz="6" w:space="0" w:color="4D0A0A"/>
            </w:tcBorders>
            <w:hideMark/>
          </w:tcPr>
          <w:p w14:paraId="73B5C842"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6" w:space="0" w:color="4D0A0A"/>
              <w:right w:val="single" w:sz="6" w:space="0" w:color="4D0A0A"/>
            </w:tcBorders>
            <w:hideMark/>
          </w:tcPr>
          <w:p w14:paraId="1FD0934D"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1FAFA640"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2017</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30899E59"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 рамках субпроєкту</w:t>
            </w:r>
          </w:p>
        </w:tc>
        <w:tc>
          <w:tcPr>
            <w:tcW w:w="2734" w:type="pct"/>
            <w:tcBorders>
              <w:top w:val="single" w:sz="6"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2A8C7F8B"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Пройшов етап відбору серед проєктів інших міст, отримано підтвердження можливості фінансування проєкту, розроблено техніко-економічне обґрунтування проєкту</w:t>
            </w:r>
          </w:p>
        </w:tc>
      </w:tr>
      <w:tr w:rsidR="00A41B49" w:rsidRPr="00A41B49" w14:paraId="327FBF64" w14:textId="77777777" w:rsidTr="00072DB0">
        <w:tc>
          <w:tcPr>
            <w:tcW w:w="173" w:type="pct"/>
            <w:vMerge/>
            <w:tcBorders>
              <w:top w:val="single" w:sz="6" w:space="0" w:color="4D0A0A"/>
              <w:left w:val="single" w:sz="12" w:space="0" w:color="4D0A0A"/>
              <w:bottom w:val="single" w:sz="6" w:space="0" w:color="4D0A0A"/>
              <w:right w:val="single" w:sz="6" w:space="0" w:color="4D0A0A"/>
            </w:tcBorders>
            <w:hideMark/>
          </w:tcPr>
          <w:p w14:paraId="58D80670"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6" w:space="0" w:color="4D0A0A"/>
              <w:right w:val="single" w:sz="6" w:space="0" w:color="4D0A0A"/>
            </w:tcBorders>
            <w:hideMark/>
          </w:tcPr>
          <w:p w14:paraId="727BED4C"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174B6B0E"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2018</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4356C809"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xml:space="preserve">У рамках субпроєкту Підписано грантову угоду між ЄБРР і ЄІБ на </w:t>
            </w:r>
            <w:r w:rsidRPr="00A41B49">
              <w:rPr>
                <w:rFonts w:ascii="Times New Roman" w:eastAsia="Times New Roman" w:hAnsi="Times New Roman" w:cs="Times New Roman"/>
                <w:sz w:val="21"/>
                <w:szCs w:val="21"/>
                <w:lang w:val="uk-UA" w:eastAsia="ru-RU"/>
              </w:rPr>
              <w:lastRenderedPageBreak/>
              <w:t>виділення місту грантових коштів від Фонду Е5Р</w:t>
            </w:r>
          </w:p>
        </w:tc>
        <w:tc>
          <w:tcPr>
            <w:tcW w:w="2734" w:type="pct"/>
            <w:tcBorders>
              <w:top w:val="single" w:sz="6"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7344D3D6"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lastRenderedPageBreak/>
              <w:t>За рахунок грантових коштів ЄІБ здійснює закупівлю обладнання для котлів. Коштом міського бюджету здійснюється розробка проєктно-кошторисної документації та отримання висновків оцінки впливу на довкілля.</w:t>
            </w:r>
          </w:p>
        </w:tc>
      </w:tr>
      <w:tr w:rsidR="00A41B49" w:rsidRPr="00A41B49" w14:paraId="6FAF47CF" w14:textId="77777777" w:rsidTr="00072DB0">
        <w:tc>
          <w:tcPr>
            <w:tcW w:w="173" w:type="pct"/>
            <w:vMerge/>
            <w:tcBorders>
              <w:top w:val="single" w:sz="6" w:space="0" w:color="4D0A0A"/>
              <w:left w:val="single" w:sz="12" w:space="0" w:color="4D0A0A"/>
              <w:bottom w:val="single" w:sz="6" w:space="0" w:color="4D0A0A"/>
              <w:right w:val="single" w:sz="6" w:space="0" w:color="4D0A0A"/>
            </w:tcBorders>
            <w:hideMark/>
          </w:tcPr>
          <w:p w14:paraId="69DE2289"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6" w:space="0" w:color="4D0A0A"/>
              <w:right w:val="single" w:sz="6" w:space="0" w:color="4D0A0A"/>
            </w:tcBorders>
            <w:hideMark/>
          </w:tcPr>
          <w:p w14:paraId="09DFDF5A"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6C8843A7"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2019</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42985434"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 рамках субпроєкту</w:t>
            </w:r>
          </w:p>
        </w:tc>
        <w:tc>
          <w:tcPr>
            <w:tcW w:w="2734" w:type="pct"/>
            <w:tcBorders>
              <w:top w:val="single" w:sz="6"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68E33684"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Між Міністерством фінансів України, Міністерством розвитку громад та територій України та Криворізькою міською радою було укладено угоду про передачу коштів позики, яку затверджено рішенням міської ради від 27.11.2019 №4237</w:t>
            </w:r>
          </w:p>
        </w:tc>
      </w:tr>
      <w:tr w:rsidR="00A41B49" w:rsidRPr="00A41B49" w14:paraId="58895B1D" w14:textId="77777777" w:rsidTr="00072DB0">
        <w:tc>
          <w:tcPr>
            <w:tcW w:w="173" w:type="pct"/>
            <w:vMerge/>
            <w:tcBorders>
              <w:top w:val="single" w:sz="6" w:space="0" w:color="4D0A0A"/>
              <w:left w:val="single" w:sz="12" w:space="0" w:color="4D0A0A"/>
              <w:bottom w:val="single" w:sz="12" w:space="0" w:color="4D0A0A"/>
              <w:right w:val="single" w:sz="6" w:space="0" w:color="4D0A0A"/>
            </w:tcBorders>
          </w:tcPr>
          <w:p w14:paraId="3262B295"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12" w:space="0" w:color="4D0A0A"/>
              <w:right w:val="single" w:sz="6" w:space="0" w:color="4D0A0A"/>
            </w:tcBorders>
          </w:tcPr>
          <w:p w14:paraId="0F69C4A4"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tcPr>
          <w:p w14:paraId="67A97821"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23.10.2020</w:t>
            </w:r>
          </w:p>
        </w:tc>
        <w:tc>
          <w:tcPr>
            <w:tcW w:w="958"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tcPr>
          <w:p w14:paraId="6B727ECD"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Підписано грантову угоду E5P</w:t>
            </w:r>
          </w:p>
        </w:tc>
        <w:tc>
          <w:tcPr>
            <w:tcW w:w="2734" w:type="pct"/>
            <w:tcBorders>
              <w:top w:val="single" w:sz="6" w:space="0" w:color="4D0A0A"/>
              <w:left w:val="single" w:sz="6" w:space="0" w:color="4D0A0A"/>
              <w:bottom w:val="single" w:sz="12" w:space="0" w:color="4D0A0A"/>
              <w:right w:val="single" w:sz="12" w:space="0" w:color="4D0A0A"/>
            </w:tcBorders>
            <w:tcMar>
              <w:top w:w="75" w:type="dxa"/>
              <w:left w:w="150" w:type="dxa"/>
              <w:bottom w:w="75" w:type="dxa"/>
              <w:right w:w="150" w:type="dxa"/>
            </w:tcMar>
          </w:tcPr>
          <w:p w14:paraId="22775F22" w14:textId="77777777" w:rsidR="00153CD2" w:rsidRPr="00A41B49" w:rsidRDefault="00153CD2" w:rsidP="0034764D">
            <w:pPr>
              <w:jc w:val="both"/>
              <w:rPr>
                <w:rFonts w:ascii="Times New Roman" w:hAnsi="Times New Roman" w:cs="Times New Roman"/>
                <w:sz w:val="21"/>
                <w:szCs w:val="21"/>
                <w:lang w:val="uk-UA"/>
              </w:rPr>
            </w:pPr>
            <w:r w:rsidRPr="00A41B49">
              <w:rPr>
                <w:rFonts w:ascii="Times New Roman" w:hAnsi="Times New Roman" w:cs="Times New Roman"/>
                <w:sz w:val="21"/>
                <w:szCs w:val="21"/>
                <w:lang w:val="uk-UA"/>
              </w:rPr>
              <w:t>Визначення умов надання Гранту для фінансового та технічного забезпечення по встановленню індивідуальних теплових пунктів у бюджетних закладах міста в рамках проєкту «Модернізація системи теплопостачання міста Кривого Рогу (І етап)»</w:t>
            </w:r>
          </w:p>
        </w:tc>
      </w:tr>
      <w:tr w:rsidR="00A41B49" w:rsidRPr="00A41B49" w14:paraId="1EB71448" w14:textId="77777777" w:rsidTr="00072DB0">
        <w:tc>
          <w:tcPr>
            <w:tcW w:w="173" w:type="pct"/>
            <w:vMerge w:val="restart"/>
            <w:tcBorders>
              <w:top w:val="single" w:sz="12" w:space="0" w:color="4D0A0A"/>
              <w:left w:val="single" w:sz="12" w:space="0" w:color="4D0A0A"/>
              <w:bottom w:val="single" w:sz="6" w:space="0" w:color="4D0A0A"/>
              <w:right w:val="single" w:sz="6" w:space="0" w:color="4D0A0A"/>
            </w:tcBorders>
            <w:tcMar>
              <w:top w:w="75" w:type="dxa"/>
              <w:left w:w="150" w:type="dxa"/>
              <w:bottom w:w="75" w:type="dxa"/>
              <w:right w:w="150" w:type="dxa"/>
            </w:tcMar>
            <w:hideMark/>
          </w:tcPr>
          <w:p w14:paraId="2879577B"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11</w:t>
            </w:r>
          </w:p>
        </w:tc>
        <w:tc>
          <w:tcPr>
            <w:tcW w:w="694" w:type="pct"/>
            <w:vMerge w:val="restar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521DCB65"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Європейський Банк Реконструкції та Розвитку (ЄБРР) та Фонд Чистих Технологій</w:t>
            </w:r>
          </w:p>
        </w:tc>
        <w:tc>
          <w:tcPr>
            <w:tcW w:w="441"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5C10C6FE"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15.03.2017</w:t>
            </w:r>
          </w:p>
        </w:tc>
        <w:tc>
          <w:tcPr>
            <w:tcW w:w="958"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0AAEEE4B"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Підписано угоду про підготовку кредитного фінансування проєктів</w:t>
            </w:r>
          </w:p>
        </w:tc>
        <w:tc>
          <w:tcPr>
            <w:tcW w:w="2734" w:type="pct"/>
            <w:tcBorders>
              <w:top w:val="single" w:sz="12"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73F87BEC"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Підвищення енергоефективності бюджетних закладів (шкіл і дитячих садків) та оновлення тролейбусного парку</w:t>
            </w:r>
          </w:p>
        </w:tc>
      </w:tr>
      <w:tr w:rsidR="00A41B49" w:rsidRPr="00A41B49" w14:paraId="453E1DCD" w14:textId="77777777" w:rsidTr="00072DB0">
        <w:tc>
          <w:tcPr>
            <w:tcW w:w="173" w:type="pct"/>
            <w:vMerge/>
            <w:tcBorders>
              <w:top w:val="single" w:sz="6" w:space="0" w:color="4D0A0A"/>
              <w:left w:val="single" w:sz="12" w:space="0" w:color="4D0A0A"/>
              <w:bottom w:val="single" w:sz="6" w:space="0" w:color="4D0A0A"/>
              <w:right w:val="single" w:sz="6" w:space="0" w:color="4D0A0A"/>
            </w:tcBorders>
            <w:hideMark/>
          </w:tcPr>
          <w:p w14:paraId="7091D842"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6" w:space="0" w:color="4D0A0A"/>
              <w:right w:val="single" w:sz="6" w:space="0" w:color="4D0A0A"/>
            </w:tcBorders>
            <w:hideMark/>
          </w:tcPr>
          <w:p w14:paraId="26224E78"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0D291A0E"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2017- по теперішній час</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7CD930FF"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 транспортній сфері проєкт має назву «Оновлення тролейбусного парку м. Кривий Ріг»</w:t>
            </w:r>
          </w:p>
        </w:tc>
        <w:tc>
          <w:tcPr>
            <w:tcW w:w="2734" w:type="pct"/>
            <w:tcBorders>
              <w:top w:val="single" w:sz="6"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3339A365"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Придбання 54 тролейбусів</w:t>
            </w:r>
          </w:p>
        </w:tc>
      </w:tr>
      <w:tr w:rsidR="00A41B49" w:rsidRPr="00A41B49" w14:paraId="44D0533B" w14:textId="77777777" w:rsidTr="00072DB0">
        <w:tc>
          <w:tcPr>
            <w:tcW w:w="173" w:type="pct"/>
            <w:vMerge/>
            <w:tcBorders>
              <w:top w:val="single" w:sz="6" w:space="0" w:color="4D0A0A"/>
              <w:left w:val="single" w:sz="12" w:space="0" w:color="4D0A0A"/>
              <w:bottom w:val="single" w:sz="12" w:space="0" w:color="4D0A0A"/>
              <w:right w:val="single" w:sz="6" w:space="0" w:color="4D0A0A"/>
            </w:tcBorders>
            <w:hideMark/>
          </w:tcPr>
          <w:p w14:paraId="7B0A1F94"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12" w:space="0" w:color="4D0A0A"/>
              <w:right w:val="single" w:sz="6" w:space="0" w:color="4D0A0A"/>
            </w:tcBorders>
            <w:hideMark/>
          </w:tcPr>
          <w:p w14:paraId="4E6A765D"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654BA287"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2017- по теперішній час</w:t>
            </w:r>
          </w:p>
        </w:tc>
        <w:tc>
          <w:tcPr>
            <w:tcW w:w="958"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21A6FF98"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З енергоефективності проєкт має назву «Підвищення енергоефективності громадських будівель у м. Кривому Розі»</w:t>
            </w:r>
          </w:p>
        </w:tc>
        <w:tc>
          <w:tcPr>
            <w:tcW w:w="2734" w:type="pct"/>
            <w:tcBorders>
              <w:top w:val="single" w:sz="6" w:space="0" w:color="4D0A0A"/>
              <w:left w:val="single" w:sz="6" w:space="0" w:color="4D0A0A"/>
              <w:bottom w:val="single" w:sz="12" w:space="0" w:color="4D0A0A"/>
              <w:right w:val="single" w:sz="12" w:space="0" w:color="4D0A0A"/>
            </w:tcBorders>
            <w:tcMar>
              <w:top w:w="75" w:type="dxa"/>
              <w:left w:w="150" w:type="dxa"/>
              <w:bottom w:w="75" w:type="dxa"/>
              <w:right w:w="150" w:type="dxa"/>
            </w:tcMar>
            <w:hideMark/>
          </w:tcPr>
          <w:p w14:paraId="1EA828F0"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До інвестиційного проєкту включено 46 бюджетних закладів. Реалізація проєкту дозволить зменшити споживання енергії, витрати на експлуатацію та технічне обслуговування будівель, поліпшить умови навчання й перебування понад 26 тис. дітей у школах і дитячих садках міста.</w:t>
            </w:r>
          </w:p>
          <w:p w14:paraId="343733F0"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23.12.2019 відбулося підписання договору гранту між КП «Кривбастеплоенерго» КМР, Криворізькою міською радою та ЄБРР для виконання (реалізації) зазначеного проєкту.</w:t>
            </w:r>
          </w:p>
        </w:tc>
      </w:tr>
      <w:tr w:rsidR="00A41B49" w:rsidRPr="00A41B49" w14:paraId="19FE9234" w14:textId="77777777" w:rsidTr="00072DB0">
        <w:tc>
          <w:tcPr>
            <w:tcW w:w="173" w:type="pct"/>
            <w:tcBorders>
              <w:top w:val="single" w:sz="12"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0715DE7F"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12</w:t>
            </w:r>
          </w:p>
        </w:tc>
        <w:tc>
          <w:tcPr>
            <w:tcW w:w="694" w:type="pct"/>
            <w:tcBorders>
              <w:top w:val="single" w:sz="12"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6D055C5D"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Національне агентство по енергозбереженню Республіки Польщі (НАПЕ)</w:t>
            </w:r>
          </w:p>
        </w:tc>
        <w:tc>
          <w:tcPr>
            <w:tcW w:w="441" w:type="pct"/>
            <w:tcBorders>
              <w:top w:val="single" w:sz="12"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01B55EC4"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2017</w:t>
            </w:r>
          </w:p>
        </w:tc>
        <w:tc>
          <w:tcPr>
            <w:tcW w:w="958" w:type="pct"/>
            <w:tcBorders>
              <w:top w:val="single" w:sz="12"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260125CD"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Меморандум про співробітництво у сфері підвищення енергоефективності</w:t>
            </w:r>
          </w:p>
        </w:tc>
        <w:tc>
          <w:tcPr>
            <w:tcW w:w="2734" w:type="pct"/>
            <w:tcBorders>
              <w:top w:val="single" w:sz="12"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1513DD7A"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НАПЕ сприяло участі міста в проєкті DREEAM, основне завдання якого спрямоване на підвищення енергоефективності житлового фонду міста, реновацію таких будівель і, як результат, забезпечення суттєвої економії енергоресурсів;</w:t>
            </w:r>
          </w:p>
          <w:p w14:paraId="36245E0C"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Співпраця з проєктом DREEAM передбачає організацію навчань з питань енергетичної реконструкції будівель і планування інвестиційної стратегії житлового фонду;</w:t>
            </w:r>
          </w:p>
          <w:p w14:paraId="2C38CC33"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 рамках проєкту DREEAM підготовлено енергетичні аудити для трьох багатоквартирних житлових будинків різних типів (4-, 5- і 9-поверхових).</w:t>
            </w:r>
          </w:p>
        </w:tc>
      </w:tr>
      <w:tr w:rsidR="00A41B49" w:rsidRPr="00A41B49" w14:paraId="31560C48" w14:textId="77777777" w:rsidTr="00072DB0">
        <w:tc>
          <w:tcPr>
            <w:tcW w:w="173" w:type="pct"/>
            <w:vMerge w:val="restart"/>
            <w:tcBorders>
              <w:top w:val="single" w:sz="12" w:space="0" w:color="4D0A0A"/>
              <w:left w:val="single" w:sz="12" w:space="0" w:color="4D0A0A"/>
              <w:bottom w:val="single" w:sz="6" w:space="0" w:color="4D0A0A"/>
              <w:right w:val="single" w:sz="6" w:space="0" w:color="4D0A0A"/>
            </w:tcBorders>
            <w:tcMar>
              <w:top w:w="75" w:type="dxa"/>
              <w:left w:w="150" w:type="dxa"/>
              <w:bottom w:w="75" w:type="dxa"/>
              <w:right w:w="150" w:type="dxa"/>
            </w:tcMar>
            <w:hideMark/>
          </w:tcPr>
          <w:p w14:paraId="563B87EA"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lastRenderedPageBreak/>
              <w:t>13</w:t>
            </w:r>
          </w:p>
        </w:tc>
        <w:tc>
          <w:tcPr>
            <w:tcW w:w="694" w:type="pct"/>
            <w:vMerge w:val="restar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44DA1099"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МГО «Фундація польсько-української співпраці ПАУСІ»</w:t>
            </w:r>
          </w:p>
          <w:p w14:paraId="7CBB8955"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w:t>
            </w:r>
          </w:p>
        </w:tc>
        <w:tc>
          <w:tcPr>
            <w:tcW w:w="441"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41907438"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03.04.2018</w:t>
            </w:r>
          </w:p>
        </w:tc>
        <w:tc>
          <w:tcPr>
            <w:tcW w:w="958"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5DC76960"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Підписано меморандум про співпрацю</w:t>
            </w:r>
          </w:p>
        </w:tc>
        <w:tc>
          <w:tcPr>
            <w:tcW w:w="2734" w:type="pct"/>
            <w:tcBorders>
              <w:top w:val="single" w:sz="12"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46226A55"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 рамках Ініціативи «Підтримка територіальних громад України у зв’язку зі збільшенням кількості внутрішньо переміщених осіб», що виконується Німецьким товариством міжнародного співробітництва GIZ за дорученням уряду Німеччини</w:t>
            </w:r>
          </w:p>
        </w:tc>
      </w:tr>
      <w:tr w:rsidR="00A41B49" w:rsidRPr="00A41B49" w14:paraId="0DC02507" w14:textId="77777777" w:rsidTr="00072DB0">
        <w:tc>
          <w:tcPr>
            <w:tcW w:w="173" w:type="pct"/>
            <w:vMerge/>
            <w:tcBorders>
              <w:top w:val="single" w:sz="6" w:space="0" w:color="4D0A0A"/>
              <w:left w:val="single" w:sz="12" w:space="0" w:color="4D0A0A"/>
              <w:bottom w:val="single" w:sz="12" w:space="0" w:color="4D0A0A"/>
              <w:right w:val="single" w:sz="6" w:space="0" w:color="4D0A0A"/>
            </w:tcBorders>
            <w:hideMark/>
          </w:tcPr>
          <w:p w14:paraId="4D21F1FC"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12" w:space="0" w:color="4D0A0A"/>
              <w:right w:val="single" w:sz="6" w:space="0" w:color="4D0A0A"/>
            </w:tcBorders>
            <w:hideMark/>
          </w:tcPr>
          <w:p w14:paraId="2A4D237F"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6C577588"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2018-2019</w:t>
            </w:r>
          </w:p>
        </w:tc>
        <w:tc>
          <w:tcPr>
            <w:tcW w:w="958"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hideMark/>
          </w:tcPr>
          <w:p w14:paraId="7244DDA9"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 рамках меморандуму з ПАУСІ</w:t>
            </w:r>
          </w:p>
        </w:tc>
        <w:tc>
          <w:tcPr>
            <w:tcW w:w="2734" w:type="pct"/>
            <w:tcBorders>
              <w:top w:val="single" w:sz="6" w:space="0" w:color="4D0A0A"/>
              <w:left w:val="single" w:sz="6" w:space="0" w:color="4D0A0A"/>
              <w:bottom w:val="single" w:sz="12" w:space="0" w:color="4D0A0A"/>
              <w:right w:val="single" w:sz="12" w:space="0" w:color="4D0A0A"/>
            </w:tcBorders>
            <w:tcMar>
              <w:top w:w="75" w:type="dxa"/>
              <w:left w:w="150" w:type="dxa"/>
              <w:bottom w:w="75" w:type="dxa"/>
              <w:right w:w="150" w:type="dxa"/>
            </w:tcMar>
            <w:hideMark/>
          </w:tcPr>
          <w:p w14:paraId="56F894F4"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Вдосконалено проведення конкурсу «Громадський бюджет» у рамках реалізації проєкту «Громадський бюджет на сході України – інтеграція заради розвитку».</w:t>
            </w:r>
          </w:p>
          <w:p w14:paraId="19773886"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Проведено промоційні та інформаційно-комунікаційні кампанії з громадськістю та представниками влади (зустрічі з мешканцями міста, загальноміський форум з обговорення пріоритетів розвитку міста та підготовки проєктів, круглі столи, семінари, тренінги)</w:t>
            </w:r>
          </w:p>
        </w:tc>
      </w:tr>
      <w:tr w:rsidR="00A41B49" w:rsidRPr="00A41B49" w14:paraId="647F1683" w14:textId="77777777" w:rsidTr="00072DB0">
        <w:tc>
          <w:tcPr>
            <w:tcW w:w="173" w:type="pct"/>
            <w:vMerge w:val="restart"/>
            <w:tcBorders>
              <w:top w:val="single" w:sz="12" w:space="0" w:color="4D0A0A"/>
              <w:left w:val="single" w:sz="12" w:space="0" w:color="4D0A0A"/>
              <w:bottom w:val="single" w:sz="6" w:space="0" w:color="4D0A0A"/>
              <w:right w:val="single" w:sz="6" w:space="0" w:color="4D0A0A"/>
            </w:tcBorders>
            <w:tcMar>
              <w:top w:w="75" w:type="dxa"/>
              <w:left w:w="150" w:type="dxa"/>
              <w:bottom w:w="75" w:type="dxa"/>
              <w:right w:w="150" w:type="dxa"/>
            </w:tcMar>
            <w:hideMark/>
          </w:tcPr>
          <w:p w14:paraId="1F5947CD"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14</w:t>
            </w:r>
          </w:p>
        </w:tc>
        <w:tc>
          <w:tcPr>
            <w:tcW w:w="694" w:type="pct"/>
            <w:vMerge w:val="restar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3F24372C"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Міжнародна фінансова корпорація (IFC)</w:t>
            </w:r>
          </w:p>
        </w:tc>
        <w:tc>
          <w:tcPr>
            <w:tcW w:w="441"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6B65798F"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17.05.2019</w:t>
            </w:r>
          </w:p>
        </w:tc>
        <w:tc>
          <w:tcPr>
            <w:tcW w:w="958"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2EF55657"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Укладено Меморандум про взаєморозуміння</w:t>
            </w:r>
          </w:p>
        </w:tc>
        <w:tc>
          <w:tcPr>
            <w:tcW w:w="2734" w:type="pct"/>
            <w:tcBorders>
              <w:top w:val="single" w:sz="12"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14FE16F5"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Можливість співпраці з реалізації проєктів, спрямованих на модернізацію та розширення муніципальної інфраструктури міста.</w:t>
            </w:r>
          </w:p>
          <w:p w14:paraId="72C37630"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Меморандумом також передбачається надання IFC Місту безоплатних технічних консультаційних послуг</w:t>
            </w:r>
          </w:p>
          <w:p w14:paraId="4F9A10B0"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p>
        </w:tc>
      </w:tr>
      <w:tr w:rsidR="00A41B49" w:rsidRPr="00A41B49" w14:paraId="09EA012F" w14:textId="77777777" w:rsidTr="00072DB0">
        <w:tc>
          <w:tcPr>
            <w:tcW w:w="173" w:type="pct"/>
            <w:vMerge/>
            <w:tcBorders>
              <w:top w:val="single" w:sz="6" w:space="0" w:color="4D0A0A"/>
              <w:left w:val="single" w:sz="12" w:space="0" w:color="4D0A0A"/>
              <w:bottom w:val="single" w:sz="6" w:space="0" w:color="4D0A0A"/>
              <w:right w:val="single" w:sz="6" w:space="0" w:color="4D0A0A"/>
            </w:tcBorders>
            <w:hideMark/>
          </w:tcPr>
          <w:p w14:paraId="7A8F92FA"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6" w:space="0" w:color="4D0A0A"/>
              <w:right w:val="single" w:sz="6" w:space="0" w:color="4D0A0A"/>
            </w:tcBorders>
            <w:hideMark/>
          </w:tcPr>
          <w:p w14:paraId="71067688"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1FFE2709"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27.01.2020</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742C3FD6"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Підписано договір  (Мандатний лист) між Криворізькою міською радою, КП «Швидкісний трамвай» та IFC</w:t>
            </w:r>
          </w:p>
        </w:tc>
        <w:tc>
          <w:tcPr>
            <w:tcW w:w="2734" w:type="pct"/>
            <w:tcBorders>
              <w:top w:val="single" w:sz="6"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6099DE17"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Надання кредиту КП «Швидкісний трамвай» у розмірі 27 млн. євро під гарантії міської ради у придбанні 50 одиниць трамваїв і реконструкції трамвайних колій та благоустрій на вул. Соборності</w:t>
            </w:r>
          </w:p>
        </w:tc>
      </w:tr>
      <w:tr w:rsidR="00A41B49" w:rsidRPr="00A41B49" w14:paraId="0FF0BE3A" w14:textId="77777777" w:rsidTr="00072DB0">
        <w:tc>
          <w:tcPr>
            <w:tcW w:w="173" w:type="pct"/>
            <w:vMerge/>
            <w:tcBorders>
              <w:top w:val="single" w:sz="6" w:space="0" w:color="4D0A0A"/>
              <w:left w:val="single" w:sz="12" w:space="0" w:color="4D0A0A"/>
              <w:bottom w:val="single" w:sz="12" w:space="0" w:color="4D0A0A"/>
              <w:right w:val="single" w:sz="6" w:space="0" w:color="4D0A0A"/>
            </w:tcBorders>
          </w:tcPr>
          <w:p w14:paraId="713C1FF8"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12" w:space="0" w:color="4D0A0A"/>
              <w:right w:val="single" w:sz="6" w:space="0" w:color="4D0A0A"/>
            </w:tcBorders>
          </w:tcPr>
          <w:p w14:paraId="2AA35A44" w14:textId="77777777" w:rsidR="00153CD2" w:rsidRPr="00A41B49" w:rsidRDefault="00153CD2" w:rsidP="0034764D">
            <w:pPr>
              <w:spacing w:after="0" w:line="240" w:lineRule="auto"/>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tcPr>
          <w:p w14:paraId="57CAAF34"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07.12.2021</w:t>
            </w:r>
          </w:p>
        </w:tc>
        <w:tc>
          <w:tcPr>
            <w:tcW w:w="958"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tcPr>
          <w:p w14:paraId="15B04931" w14:textId="77777777" w:rsidR="00153CD2" w:rsidRPr="00A41B49" w:rsidRDefault="00153CD2" w:rsidP="0034764D">
            <w:pPr>
              <w:rPr>
                <w:rFonts w:ascii="Times New Roman" w:hAnsi="Times New Roman" w:cs="Times New Roman"/>
                <w:sz w:val="21"/>
                <w:szCs w:val="21"/>
                <w:lang w:val="uk-UA"/>
              </w:rPr>
            </w:pPr>
            <w:r w:rsidRPr="00A41B49">
              <w:rPr>
                <w:rFonts w:ascii="Times New Roman" w:eastAsia="Times New Roman" w:hAnsi="Times New Roman" w:cs="Times New Roman"/>
                <w:sz w:val="21"/>
                <w:szCs w:val="21"/>
                <w:lang w:val="uk-UA" w:eastAsia="ru-RU"/>
              </w:rPr>
              <w:t>Підписано  к</w:t>
            </w:r>
            <w:r w:rsidRPr="00A41B49">
              <w:rPr>
                <w:rFonts w:ascii="Times New Roman" w:hAnsi="Times New Roman" w:cs="Times New Roman"/>
                <w:sz w:val="21"/>
                <w:szCs w:val="21"/>
                <w:lang w:val="uk-UA"/>
              </w:rPr>
              <w:t>редитний договір та договір гарантії щодо проєкту «Трамваї Кривого Рогу»</w:t>
            </w:r>
          </w:p>
        </w:tc>
        <w:tc>
          <w:tcPr>
            <w:tcW w:w="2734" w:type="pct"/>
            <w:tcBorders>
              <w:top w:val="single" w:sz="6" w:space="0" w:color="4D0A0A"/>
              <w:left w:val="single" w:sz="6" w:space="0" w:color="4D0A0A"/>
              <w:bottom w:val="single" w:sz="12" w:space="0" w:color="4D0A0A"/>
              <w:right w:val="single" w:sz="12" w:space="0" w:color="4D0A0A"/>
            </w:tcBorders>
            <w:tcMar>
              <w:top w:w="75" w:type="dxa"/>
              <w:left w:w="150" w:type="dxa"/>
              <w:bottom w:w="75" w:type="dxa"/>
              <w:right w:w="150" w:type="dxa"/>
            </w:tcMar>
          </w:tcPr>
          <w:p w14:paraId="26F49479" w14:textId="77777777" w:rsidR="00153CD2" w:rsidRPr="00A41B49" w:rsidRDefault="00153CD2" w:rsidP="0034764D">
            <w:pPr>
              <w:spacing w:after="0" w:line="240" w:lineRule="auto"/>
              <w:jc w:val="both"/>
              <w:rPr>
                <w:rFonts w:ascii="Times New Roman" w:hAnsi="Times New Roman" w:cs="Times New Roman"/>
                <w:sz w:val="21"/>
                <w:szCs w:val="21"/>
                <w:lang w:val="uk-UA"/>
              </w:rPr>
            </w:pPr>
            <w:r w:rsidRPr="00A41B49">
              <w:rPr>
                <w:rFonts w:ascii="Times New Roman" w:hAnsi="Times New Roman" w:cs="Times New Roman"/>
                <w:sz w:val="21"/>
                <w:szCs w:val="21"/>
                <w:lang w:val="uk-UA"/>
              </w:rPr>
              <w:t>Придбання нового рухомого складу трамваїв та модернізації, пов’язаної інфраструктури, що включає реконструкцію трамвайних шляхів по вул.Соборності</w:t>
            </w:r>
          </w:p>
        </w:tc>
      </w:tr>
      <w:tr w:rsidR="00A41B49" w:rsidRPr="00A41B49" w14:paraId="7273BFFF" w14:textId="77777777" w:rsidTr="00072DB0">
        <w:tc>
          <w:tcPr>
            <w:tcW w:w="173" w:type="pct"/>
            <w:vMerge w:val="restart"/>
            <w:tcBorders>
              <w:top w:val="single" w:sz="12" w:space="0" w:color="4D0A0A"/>
              <w:left w:val="single" w:sz="12" w:space="0" w:color="4D0A0A"/>
              <w:bottom w:val="single" w:sz="6" w:space="0" w:color="4D0A0A"/>
              <w:right w:val="single" w:sz="6" w:space="0" w:color="4D0A0A"/>
            </w:tcBorders>
            <w:tcMar>
              <w:top w:w="75" w:type="dxa"/>
              <w:left w:w="150" w:type="dxa"/>
              <w:bottom w:w="75" w:type="dxa"/>
              <w:right w:w="150" w:type="dxa"/>
            </w:tcMar>
            <w:hideMark/>
          </w:tcPr>
          <w:p w14:paraId="21BE6980"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15</w:t>
            </w:r>
          </w:p>
        </w:tc>
        <w:tc>
          <w:tcPr>
            <w:tcW w:w="694" w:type="pct"/>
            <w:vMerge w:val="restar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20E21058"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ЄБРР</w:t>
            </w:r>
          </w:p>
        </w:tc>
        <w:tc>
          <w:tcPr>
            <w:tcW w:w="441"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1B99C654"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02.07.2020</w:t>
            </w:r>
          </w:p>
        </w:tc>
        <w:tc>
          <w:tcPr>
            <w:tcW w:w="958"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755A4D7E"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Угода «Про підготовку кредитного фінансування»</w:t>
            </w:r>
          </w:p>
        </w:tc>
        <w:tc>
          <w:tcPr>
            <w:tcW w:w="2734" w:type="pct"/>
            <w:tcBorders>
              <w:top w:val="single" w:sz="12" w:space="0" w:color="4D0A0A"/>
              <w:left w:val="single" w:sz="6" w:space="0" w:color="4D0A0A"/>
              <w:bottom w:val="single" w:sz="6" w:space="0" w:color="4D0A0A"/>
              <w:right w:val="single" w:sz="12" w:space="0" w:color="4D0A0A"/>
            </w:tcBorders>
            <w:tcMar>
              <w:top w:w="75" w:type="dxa"/>
              <w:left w:w="150" w:type="dxa"/>
              <w:bottom w:w="75" w:type="dxa"/>
              <w:right w:w="150" w:type="dxa"/>
            </w:tcMar>
            <w:hideMark/>
          </w:tcPr>
          <w:p w14:paraId="245BD7D5"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Технічне співробітництво для співфінансування проєкту «Нове будівництво комплексу з перероблення, знешкодження та складування твердих побутових відходів»</w:t>
            </w:r>
          </w:p>
        </w:tc>
      </w:tr>
      <w:tr w:rsidR="00A41B49" w:rsidRPr="00A41B49" w14:paraId="6D97AEE6" w14:textId="77777777" w:rsidTr="00072DB0">
        <w:tc>
          <w:tcPr>
            <w:tcW w:w="173" w:type="pct"/>
            <w:vMerge/>
            <w:tcBorders>
              <w:top w:val="single" w:sz="6" w:space="0" w:color="4D0A0A"/>
              <w:left w:val="single" w:sz="12" w:space="0" w:color="4D0A0A"/>
              <w:bottom w:val="single" w:sz="12" w:space="0" w:color="4D0A0A"/>
              <w:right w:val="single" w:sz="6" w:space="0" w:color="4D0A0A"/>
            </w:tcBorders>
            <w:tcMar>
              <w:top w:w="75" w:type="dxa"/>
              <w:left w:w="150" w:type="dxa"/>
              <w:bottom w:w="75" w:type="dxa"/>
              <w:right w:w="150" w:type="dxa"/>
            </w:tcMar>
          </w:tcPr>
          <w:p w14:paraId="5D998DA0"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p>
        </w:tc>
        <w:tc>
          <w:tcPr>
            <w:tcW w:w="694" w:type="pct"/>
            <w:vMerge/>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tcPr>
          <w:p w14:paraId="66DB13DB"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p>
        </w:tc>
        <w:tc>
          <w:tcPr>
            <w:tcW w:w="441"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tcPr>
          <w:p w14:paraId="7D95A580"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26.05.2020</w:t>
            </w:r>
          </w:p>
        </w:tc>
        <w:tc>
          <w:tcPr>
            <w:tcW w:w="958" w:type="pct"/>
            <w:tcBorders>
              <w:top w:val="single" w:sz="6" w:space="0" w:color="4D0A0A"/>
              <w:left w:val="single" w:sz="6" w:space="0" w:color="4D0A0A"/>
              <w:bottom w:val="single" w:sz="12" w:space="0" w:color="4D0A0A"/>
              <w:right w:val="single" w:sz="6" w:space="0" w:color="4D0A0A"/>
            </w:tcBorders>
            <w:tcMar>
              <w:top w:w="75" w:type="dxa"/>
              <w:left w:w="150" w:type="dxa"/>
              <w:bottom w:w="75" w:type="dxa"/>
              <w:right w:w="150" w:type="dxa"/>
            </w:tcMar>
          </w:tcPr>
          <w:p w14:paraId="70FB23BF" w14:textId="77777777" w:rsidR="00153CD2" w:rsidRPr="00A41B49" w:rsidRDefault="00153CD2" w:rsidP="0034764D">
            <w:pPr>
              <w:spacing w:after="0" w:line="240" w:lineRule="auto"/>
              <w:rPr>
                <w:rFonts w:ascii="Times New Roman" w:hAnsi="Times New Roman" w:cs="Times New Roman"/>
                <w:sz w:val="21"/>
                <w:szCs w:val="21"/>
                <w:lang w:val="uk-UA"/>
              </w:rPr>
            </w:pPr>
            <w:r w:rsidRPr="00A41B49">
              <w:rPr>
                <w:rFonts w:ascii="Times New Roman" w:hAnsi="Times New Roman" w:cs="Times New Roman"/>
                <w:sz w:val="21"/>
                <w:szCs w:val="21"/>
                <w:lang w:val="uk-UA"/>
              </w:rPr>
              <w:t>Договір гарантії, відшкодування та підтримки проєкту</w:t>
            </w:r>
          </w:p>
          <w:p w14:paraId="6D974727" w14:textId="77777777" w:rsidR="00153CD2" w:rsidRPr="00A41B49" w:rsidRDefault="00153CD2" w:rsidP="0034764D">
            <w:pPr>
              <w:rPr>
                <w:rFonts w:ascii="Times New Roman" w:hAnsi="Times New Roman" w:cs="Times New Roman"/>
                <w:sz w:val="21"/>
                <w:szCs w:val="21"/>
                <w:lang w:val="uk-UA"/>
              </w:rPr>
            </w:pPr>
          </w:p>
        </w:tc>
        <w:tc>
          <w:tcPr>
            <w:tcW w:w="2734" w:type="pct"/>
            <w:tcBorders>
              <w:top w:val="single" w:sz="6" w:space="0" w:color="4D0A0A"/>
              <w:left w:val="single" w:sz="6" w:space="0" w:color="4D0A0A"/>
              <w:bottom w:val="single" w:sz="12" w:space="0" w:color="4D0A0A"/>
              <w:right w:val="single" w:sz="12" w:space="0" w:color="4D0A0A"/>
            </w:tcBorders>
            <w:tcMar>
              <w:top w:w="75" w:type="dxa"/>
              <w:left w:w="150" w:type="dxa"/>
              <w:bottom w:w="75" w:type="dxa"/>
              <w:right w:w="150" w:type="dxa"/>
            </w:tcMar>
          </w:tcPr>
          <w:p w14:paraId="5F918B3E" w14:textId="77777777" w:rsidR="00153CD2" w:rsidRPr="00A41B49" w:rsidRDefault="00153CD2" w:rsidP="0034764D">
            <w:pPr>
              <w:spacing w:after="0" w:line="240" w:lineRule="auto"/>
              <w:jc w:val="both"/>
              <w:rPr>
                <w:rFonts w:ascii="Times New Roman" w:hAnsi="Times New Roman" w:cs="Times New Roman"/>
                <w:sz w:val="21"/>
                <w:szCs w:val="21"/>
                <w:lang w:val="uk-UA"/>
              </w:rPr>
            </w:pPr>
            <w:r w:rsidRPr="00A41B49">
              <w:rPr>
                <w:rFonts w:ascii="Times New Roman" w:hAnsi="Times New Roman" w:cs="Times New Roman"/>
                <w:sz w:val="21"/>
                <w:szCs w:val="21"/>
                <w:lang w:val="uk-UA"/>
              </w:rPr>
              <w:lastRenderedPageBreak/>
              <w:t>Гарантія виконання зобов'язань по кредиту на реалізацію проєкту «Підвищення енергоефективності громадських будівель у м.Кривому Розі»</w:t>
            </w:r>
          </w:p>
        </w:tc>
      </w:tr>
      <w:tr w:rsidR="00A41B49" w:rsidRPr="00A41B49" w14:paraId="40E5F858" w14:textId="77777777" w:rsidTr="00072DB0">
        <w:tc>
          <w:tcPr>
            <w:tcW w:w="173"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6F1DA48A"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16</w:t>
            </w:r>
          </w:p>
        </w:tc>
        <w:tc>
          <w:tcPr>
            <w:tcW w:w="694"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5F3E2D0E"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Фонд Ганса Зайделя в Україні</w:t>
            </w:r>
          </w:p>
        </w:tc>
        <w:tc>
          <w:tcPr>
            <w:tcW w:w="441"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6F5353B7"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21.07.2020</w:t>
            </w:r>
          </w:p>
        </w:tc>
        <w:tc>
          <w:tcPr>
            <w:tcW w:w="958"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6ABF8751"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Протокол намірів про співробітництво в рамках проєкту</w:t>
            </w:r>
            <w:r w:rsidRPr="00A41B49">
              <w:rPr>
                <w:rFonts w:ascii="Times New Roman" w:eastAsia="Times New Roman" w:hAnsi="Times New Roman" w:cs="Times New Roman"/>
                <w:sz w:val="21"/>
                <w:szCs w:val="21"/>
                <w:lang w:val="uk-UA" w:eastAsia="ru-RU"/>
              </w:rPr>
              <w:br/>
              <w:t>Фонду Ганса Зайделя в Україні</w:t>
            </w:r>
          </w:p>
          <w:p w14:paraId="50B727BC"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 </w:t>
            </w:r>
          </w:p>
        </w:tc>
        <w:tc>
          <w:tcPr>
            <w:tcW w:w="2734" w:type="pct"/>
            <w:tcBorders>
              <w:top w:val="single" w:sz="12" w:space="0" w:color="4D0A0A"/>
              <w:left w:val="single" w:sz="6" w:space="0" w:color="4D0A0A"/>
              <w:bottom w:val="single" w:sz="6" w:space="0" w:color="4D0A0A"/>
              <w:right w:val="single" w:sz="6" w:space="0" w:color="4D0A0A"/>
            </w:tcBorders>
            <w:tcMar>
              <w:top w:w="75" w:type="dxa"/>
              <w:left w:w="150" w:type="dxa"/>
              <w:bottom w:w="75" w:type="dxa"/>
              <w:right w:w="150" w:type="dxa"/>
            </w:tcMar>
            <w:hideMark/>
          </w:tcPr>
          <w:p w14:paraId="1D7C340F" w14:textId="77777777" w:rsidR="00153CD2" w:rsidRPr="00A41B49" w:rsidRDefault="00153CD2" w:rsidP="0034764D">
            <w:pPr>
              <w:spacing w:after="0" w:line="240" w:lineRule="auto"/>
              <w:jc w:val="both"/>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Сприятимуть співробітництву з метою розвитку міста Кривий Ріг та його промислових територій шляхом спільного формування та впровадження плану соціально-економічної трансформації міста на період до 2030 року, направленого на перетворення структури економіки з моноіндустріальної на диверсифіковану та суттєве прокращення якості міського середовища та життя його мешканців</w:t>
            </w:r>
          </w:p>
        </w:tc>
      </w:tr>
      <w:tr w:rsidR="00A41B49" w:rsidRPr="00A41B49" w14:paraId="791879C8" w14:textId="77777777" w:rsidTr="00072DB0">
        <w:tc>
          <w:tcPr>
            <w:tcW w:w="173"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51751A17"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17</w:t>
            </w:r>
          </w:p>
        </w:tc>
        <w:tc>
          <w:tcPr>
            <w:tcW w:w="69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1476C132"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Офіс Ради Європи в Україні</w:t>
            </w: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2ADE50AA"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27.07.2021</w:t>
            </w:r>
          </w:p>
          <w:p w14:paraId="2DC957C2" w14:textId="77777777" w:rsidR="00153CD2" w:rsidRPr="00A41B49" w:rsidRDefault="00153CD2" w:rsidP="0034764D">
            <w:pPr>
              <w:rPr>
                <w:rFonts w:ascii="Times New Roman" w:hAnsi="Times New Roman" w:cs="Times New Roman"/>
                <w:sz w:val="21"/>
                <w:szCs w:val="21"/>
                <w:lang w:val="uk-UA"/>
              </w:rPr>
            </w:pP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20388AB1"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Меморандум про взаєморозуміння щодо співпраці у напряму посилення захисту прав людини внутрішньо переміщених осіб та населення, яке постраждало вiд конфлікту</w:t>
            </w:r>
          </w:p>
        </w:tc>
        <w:tc>
          <w:tcPr>
            <w:tcW w:w="273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342D5A47" w14:textId="77777777" w:rsidR="00153CD2" w:rsidRPr="00A41B49" w:rsidRDefault="00153CD2" w:rsidP="0034764D">
            <w:pPr>
              <w:spacing w:after="0" w:line="240" w:lineRule="auto"/>
              <w:rPr>
                <w:rFonts w:ascii="Times New Roman" w:hAnsi="Times New Roman" w:cs="Times New Roman"/>
                <w:sz w:val="21"/>
                <w:szCs w:val="21"/>
                <w:lang w:val="uk-UA"/>
              </w:rPr>
            </w:pPr>
            <w:r w:rsidRPr="00A41B49">
              <w:rPr>
                <w:rFonts w:ascii="Times New Roman" w:hAnsi="Times New Roman" w:cs="Times New Roman"/>
                <w:sz w:val="21"/>
                <w:szCs w:val="21"/>
                <w:lang w:val="uk-UA"/>
              </w:rPr>
              <w:t>Забезпечення кращої інтеграції на місцевому рівні та захисту прав людини внутрішньо переміщених осіб та населення, яке постраждало від конфлікту, шляхом реалізації спільних дій та заходів, які підтримуватимуться Проєктом:</w:t>
            </w:r>
          </w:p>
          <w:p w14:paraId="4AED358D" w14:textId="77777777" w:rsidR="00153CD2" w:rsidRPr="00A41B49" w:rsidRDefault="00153CD2" w:rsidP="0034764D">
            <w:pPr>
              <w:spacing w:after="0"/>
              <w:rPr>
                <w:rFonts w:ascii="Times New Roman" w:hAnsi="Times New Roman" w:cs="Times New Roman"/>
                <w:sz w:val="21"/>
                <w:szCs w:val="21"/>
                <w:lang w:val="uk-UA"/>
              </w:rPr>
            </w:pPr>
            <w:r w:rsidRPr="00A41B49">
              <w:rPr>
                <w:rFonts w:ascii="Times New Roman" w:hAnsi="Times New Roman" w:cs="Times New Roman"/>
                <w:sz w:val="21"/>
                <w:szCs w:val="21"/>
                <w:lang w:val="uk-UA"/>
              </w:rPr>
              <w:t>- поширення міжнародних та Європейських стандартів щодо внутрішнього переміщення та сприяння їхньому практичному застосуванню на місцевому рівні;</w:t>
            </w:r>
          </w:p>
          <w:p w14:paraId="092C414F" w14:textId="77777777" w:rsidR="00153CD2" w:rsidRPr="00A41B49" w:rsidRDefault="00153CD2" w:rsidP="0034764D">
            <w:pPr>
              <w:spacing w:after="0"/>
              <w:rPr>
                <w:rFonts w:ascii="Times New Roman" w:hAnsi="Times New Roman" w:cs="Times New Roman"/>
                <w:sz w:val="21"/>
                <w:szCs w:val="21"/>
                <w:lang w:val="uk-UA"/>
              </w:rPr>
            </w:pPr>
            <w:r w:rsidRPr="00A41B49">
              <w:rPr>
                <w:rFonts w:ascii="Times New Roman" w:hAnsi="Times New Roman" w:cs="Times New Roman"/>
                <w:sz w:val="21"/>
                <w:szCs w:val="21"/>
                <w:lang w:val="uk-UA"/>
              </w:rPr>
              <w:t>- проведення оцінки потреб та очікувань міської громади оптимальних визначення шляхів співпраці, тренінги на їх основі;</w:t>
            </w:r>
          </w:p>
          <w:p w14:paraId="01D23A70" w14:textId="77777777" w:rsidR="00153CD2" w:rsidRPr="00A41B49" w:rsidRDefault="00153CD2" w:rsidP="0034764D">
            <w:pPr>
              <w:spacing w:after="0"/>
              <w:rPr>
                <w:rFonts w:ascii="Times New Roman" w:hAnsi="Times New Roman" w:cs="Times New Roman"/>
                <w:sz w:val="21"/>
                <w:szCs w:val="21"/>
                <w:lang w:val="uk-UA"/>
              </w:rPr>
            </w:pPr>
            <w:r w:rsidRPr="00A41B49">
              <w:rPr>
                <w:rFonts w:ascii="Times New Roman" w:hAnsi="Times New Roman" w:cs="Times New Roman"/>
                <w:sz w:val="21"/>
                <w:szCs w:val="21"/>
                <w:lang w:val="uk-UA"/>
              </w:rPr>
              <w:t>- технічна допомога громаді Кривого Рогу під час реалізації спільного робочого плану, у тому числі шляхом покриття витрат на діяльність та заходи.</w:t>
            </w:r>
          </w:p>
        </w:tc>
      </w:tr>
      <w:tr w:rsidR="00A41B49" w:rsidRPr="00A41B49" w14:paraId="7A03FDFB" w14:textId="77777777" w:rsidTr="00072DB0">
        <w:tc>
          <w:tcPr>
            <w:tcW w:w="173"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3B04D61C"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18</w:t>
            </w:r>
          </w:p>
        </w:tc>
        <w:tc>
          <w:tcPr>
            <w:tcW w:w="69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4396C2AB"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Об'єднана програма Організації Об'єднаних Націй по ВІЛ/СНІД (ЮНЕЙДС / UNAIDS)</w:t>
            </w: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09B6F370"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25.11.2021</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4AA5D6F2"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Паризька декларація «На шляху до прискорення дій у великих містах: покінчимо з епідемією ВІЛ-інфекції»</w:t>
            </w:r>
          </w:p>
        </w:tc>
        <w:tc>
          <w:tcPr>
            <w:tcW w:w="273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5733D1C9"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Міста мають досягнути нульового показника стигми, пов’язаної з ВІЛ та цільових показників 95-95-95 на шляху до нульового рівня нових випадків ВІЛ-інфекції та нульового показника смертей, обумовлених СНІДом</w:t>
            </w:r>
          </w:p>
        </w:tc>
      </w:tr>
      <w:tr w:rsidR="00A41B49" w:rsidRPr="00A41B49" w14:paraId="4FCF64D6" w14:textId="77777777" w:rsidTr="00072DB0">
        <w:trPr>
          <w:trHeight w:val="1509"/>
        </w:trPr>
        <w:tc>
          <w:tcPr>
            <w:tcW w:w="173"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063390F4"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t>19</w:t>
            </w:r>
          </w:p>
        </w:tc>
        <w:tc>
          <w:tcPr>
            <w:tcW w:w="69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034CA368"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Міська Клініка Гютерсло (Німеччина)</w:t>
            </w: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2E257A30"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07.02.2022</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6ECD6020"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Угода про співпрацю в галузі охорони здоров’я</w:t>
            </w:r>
          </w:p>
        </w:tc>
        <w:tc>
          <w:tcPr>
            <w:tcW w:w="273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57ED908D"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Сприяння розвитку прямих зав’язків між лікувально-профілактичними відділеннями лікарні і клініки. Сприяння у професійному розвитку, обміну досвідом</w:t>
            </w:r>
          </w:p>
        </w:tc>
      </w:tr>
      <w:tr w:rsidR="00A41B49" w:rsidRPr="00A41B49" w14:paraId="074091F3" w14:textId="77777777" w:rsidTr="00072DB0">
        <w:trPr>
          <w:trHeight w:val="3164"/>
        </w:trPr>
        <w:tc>
          <w:tcPr>
            <w:tcW w:w="173"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625C49FF" w14:textId="77777777" w:rsidR="00153CD2" w:rsidRPr="00A41B49" w:rsidRDefault="00153CD2" w:rsidP="0034764D">
            <w:pPr>
              <w:spacing w:after="0" w:line="240" w:lineRule="auto"/>
              <w:textAlignment w:val="baseline"/>
              <w:rPr>
                <w:rFonts w:ascii="Times New Roman" w:eastAsia="Times New Roman" w:hAnsi="Times New Roman" w:cs="Times New Roman"/>
                <w:sz w:val="21"/>
                <w:szCs w:val="21"/>
                <w:lang w:val="uk-UA" w:eastAsia="ru-RU"/>
              </w:rPr>
            </w:pPr>
            <w:r w:rsidRPr="00A41B49">
              <w:rPr>
                <w:rFonts w:ascii="Times New Roman" w:eastAsia="Times New Roman" w:hAnsi="Times New Roman" w:cs="Times New Roman"/>
                <w:sz w:val="21"/>
                <w:szCs w:val="21"/>
                <w:lang w:val="uk-UA" w:eastAsia="ru-RU"/>
              </w:rPr>
              <w:lastRenderedPageBreak/>
              <w:t>20</w:t>
            </w:r>
          </w:p>
        </w:tc>
        <w:tc>
          <w:tcPr>
            <w:tcW w:w="69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098F96D4"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 xml:space="preserve">Федеральний підрядник уряду США «Wright Construction Group, LLC» </w:t>
            </w:r>
          </w:p>
        </w:tc>
        <w:tc>
          <w:tcPr>
            <w:tcW w:w="441"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6499F8AA"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28.11.2022</w:t>
            </w:r>
          </w:p>
        </w:tc>
        <w:tc>
          <w:tcPr>
            <w:tcW w:w="958"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01E56DB3"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Меморандум про співпрацю з реалізації спільних проєктів щодо забезпечення проживання внутрішньо-переміщених осіб в рамках проєкту «Житло для внутрішньо-переміщених осіб»</w:t>
            </w:r>
          </w:p>
        </w:tc>
        <w:tc>
          <w:tcPr>
            <w:tcW w:w="2734" w:type="pct"/>
            <w:tcBorders>
              <w:top w:val="single" w:sz="6" w:space="0" w:color="4D0A0A"/>
              <w:left w:val="single" w:sz="6" w:space="0" w:color="4D0A0A"/>
              <w:bottom w:val="single" w:sz="6" w:space="0" w:color="4D0A0A"/>
              <w:right w:val="single" w:sz="6" w:space="0" w:color="4D0A0A"/>
            </w:tcBorders>
            <w:tcMar>
              <w:top w:w="75" w:type="dxa"/>
              <w:left w:w="150" w:type="dxa"/>
              <w:bottom w:w="75" w:type="dxa"/>
              <w:right w:w="150" w:type="dxa"/>
            </w:tcMar>
          </w:tcPr>
          <w:p w14:paraId="59AE1AA2" w14:textId="77777777" w:rsidR="00153CD2" w:rsidRPr="00A41B49" w:rsidRDefault="00153CD2" w:rsidP="0034764D">
            <w:pPr>
              <w:rPr>
                <w:rFonts w:ascii="Times New Roman" w:hAnsi="Times New Roman" w:cs="Times New Roman"/>
                <w:sz w:val="21"/>
                <w:szCs w:val="21"/>
                <w:lang w:val="uk-UA"/>
              </w:rPr>
            </w:pPr>
            <w:r w:rsidRPr="00A41B49">
              <w:rPr>
                <w:rFonts w:ascii="Times New Roman" w:hAnsi="Times New Roman" w:cs="Times New Roman"/>
                <w:sz w:val="21"/>
                <w:szCs w:val="21"/>
                <w:lang w:val="uk-UA"/>
              </w:rPr>
              <w:t>Проведення ремонтних, відновлювальних робіт, реконструкції тощо спільних об’єктів з метою їх подальшого комфортного розміщення та проживання внутрішньо-переміщених осіб</w:t>
            </w:r>
          </w:p>
        </w:tc>
      </w:tr>
    </w:tbl>
    <w:p w14:paraId="532BBA45" w14:textId="77777777" w:rsidR="00153CD2" w:rsidRPr="00A41B49" w:rsidRDefault="00153CD2" w:rsidP="00072DB0">
      <w:pPr>
        <w:tabs>
          <w:tab w:val="left" w:pos="1134"/>
        </w:tabs>
        <w:spacing w:after="0" w:line="240" w:lineRule="auto"/>
        <w:rPr>
          <w:rFonts w:ascii="Times New Roman" w:hAnsi="Times New Roman" w:cs="Times New Roman"/>
          <w:i/>
          <w:sz w:val="24"/>
          <w:szCs w:val="24"/>
          <w:lang w:val="uk-UA"/>
        </w:rPr>
      </w:pPr>
    </w:p>
    <w:sectPr w:rsidR="00153CD2" w:rsidRPr="00A41B49" w:rsidSect="00153CD2">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B845A" w14:textId="77777777" w:rsidR="00FC6F49" w:rsidRDefault="00FC6F49" w:rsidP="00C8397A">
      <w:pPr>
        <w:spacing w:after="0" w:line="240" w:lineRule="auto"/>
      </w:pPr>
      <w:r>
        <w:separator/>
      </w:r>
    </w:p>
  </w:endnote>
  <w:endnote w:type="continuationSeparator" w:id="0">
    <w:p w14:paraId="1449D6EB" w14:textId="77777777" w:rsidR="00FC6F49" w:rsidRDefault="00FC6F49" w:rsidP="00C8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3BB6C" w14:textId="77777777" w:rsidR="00FC6F49" w:rsidRDefault="00FC6F49" w:rsidP="00C8397A">
      <w:pPr>
        <w:spacing w:after="0" w:line="240" w:lineRule="auto"/>
      </w:pPr>
      <w:r>
        <w:separator/>
      </w:r>
    </w:p>
  </w:footnote>
  <w:footnote w:type="continuationSeparator" w:id="0">
    <w:p w14:paraId="6B028C8C" w14:textId="77777777" w:rsidR="00FC6F49" w:rsidRDefault="00FC6F49" w:rsidP="00C83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977555"/>
      <w:docPartObj>
        <w:docPartGallery w:val="Page Numbers (Top of Page)"/>
        <w:docPartUnique/>
      </w:docPartObj>
    </w:sdtPr>
    <w:sdtEndPr>
      <w:rPr>
        <w:rFonts w:ascii="Times New Roman" w:hAnsi="Times New Roman" w:cs="Times New Roman"/>
        <w:sz w:val="24"/>
        <w:szCs w:val="24"/>
      </w:rPr>
    </w:sdtEndPr>
    <w:sdtContent>
      <w:p w14:paraId="5951CF46" w14:textId="4B26A71E" w:rsidR="0034764D" w:rsidRPr="00C8397A" w:rsidRDefault="0034764D" w:rsidP="00C8397A">
        <w:pPr>
          <w:pStyle w:val="a8"/>
          <w:jc w:val="right"/>
          <w:rPr>
            <w:rFonts w:ascii="Times New Roman" w:hAnsi="Times New Roman" w:cs="Times New Roman"/>
            <w:sz w:val="24"/>
            <w:szCs w:val="24"/>
          </w:rPr>
        </w:pPr>
        <w:r w:rsidRPr="00C8397A">
          <w:rPr>
            <w:rFonts w:ascii="Times New Roman" w:hAnsi="Times New Roman" w:cs="Times New Roman"/>
            <w:sz w:val="24"/>
            <w:szCs w:val="24"/>
          </w:rPr>
          <w:fldChar w:fldCharType="begin"/>
        </w:r>
        <w:r w:rsidRPr="00C8397A">
          <w:rPr>
            <w:rFonts w:ascii="Times New Roman" w:hAnsi="Times New Roman" w:cs="Times New Roman"/>
            <w:sz w:val="24"/>
            <w:szCs w:val="24"/>
          </w:rPr>
          <w:instrText>PAGE   \* MERGEFORMAT</w:instrText>
        </w:r>
        <w:r w:rsidRPr="00C8397A">
          <w:rPr>
            <w:rFonts w:ascii="Times New Roman" w:hAnsi="Times New Roman" w:cs="Times New Roman"/>
            <w:sz w:val="24"/>
            <w:szCs w:val="24"/>
          </w:rPr>
          <w:fldChar w:fldCharType="separate"/>
        </w:r>
        <w:r w:rsidR="00BC1EFD">
          <w:rPr>
            <w:rFonts w:ascii="Times New Roman" w:hAnsi="Times New Roman" w:cs="Times New Roman"/>
            <w:noProof/>
            <w:sz w:val="24"/>
            <w:szCs w:val="24"/>
          </w:rPr>
          <w:t>2</w:t>
        </w:r>
        <w:r w:rsidRPr="00C8397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974"/>
    <w:multiLevelType w:val="multilevel"/>
    <w:tmpl w:val="6F8A70D6"/>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F3743E"/>
    <w:multiLevelType w:val="hybridMultilevel"/>
    <w:tmpl w:val="FD7069D6"/>
    <w:lvl w:ilvl="0" w:tplc="81226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1C685D"/>
    <w:multiLevelType w:val="hybridMultilevel"/>
    <w:tmpl w:val="F5346EC2"/>
    <w:lvl w:ilvl="0" w:tplc="565C61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D92C3C"/>
    <w:multiLevelType w:val="multilevel"/>
    <w:tmpl w:val="4AB0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12287"/>
    <w:multiLevelType w:val="multilevel"/>
    <w:tmpl w:val="B410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3243F"/>
    <w:multiLevelType w:val="multilevel"/>
    <w:tmpl w:val="8FD6B1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C2817ED"/>
    <w:multiLevelType w:val="hybridMultilevel"/>
    <w:tmpl w:val="D7F452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AFF67E2"/>
    <w:multiLevelType w:val="hybridMultilevel"/>
    <w:tmpl w:val="0EF42B76"/>
    <w:lvl w:ilvl="0" w:tplc="B50E5E74">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0"/>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50"/>
    <w:rsid w:val="00000B36"/>
    <w:rsid w:val="000034C4"/>
    <w:rsid w:val="00004924"/>
    <w:rsid w:val="000073EF"/>
    <w:rsid w:val="00010129"/>
    <w:rsid w:val="000106C0"/>
    <w:rsid w:val="000114DC"/>
    <w:rsid w:val="00013031"/>
    <w:rsid w:val="000130D1"/>
    <w:rsid w:val="00015F81"/>
    <w:rsid w:val="00020BB5"/>
    <w:rsid w:val="00024599"/>
    <w:rsid w:val="0002715A"/>
    <w:rsid w:val="00030B2E"/>
    <w:rsid w:val="000344D9"/>
    <w:rsid w:val="00035335"/>
    <w:rsid w:val="000369BA"/>
    <w:rsid w:val="00037003"/>
    <w:rsid w:val="0003769E"/>
    <w:rsid w:val="000454EB"/>
    <w:rsid w:val="00045DD6"/>
    <w:rsid w:val="00047488"/>
    <w:rsid w:val="00047E53"/>
    <w:rsid w:val="0005031A"/>
    <w:rsid w:val="0005201F"/>
    <w:rsid w:val="00052D31"/>
    <w:rsid w:val="00057BBC"/>
    <w:rsid w:val="000665B7"/>
    <w:rsid w:val="00072DB0"/>
    <w:rsid w:val="00073E2E"/>
    <w:rsid w:val="00076671"/>
    <w:rsid w:val="00084CB9"/>
    <w:rsid w:val="000855EE"/>
    <w:rsid w:val="00086503"/>
    <w:rsid w:val="00087FD0"/>
    <w:rsid w:val="00096E37"/>
    <w:rsid w:val="000A01B8"/>
    <w:rsid w:val="000A7F2B"/>
    <w:rsid w:val="000B0B52"/>
    <w:rsid w:val="000B0BE4"/>
    <w:rsid w:val="000B2B36"/>
    <w:rsid w:val="000B61E5"/>
    <w:rsid w:val="000B6582"/>
    <w:rsid w:val="000B7A8F"/>
    <w:rsid w:val="000C1F53"/>
    <w:rsid w:val="000C5670"/>
    <w:rsid w:val="000C6108"/>
    <w:rsid w:val="000D0072"/>
    <w:rsid w:val="000D14C0"/>
    <w:rsid w:val="000D1AE1"/>
    <w:rsid w:val="000D29D6"/>
    <w:rsid w:val="000D38FC"/>
    <w:rsid w:val="000D5EA2"/>
    <w:rsid w:val="000D6E32"/>
    <w:rsid w:val="000E1E50"/>
    <w:rsid w:val="000E3CCF"/>
    <w:rsid w:val="000E3DE7"/>
    <w:rsid w:val="000E40A1"/>
    <w:rsid w:val="000E5E84"/>
    <w:rsid w:val="000E699F"/>
    <w:rsid w:val="000E6B84"/>
    <w:rsid w:val="000F0C8D"/>
    <w:rsid w:val="000F4195"/>
    <w:rsid w:val="000F7F28"/>
    <w:rsid w:val="00102ECA"/>
    <w:rsid w:val="0010325F"/>
    <w:rsid w:val="00104EFD"/>
    <w:rsid w:val="00113C29"/>
    <w:rsid w:val="001146DD"/>
    <w:rsid w:val="00115A96"/>
    <w:rsid w:val="00116530"/>
    <w:rsid w:val="0011766E"/>
    <w:rsid w:val="0012064A"/>
    <w:rsid w:val="00120D1C"/>
    <w:rsid w:val="00122614"/>
    <w:rsid w:val="00122EEA"/>
    <w:rsid w:val="00123A5E"/>
    <w:rsid w:val="00123C16"/>
    <w:rsid w:val="00124E63"/>
    <w:rsid w:val="00125206"/>
    <w:rsid w:val="00137AA9"/>
    <w:rsid w:val="001437C6"/>
    <w:rsid w:val="00143B88"/>
    <w:rsid w:val="00143C3D"/>
    <w:rsid w:val="00144109"/>
    <w:rsid w:val="00146995"/>
    <w:rsid w:val="001529F5"/>
    <w:rsid w:val="001539BE"/>
    <w:rsid w:val="00153CD2"/>
    <w:rsid w:val="0015610F"/>
    <w:rsid w:val="00161629"/>
    <w:rsid w:val="00162666"/>
    <w:rsid w:val="001658D4"/>
    <w:rsid w:val="00171B12"/>
    <w:rsid w:val="00174FF3"/>
    <w:rsid w:val="00175EBD"/>
    <w:rsid w:val="00181051"/>
    <w:rsid w:val="00181591"/>
    <w:rsid w:val="001871CB"/>
    <w:rsid w:val="00190AF3"/>
    <w:rsid w:val="00190CED"/>
    <w:rsid w:val="0019130A"/>
    <w:rsid w:val="001948D9"/>
    <w:rsid w:val="001A63EE"/>
    <w:rsid w:val="001B0267"/>
    <w:rsid w:val="001B2189"/>
    <w:rsid w:val="001B26C8"/>
    <w:rsid w:val="001B48DB"/>
    <w:rsid w:val="001B5659"/>
    <w:rsid w:val="001B5BE7"/>
    <w:rsid w:val="001C0E06"/>
    <w:rsid w:val="001C668B"/>
    <w:rsid w:val="001C6E63"/>
    <w:rsid w:val="001C7CD9"/>
    <w:rsid w:val="001D18DD"/>
    <w:rsid w:val="001D5D3A"/>
    <w:rsid w:val="001D60BC"/>
    <w:rsid w:val="001D73E3"/>
    <w:rsid w:val="001D7606"/>
    <w:rsid w:val="001D7B33"/>
    <w:rsid w:val="001E4EE9"/>
    <w:rsid w:val="001E4F47"/>
    <w:rsid w:val="001E55AF"/>
    <w:rsid w:val="001E5ED6"/>
    <w:rsid w:val="001F4D0A"/>
    <w:rsid w:val="00203630"/>
    <w:rsid w:val="00204075"/>
    <w:rsid w:val="00206D69"/>
    <w:rsid w:val="00207081"/>
    <w:rsid w:val="00207DD4"/>
    <w:rsid w:val="0021337A"/>
    <w:rsid w:val="00221315"/>
    <w:rsid w:val="002213AB"/>
    <w:rsid w:val="00224F3B"/>
    <w:rsid w:val="0023247E"/>
    <w:rsid w:val="00232951"/>
    <w:rsid w:val="00236417"/>
    <w:rsid w:val="0024021C"/>
    <w:rsid w:val="0024414D"/>
    <w:rsid w:val="00246634"/>
    <w:rsid w:val="00246DF4"/>
    <w:rsid w:val="002476B8"/>
    <w:rsid w:val="002510CB"/>
    <w:rsid w:val="002524A0"/>
    <w:rsid w:val="002540AC"/>
    <w:rsid w:val="002613FB"/>
    <w:rsid w:val="00266C6C"/>
    <w:rsid w:val="00266FA8"/>
    <w:rsid w:val="00267137"/>
    <w:rsid w:val="002704B4"/>
    <w:rsid w:val="00272BA9"/>
    <w:rsid w:val="00273FFE"/>
    <w:rsid w:val="00277AC6"/>
    <w:rsid w:val="00280239"/>
    <w:rsid w:val="00283EDD"/>
    <w:rsid w:val="002845CD"/>
    <w:rsid w:val="00285EDB"/>
    <w:rsid w:val="00286619"/>
    <w:rsid w:val="00286998"/>
    <w:rsid w:val="00290771"/>
    <w:rsid w:val="0029201F"/>
    <w:rsid w:val="00293B9F"/>
    <w:rsid w:val="002976E5"/>
    <w:rsid w:val="002A0F7D"/>
    <w:rsid w:val="002A3D84"/>
    <w:rsid w:val="002A48AC"/>
    <w:rsid w:val="002A74C5"/>
    <w:rsid w:val="002B12E9"/>
    <w:rsid w:val="002B176A"/>
    <w:rsid w:val="002C0616"/>
    <w:rsid w:val="002C48BF"/>
    <w:rsid w:val="002D49DA"/>
    <w:rsid w:val="002D4F0C"/>
    <w:rsid w:val="002D7E3E"/>
    <w:rsid w:val="002E3D7C"/>
    <w:rsid w:val="002E5E50"/>
    <w:rsid w:val="002E6AA4"/>
    <w:rsid w:val="002F4097"/>
    <w:rsid w:val="00300FF7"/>
    <w:rsid w:val="0030215E"/>
    <w:rsid w:val="00304845"/>
    <w:rsid w:val="003054C3"/>
    <w:rsid w:val="003056D0"/>
    <w:rsid w:val="00306226"/>
    <w:rsid w:val="00323B71"/>
    <w:rsid w:val="00325C50"/>
    <w:rsid w:val="00333D7E"/>
    <w:rsid w:val="00333FB3"/>
    <w:rsid w:val="00335668"/>
    <w:rsid w:val="003361D3"/>
    <w:rsid w:val="003375B9"/>
    <w:rsid w:val="003448A4"/>
    <w:rsid w:val="00345F69"/>
    <w:rsid w:val="0034624B"/>
    <w:rsid w:val="0034764D"/>
    <w:rsid w:val="00347F1A"/>
    <w:rsid w:val="00351342"/>
    <w:rsid w:val="003514C8"/>
    <w:rsid w:val="00352765"/>
    <w:rsid w:val="003533B3"/>
    <w:rsid w:val="00357856"/>
    <w:rsid w:val="00357A0F"/>
    <w:rsid w:val="003633C9"/>
    <w:rsid w:val="0036344F"/>
    <w:rsid w:val="00364170"/>
    <w:rsid w:val="00364734"/>
    <w:rsid w:val="0036508C"/>
    <w:rsid w:val="003710F7"/>
    <w:rsid w:val="0037223D"/>
    <w:rsid w:val="00374521"/>
    <w:rsid w:val="00375DD6"/>
    <w:rsid w:val="00376F36"/>
    <w:rsid w:val="0037799E"/>
    <w:rsid w:val="00381DAD"/>
    <w:rsid w:val="00386F5C"/>
    <w:rsid w:val="00387B90"/>
    <w:rsid w:val="003903A4"/>
    <w:rsid w:val="00391DA8"/>
    <w:rsid w:val="0039708C"/>
    <w:rsid w:val="003975A9"/>
    <w:rsid w:val="003A3FBB"/>
    <w:rsid w:val="003A52BF"/>
    <w:rsid w:val="003A6D91"/>
    <w:rsid w:val="003A7DF0"/>
    <w:rsid w:val="003B0B3C"/>
    <w:rsid w:val="003B5858"/>
    <w:rsid w:val="003B70AB"/>
    <w:rsid w:val="003C1037"/>
    <w:rsid w:val="003C1442"/>
    <w:rsid w:val="003C21E0"/>
    <w:rsid w:val="003C2B5D"/>
    <w:rsid w:val="003D16DF"/>
    <w:rsid w:val="003D334E"/>
    <w:rsid w:val="003D4019"/>
    <w:rsid w:val="003D4CFA"/>
    <w:rsid w:val="003D5B0B"/>
    <w:rsid w:val="003E0CE9"/>
    <w:rsid w:val="003E16FB"/>
    <w:rsid w:val="003E45C5"/>
    <w:rsid w:val="003F3738"/>
    <w:rsid w:val="003F3DB1"/>
    <w:rsid w:val="0040121E"/>
    <w:rsid w:val="00402586"/>
    <w:rsid w:val="0040405B"/>
    <w:rsid w:val="00410A1E"/>
    <w:rsid w:val="0041250D"/>
    <w:rsid w:val="0041558A"/>
    <w:rsid w:val="00415A70"/>
    <w:rsid w:val="00416EAD"/>
    <w:rsid w:val="004209B6"/>
    <w:rsid w:val="00420C02"/>
    <w:rsid w:val="004215C7"/>
    <w:rsid w:val="00422460"/>
    <w:rsid w:val="0042629C"/>
    <w:rsid w:val="0042631D"/>
    <w:rsid w:val="0043325A"/>
    <w:rsid w:val="004335C9"/>
    <w:rsid w:val="00434210"/>
    <w:rsid w:val="00436F02"/>
    <w:rsid w:val="004436D4"/>
    <w:rsid w:val="00444E4D"/>
    <w:rsid w:val="0044572B"/>
    <w:rsid w:val="00445A9F"/>
    <w:rsid w:val="0044726A"/>
    <w:rsid w:val="00453198"/>
    <w:rsid w:val="00461EF9"/>
    <w:rsid w:val="00462C16"/>
    <w:rsid w:val="00463C48"/>
    <w:rsid w:val="00465EFF"/>
    <w:rsid w:val="00466ADE"/>
    <w:rsid w:val="004733D3"/>
    <w:rsid w:val="0047383D"/>
    <w:rsid w:val="00480358"/>
    <w:rsid w:val="00483AD8"/>
    <w:rsid w:val="0048430E"/>
    <w:rsid w:val="004844E9"/>
    <w:rsid w:val="004852E8"/>
    <w:rsid w:val="00485E05"/>
    <w:rsid w:val="00492942"/>
    <w:rsid w:val="00492DAD"/>
    <w:rsid w:val="004957DE"/>
    <w:rsid w:val="004A20DB"/>
    <w:rsid w:val="004A6A0D"/>
    <w:rsid w:val="004B0AEB"/>
    <w:rsid w:val="004C2075"/>
    <w:rsid w:val="004C23E7"/>
    <w:rsid w:val="004C34D9"/>
    <w:rsid w:val="004C5439"/>
    <w:rsid w:val="004D0472"/>
    <w:rsid w:val="004D4996"/>
    <w:rsid w:val="004D55CA"/>
    <w:rsid w:val="004D5C96"/>
    <w:rsid w:val="004D6217"/>
    <w:rsid w:val="004E096A"/>
    <w:rsid w:val="004E1AA4"/>
    <w:rsid w:val="004E62C8"/>
    <w:rsid w:val="004E642C"/>
    <w:rsid w:val="004E64BB"/>
    <w:rsid w:val="004F024C"/>
    <w:rsid w:val="004F210E"/>
    <w:rsid w:val="004F2198"/>
    <w:rsid w:val="004F6521"/>
    <w:rsid w:val="004F6727"/>
    <w:rsid w:val="004F75D0"/>
    <w:rsid w:val="004F7C70"/>
    <w:rsid w:val="00502D1E"/>
    <w:rsid w:val="00503FCA"/>
    <w:rsid w:val="0051002C"/>
    <w:rsid w:val="00510BBD"/>
    <w:rsid w:val="00514C4D"/>
    <w:rsid w:val="00514CC7"/>
    <w:rsid w:val="00516057"/>
    <w:rsid w:val="00517BBD"/>
    <w:rsid w:val="00523207"/>
    <w:rsid w:val="00524A91"/>
    <w:rsid w:val="0052523D"/>
    <w:rsid w:val="00526351"/>
    <w:rsid w:val="0052792E"/>
    <w:rsid w:val="00527D5F"/>
    <w:rsid w:val="0053024F"/>
    <w:rsid w:val="00534360"/>
    <w:rsid w:val="005378B6"/>
    <w:rsid w:val="0054019C"/>
    <w:rsid w:val="00543007"/>
    <w:rsid w:val="00543723"/>
    <w:rsid w:val="0054486B"/>
    <w:rsid w:val="00547C68"/>
    <w:rsid w:val="00547CF3"/>
    <w:rsid w:val="0055223A"/>
    <w:rsid w:val="005545D8"/>
    <w:rsid w:val="005557B5"/>
    <w:rsid w:val="00560B50"/>
    <w:rsid w:val="0056206F"/>
    <w:rsid w:val="00562FCF"/>
    <w:rsid w:val="0056426E"/>
    <w:rsid w:val="00566809"/>
    <w:rsid w:val="005730DB"/>
    <w:rsid w:val="00577169"/>
    <w:rsid w:val="00581FAC"/>
    <w:rsid w:val="0058329D"/>
    <w:rsid w:val="005847CF"/>
    <w:rsid w:val="00584E60"/>
    <w:rsid w:val="0059501C"/>
    <w:rsid w:val="005970D1"/>
    <w:rsid w:val="00597FCF"/>
    <w:rsid w:val="005A1D6A"/>
    <w:rsid w:val="005B2E24"/>
    <w:rsid w:val="005B53A9"/>
    <w:rsid w:val="005B5AA8"/>
    <w:rsid w:val="005B7C53"/>
    <w:rsid w:val="005C2B37"/>
    <w:rsid w:val="005C44B6"/>
    <w:rsid w:val="005C4AB3"/>
    <w:rsid w:val="005C76CA"/>
    <w:rsid w:val="005D0F95"/>
    <w:rsid w:val="005D1EA5"/>
    <w:rsid w:val="005D3096"/>
    <w:rsid w:val="005D7DA8"/>
    <w:rsid w:val="005E175A"/>
    <w:rsid w:val="005E36C3"/>
    <w:rsid w:val="005E5E80"/>
    <w:rsid w:val="005E6137"/>
    <w:rsid w:val="005E7653"/>
    <w:rsid w:val="005E7C96"/>
    <w:rsid w:val="005F02AA"/>
    <w:rsid w:val="005F1D87"/>
    <w:rsid w:val="005F2E52"/>
    <w:rsid w:val="005F65CC"/>
    <w:rsid w:val="00601D3B"/>
    <w:rsid w:val="006047E1"/>
    <w:rsid w:val="006241F4"/>
    <w:rsid w:val="00626F57"/>
    <w:rsid w:val="00630C5E"/>
    <w:rsid w:val="00630DEE"/>
    <w:rsid w:val="00632B45"/>
    <w:rsid w:val="006334C1"/>
    <w:rsid w:val="00637CD5"/>
    <w:rsid w:val="006400E7"/>
    <w:rsid w:val="00641062"/>
    <w:rsid w:val="006419E8"/>
    <w:rsid w:val="00642896"/>
    <w:rsid w:val="006467C1"/>
    <w:rsid w:val="006501A3"/>
    <w:rsid w:val="00651E77"/>
    <w:rsid w:val="0065655E"/>
    <w:rsid w:val="00657168"/>
    <w:rsid w:val="0065797B"/>
    <w:rsid w:val="00662E1D"/>
    <w:rsid w:val="006700A6"/>
    <w:rsid w:val="006717B0"/>
    <w:rsid w:val="00673A3F"/>
    <w:rsid w:val="006742F6"/>
    <w:rsid w:val="00675EBA"/>
    <w:rsid w:val="00676A20"/>
    <w:rsid w:val="0068047C"/>
    <w:rsid w:val="00683259"/>
    <w:rsid w:val="006845AC"/>
    <w:rsid w:val="00686F30"/>
    <w:rsid w:val="006910FF"/>
    <w:rsid w:val="00694E5F"/>
    <w:rsid w:val="006976FD"/>
    <w:rsid w:val="00697793"/>
    <w:rsid w:val="006A047C"/>
    <w:rsid w:val="006A09DE"/>
    <w:rsid w:val="006A3184"/>
    <w:rsid w:val="006A4264"/>
    <w:rsid w:val="006A43B4"/>
    <w:rsid w:val="006A4C64"/>
    <w:rsid w:val="006A6E83"/>
    <w:rsid w:val="006B0C9A"/>
    <w:rsid w:val="006B3A6F"/>
    <w:rsid w:val="006C1824"/>
    <w:rsid w:val="006C24C7"/>
    <w:rsid w:val="006C3B32"/>
    <w:rsid w:val="006C41CF"/>
    <w:rsid w:val="006C47AE"/>
    <w:rsid w:val="006C4C02"/>
    <w:rsid w:val="006D2386"/>
    <w:rsid w:val="006E2196"/>
    <w:rsid w:val="006E30EE"/>
    <w:rsid w:val="006E3ABE"/>
    <w:rsid w:val="006E58A2"/>
    <w:rsid w:val="006E7CF8"/>
    <w:rsid w:val="006F0B01"/>
    <w:rsid w:val="006F0C4A"/>
    <w:rsid w:val="006F4325"/>
    <w:rsid w:val="006F4CA0"/>
    <w:rsid w:val="00702CDB"/>
    <w:rsid w:val="0070337D"/>
    <w:rsid w:val="00707D7D"/>
    <w:rsid w:val="00716B7F"/>
    <w:rsid w:val="007213CF"/>
    <w:rsid w:val="00724711"/>
    <w:rsid w:val="00726AF5"/>
    <w:rsid w:val="007362A7"/>
    <w:rsid w:val="00737014"/>
    <w:rsid w:val="0074075A"/>
    <w:rsid w:val="007418A1"/>
    <w:rsid w:val="007423A9"/>
    <w:rsid w:val="007430EA"/>
    <w:rsid w:val="00743A4E"/>
    <w:rsid w:val="00743F18"/>
    <w:rsid w:val="0074424B"/>
    <w:rsid w:val="00744663"/>
    <w:rsid w:val="0074584E"/>
    <w:rsid w:val="00746FDC"/>
    <w:rsid w:val="00747F81"/>
    <w:rsid w:val="00753626"/>
    <w:rsid w:val="0075471C"/>
    <w:rsid w:val="00756503"/>
    <w:rsid w:val="007618DC"/>
    <w:rsid w:val="0076348A"/>
    <w:rsid w:val="00764072"/>
    <w:rsid w:val="0077399C"/>
    <w:rsid w:val="007843DC"/>
    <w:rsid w:val="00784F8A"/>
    <w:rsid w:val="00785F72"/>
    <w:rsid w:val="007900E6"/>
    <w:rsid w:val="007922AB"/>
    <w:rsid w:val="00794A28"/>
    <w:rsid w:val="00796EA7"/>
    <w:rsid w:val="007B061A"/>
    <w:rsid w:val="007B23F8"/>
    <w:rsid w:val="007C232F"/>
    <w:rsid w:val="007C4DA2"/>
    <w:rsid w:val="007C56F3"/>
    <w:rsid w:val="007D3015"/>
    <w:rsid w:val="007D560B"/>
    <w:rsid w:val="007D613C"/>
    <w:rsid w:val="007D647D"/>
    <w:rsid w:val="007D7575"/>
    <w:rsid w:val="007E1DE6"/>
    <w:rsid w:val="007E3B95"/>
    <w:rsid w:val="007E56EE"/>
    <w:rsid w:val="007F2CB0"/>
    <w:rsid w:val="007F3242"/>
    <w:rsid w:val="007F4807"/>
    <w:rsid w:val="007F6AE8"/>
    <w:rsid w:val="007F775A"/>
    <w:rsid w:val="00802346"/>
    <w:rsid w:val="00810E6C"/>
    <w:rsid w:val="00813ADB"/>
    <w:rsid w:val="00817EE4"/>
    <w:rsid w:val="0082086F"/>
    <w:rsid w:val="00821E9E"/>
    <w:rsid w:val="00823EDA"/>
    <w:rsid w:val="00833DAE"/>
    <w:rsid w:val="00836906"/>
    <w:rsid w:val="00843863"/>
    <w:rsid w:val="008453FA"/>
    <w:rsid w:val="0084609E"/>
    <w:rsid w:val="00852AEC"/>
    <w:rsid w:val="00852F12"/>
    <w:rsid w:val="00855330"/>
    <w:rsid w:val="00856AA3"/>
    <w:rsid w:val="00857AE1"/>
    <w:rsid w:val="0086179C"/>
    <w:rsid w:val="00861DCE"/>
    <w:rsid w:val="00865447"/>
    <w:rsid w:val="00867DBE"/>
    <w:rsid w:val="00874627"/>
    <w:rsid w:val="00874F4C"/>
    <w:rsid w:val="00875704"/>
    <w:rsid w:val="00875768"/>
    <w:rsid w:val="00881412"/>
    <w:rsid w:val="00883459"/>
    <w:rsid w:val="00883944"/>
    <w:rsid w:val="00887BD3"/>
    <w:rsid w:val="008917BF"/>
    <w:rsid w:val="008928F3"/>
    <w:rsid w:val="00894938"/>
    <w:rsid w:val="00894FEF"/>
    <w:rsid w:val="00895073"/>
    <w:rsid w:val="008A5E89"/>
    <w:rsid w:val="008A6384"/>
    <w:rsid w:val="008B27C5"/>
    <w:rsid w:val="008B308A"/>
    <w:rsid w:val="008B519F"/>
    <w:rsid w:val="008B629A"/>
    <w:rsid w:val="008C04FB"/>
    <w:rsid w:val="008C53A0"/>
    <w:rsid w:val="008C7DDF"/>
    <w:rsid w:val="008C7F4E"/>
    <w:rsid w:val="008D11CE"/>
    <w:rsid w:val="008D229B"/>
    <w:rsid w:val="008D2F9D"/>
    <w:rsid w:val="008D31F8"/>
    <w:rsid w:val="008D47BE"/>
    <w:rsid w:val="008D5945"/>
    <w:rsid w:val="008D7F6D"/>
    <w:rsid w:val="008E0B4B"/>
    <w:rsid w:val="008E1FFD"/>
    <w:rsid w:val="008E4336"/>
    <w:rsid w:val="008F000D"/>
    <w:rsid w:val="008F5B77"/>
    <w:rsid w:val="008F6E62"/>
    <w:rsid w:val="00905716"/>
    <w:rsid w:val="00905F8F"/>
    <w:rsid w:val="0090663E"/>
    <w:rsid w:val="00912BF6"/>
    <w:rsid w:val="00914F24"/>
    <w:rsid w:val="00915386"/>
    <w:rsid w:val="009173D6"/>
    <w:rsid w:val="009176B9"/>
    <w:rsid w:val="009203CC"/>
    <w:rsid w:val="009233C2"/>
    <w:rsid w:val="00924345"/>
    <w:rsid w:val="00924D96"/>
    <w:rsid w:val="00927804"/>
    <w:rsid w:val="009311D6"/>
    <w:rsid w:val="00934A2E"/>
    <w:rsid w:val="009350C4"/>
    <w:rsid w:val="00937D6B"/>
    <w:rsid w:val="0094123B"/>
    <w:rsid w:val="009425F4"/>
    <w:rsid w:val="00942E35"/>
    <w:rsid w:val="00943EA8"/>
    <w:rsid w:val="00945D3E"/>
    <w:rsid w:val="00947BFF"/>
    <w:rsid w:val="00951904"/>
    <w:rsid w:val="00952266"/>
    <w:rsid w:val="009530B6"/>
    <w:rsid w:val="009535B4"/>
    <w:rsid w:val="00954295"/>
    <w:rsid w:val="0095542A"/>
    <w:rsid w:val="009601B8"/>
    <w:rsid w:val="009603F7"/>
    <w:rsid w:val="009612E6"/>
    <w:rsid w:val="00961DCF"/>
    <w:rsid w:val="00970650"/>
    <w:rsid w:val="009748BA"/>
    <w:rsid w:val="0098177D"/>
    <w:rsid w:val="0098247C"/>
    <w:rsid w:val="00982FB4"/>
    <w:rsid w:val="009848B1"/>
    <w:rsid w:val="009956B8"/>
    <w:rsid w:val="009A2172"/>
    <w:rsid w:val="009A36AB"/>
    <w:rsid w:val="009A405A"/>
    <w:rsid w:val="009A44E7"/>
    <w:rsid w:val="009A6E3E"/>
    <w:rsid w:val="009A7E74"/>
    <w:rsid w:val="009B3A2C"/>
    <w:rsid w:val="009B42BB"/>
    <w:rsid w:val="009C19F5"/>
    <w:rsid w:val="009C31D4"/>
    <w:rsid w:val="009C4D9D"/>
    <w:rsid w:val="009D1D7C"/>
    <w:rsid w:val="009D247E"/>
    <w:rsid w:val="009D2F7B"/>
    <w:rsid w:val="009D36C3"/>
    <w:rsid w:val="009D7327"/>
    <w:rsid w:val="009E2B57"/>
    <w:rsid w:val="009E4104"/>
    <w:rsid w:val="009F20D7"/>
    <w:rsid w:val="00A00429"/>
    <w:rsid w:val="00A00855"/>
    <w:rsid w:val="00A02749"/>
    <w:rsid w:val="00A0338E"/>
    <w:rsid w:val="00A048F4"/>
    <w:rsid w:val="00A06297"/>
    <w:rsid w:val="00A10A37"/>
    <w:rsid w:val="00A10EE2"/>
    <w:rsid w:val="00A16B4B"/>
    <w:rsid w:val="00A2013F"/>
    <w:rsid w:val="00A20583"/>
    <w:rsid w:val="00A20EC9"/>
    <w:rsid w:val="00A210F8"/>
    <w:rsid w:val="00A24020"/>
    <w:rsid w:val="00A307C3"/>
    <w:rsid w:val="00A3426B"/>
    <w:rsid w:val="00A41B49"/>
    <w:rsid w:val="00A42A62"/>
    <w:rsid w:val="00A43BEE"/>
    <w:rsid w:val="00A443CC"/>
    <w:rsid w:val="00A455E7"/>
    <w:rsid w:val="00A46B22"/>
    <w:rsid w:val="00A478E5"/>
    <w:rsid w:val="00A554E9"/>
    <w:rsid w:val="00A616BF"/>
    <w:rsid w:val="00A617FD"/>
    <w:rsid w:val="00A61FBD"/>
    <w:rsid w:val="00A71A93"/>
    <w:rsid w:val="00A8782A"/>
    <w:rsid w:val="00A90C5C"/>
    <w:rsid w:val="00A92148"/>
    <w:rsid w:val="00A95126"/>
    <w:rsid w:val="00A957F9"/>
    <w:rsid w:val="00A95D02"/>
    <w:rsid w:val="00A9603E"/>
    <w:rsid w:val="00AA3E9F"/>
    <w:rsid w:val="00AA4952"/>
    <w:rsid w:val="00AB1B06"/>
    <w:rsid w:val="00AB2378"/>
    <w:rsid w:val="00AB3308"/>
    <w:rsid w:val="00AB449B"/>
    <w:rsid w:val="00AB5454"/>
    <w:rsid w:val="00AC63C3"/>
    <w:rsid w:val="00AC69E2"/>
    <w:rsid w:val="00AD0345"/>
    <w:rsid w:val="00AD0CF8"/>
    <w:rsid w:val="00AD0E60"/>
    <w:rsid w:val="00AD2714"/>
    <w:rsid w:val="00AD2BA5"/>
    <w:rsid w:val="00AD421C"/>
    <w:rsid w:val="00AE10B3"/>
    <w:rsid w:val="00AE1666"/>
    <w:rsid w:val="00AE4314"/>
    <w:rsid w:val="00AE574D"/>
    <w:rsid w:val="00AE685B"/>
    <w:rsid w:val="00AE767D"/>
    <w:rsid w:val="00AF44B5"/>
    <w:rsid w:val="00AF4F39"/>
    <w:rsid w:val="00AF720D"/>
    <w:rsid w:val="00AF7592"/>
    <w:rsid w:val="00AF7E02"/>
    <w:rsid w:val="00B02951"/>
    <w:rsid w:val="00B03368"/>
    <w:rsid w:val="00B060E0"/>
    <w:rsid w:val="00B11C65"/>
    <w:rsid w:val="00B1683E"/>
    <w:rsid w:val="00B16E05"/>
    <w:rsid w:val="00B17D7C"/>
    <w:rsid w:val="00B20D16"/>
    <w:rsid w:val="00B27CA0"/>
    <w:rsid w:val="00B27F48"/>
    <w:rsid w:val="00B32E35"/>
    <w:rsid w:val="00B338D4"/>
    <w:rsid w:val="00B35441"/>
    <w:rsid w:val="00B36542"/>
    <w:rsid w:val="00B40520"/>
    <w:rsid w:val="00B449AE"/>
    <w:rsid w:val="00B473BA"/>
    <w:rsid w:val="00B50663"/>
    <w:rsid w:val="00B50E52"/>
    <w:rsid w:val="00B51DC5"/>
    <w:rsid w:val="00B5277E"/>
    <w:rsid w:val="00B55DA4"/>
    <w:rsid w:val="00B55DD4"/>
    <w:rsid w:val="00B57694"/>
    <w:rsid w:val="00B6339E"/>
    <w:rsid w:val="00B670A9"/>
    <w:rsid w:val="00B723E6"/>
    <w:rsid w:val="00B73D94"/>
    <w:rsid w:val="00B763CA"/>
    <w:rsid w:val="00B80FE0"/>
    <w:rsid w:val="00B8267B"/>
    <w:rsid w:val="00B864C2"/>
    <w:rsid w:val="00B903C7"/>
    <w:rsid w:val="00B914A7"/>
    <w:rsid w:val="00B92581"/>
    <w:rsid w:val="00B933CF"/>
    <w:rsid w:val="00B93BCC"/>
    <w:rsid w:val="00B93CFF"/>
    <w:rsid w:val="00BA34C3"/>
    <w:rsid w:val="00BA3D27"/>
    <w:rsid w:val="00BA5C69"/>
    <w:rsid w:val="00BB0325"/>
    <w:rsid w:val="00BB0882"/>
    <w:rsid w:val="00BB0917"/>
    <w:rsid w:val="00BB19F2"/>
    <w:rsid w:val="00BB1C71"/>
    <w:rsid w:val="00BB258E"/>
    <w:rsid w:val="00BB2722"/>
    <w:rsid w:val="00BB6AE8"/>
    <w:rsid w:val="00BC0E3F"/>
    <w:rsid w:val="00BC0E75"/>
    <w:rsid w:val="00BC13B6"/>
    <w:rsid w:val="00BC1EFD"/>
    <w:rsid w:val="00BC5892"/>
    <w:rsid w:val="00BC76F6"/>
    <w:rsid w:val="00BC7710"/>
    <w:rsid w:val="00BC7F59"/>
    <w:rsid w:val="00BD25A8"/>
    <w:rsid w:val="00BD42D2"/>
    <w:rsid w:val="00BD7561"/>
    <w:rsid w:val="00BE06D6"/>
    <w:rsid w:val="00BE24CA"/>
    <w:rsid w:val="00BE2EA1"/>
    <w:rsid w:val="00BE3F16"/>
    <w:rsid w:val="00BE5338"/>
    <w:rsid w:val="00BE74C8"/>
    <w:rsid w:val="00BE765C"/>
    <w:rsid w:val="00BF06AB"/>
    <w:rsid w:val="00BF3018"/>
    <w:rsid w:val="00C0330D"/>
    <w:rsid w:val="00C03E8F"/>
    <w:rsid w:val="00C06DC8"/>
    <w:rsid w:val="00C130B2"/>
    <w:rsid w:val="00C20699"/>
    <w:rsid w:val="00C20B85"/>
    <w:rsid w:val="00C22056"/>
    <w:rsid w:val="00C22218"/>
    <w:rsid w:val="00C22634"/>
    <w:rsid w:val="00C2540C"/>
    <w:rsid w:val="00C2654A"/>
    <w:rsid w:val="00C269AA"/>
    <w:rsid w:val="00C30596"/>
    <w:rsid w:val="00C3131C"/>
    <w:rsid w:val="00C3170A"/>
    <w:rsid w:val="00C36319"/>
    <w:rsid w:val="00C364AD"/>
    <w:rsid w:val="00C41953"/>
    <w:rsid w:val="00C42103"/>
    <w:rsid w:val="00C43569"/>
    <w:rsid w:val="00C441F7"/>
    <w:rsid w:val="00C45C5E"/>
    <w:rsid w:val="00C45E1F"/>
    <w:rsid w:val="00C465DA"/>
    <w:rsid w:val="00C47833"/>
    <w:rsid w:val="00C51BD7"/>
    <w:rsid w:val="00C51C68"/>
    <w:rsid w:val="00C533EE"/>
    <w:rsid w:val="00C54B6F"/>
    <w:rsid w:val="00C57BFB"/>
    <w:rsid w:val="00C65461"/>
    <w:rsid w:val="00C7267A"/>
    <w:rsid w:val="00C74375"/>
    <w:rsid w:val="00C74E5E"/>
    <w:rsid w:val="00C76B9A"/>
    <w:rsid w:val="00C77DA3"/>
    <w:rsid w:val="00C80B84"/>
    <w:rsid w:val="00C837F6"/>
    <w:rsid w:val="00C8397A"/>
    <w:rsid w:val="00C87D07"/>
    <w:rsid w:val="00C90756"/>
    <w:rsid w:val="00C91F8D"/>
    <w:rsid w:val="00C95BFE"/>
    <w:rsid w:val="00C96645"/>
    <w:rsid w:val="00CA1B0D"/>
    <w:rsid w:val="00CA2D3F"/>
    <w:rsid w:val="00CA5B44"/>
    <w:rsid w:val="00CB036E"/>
    <w:rsid w:val="00CB655C"/>
    <w:rsid w:val="00CC0762"/>
    <w:rsid w:val="00CC1709"/>
    <w:rsid w:val="00CC2B9C"/>
    <w:rsid w:val="00CC43A3"/>
    <w:rsid w:val="00CC606E"/>
    <w:rsid w:val="00CC79D0"/>
    <w:rsid w:val="00CD0F48"/>
    <w:rsid w:val="00CD2F39"/>
    <w:rsid w:val="00CD3BFD"/>
    <w:rsid w:val="00CD4669"/>
    <w:rsid w:val="00CE06C3"/>
    <w:rsid w:val="00CE34F5"/>
    <w:rsid w:val="00CE58B8"/>
    <w:rsid w:val="00CE6DC1"/>
    <w:rsid w:val="00CF305F"/>
    <w:rsid w:val="00CF7067"/>
    <w:rsid w:val="00CF77CC"/>
    <w:rsid w:val="00CF7ECB"/>
    <w:rsid w:val="00D0177C"/>
    <w:rsid w:val="00D02366"/>
    <w:rsid w:val="00D050EB"/>
    <w:rsid w:val="00D12870"/>
    <w:rsid w:val="00D12DDF"/>
    <w:rsid w:val="00D1327A"/>
    <w:rsid w:val="00D14B47"/>
    <w:rsid w:val="00D2268B"/>
    <w:rsid w:val="00D22785"/>
    <w:rsid w:val="00D34B3F"/>
    <w:rsid w:val="00D353A6"/>
    <w:rsid w:val="00D401F5"/>
    <w:rsid w:val="00D420DC"/>
    <w:rsid w:val="00D42DD4"/>
    <w:rsid w:val="00D46837"/>
    <w:rsid w:val="00D51FE9"/>
    <w:rsid w:val="00D56257"/>
    <w:rsid w:val="00D57850"/>
    <w:rsid w:val="00D57F59"/>
    <w:rsid w:val="00D61BED"/>
    <w:rsid w:val="00D64110"/>
    <w:rsid w:val="00D67BC4"/>
    <w:rsid w:val="00D7018D"/>
    <w:rsid w:val="00D70C1A"/>
    <w:rsid w:val="00D70CCB"/>
    <w:rsid w:val="00D71054"/>
    <w:rsid w:val="00D7171C"/>
    <w:rsid w:val="00D71C63"/>
    <w:rsid w:val="00D720C1"/>
    <w:rsid w:val="00D73C95"/>
    <w:rsid w:val="00D742EC"/>
    <w:rsid w:val="00D75056"/>
    <w:rsid w:val="00D8059C"/>
    <w:rsid w:val="00D80C34"/>
    <w:rsid w:val="00D82828"/>
    <w:rsid w:val="00D8559D"/>
    <w:rsid w:val="00D8622D"/>
    <w:rsid w:val="00D9378B"/>
    <w:rsid w:val="00D93C79"/>
    <w:rsid w:val="00DA16E3"/>
    <w:rsid w:val="00DA3487"/>
    <w:rsid w:val="00DA3BEB"/>
    <w:rsid w:val="00DB320E"/>
    <w:rsid w:val="00DB573C"/>
    <w:rsid w:val="00DB6344"/>
    <w:rsid w:val="00DB6A2C"/>
    <w:rsid w:val="00DC3DBA"/>
    <w:rsid w:val="00DC46FC"/>
    <w:rsid w:val="00DC55E9"/>
    <w:rsid w:val="00DC5669"/>
    <w:rsid w:val="00DC56D8"/>
    <w:rsid w:val="00DD1919"/>
    <w:rsid w:val="00DD33E0"/>
    <w:rsid w:val="00DD4B91"/>
    <w:rsid w:val="00DD6366"/>
    <w:rsid w:val="00DE05F8"/>
    <w:rsid w:val="00DE19DF"/>
    <w:rsid w:val="00DE2438"/>
    <w:rsid w:val="00DE2764"/>
    <w:rsid w:val="00DE29E8"/>
    <w:rsid w:val="00DE4DAD"/>
    <w:rsid w:val="00DF7D68"/>
    <w:rsid w:val="00E03A2D"/>
    <w:rsid w:val="00E06EBC"/>
    <w:rsid w:val="00E16E83"/>
    <w:rsid w:val="00E204EB"/>
    <w:rsid w:val="00E206C1"/>
    <w:rsid w:val="00E21062"/>
    <w:rsid w:val="00E233DB"/>
    <w:rsid w:val="00E244B7"/>
    <w:rsid w:val="00E318B3"/>
    <w:rsid w:val="00E33527"/>
    <w:rsid w:val="00E343F2"/>
    <w:rsid w:val="00E4040C"/>
    <w:rsid w:val="00E407BA"/>
    <w:rsid w:val="00E40B59"/>
    <w:rsid w:val="00E40C8A"/>
    <w:rsid w:val="00E40EBD"/>
    <w:rsid w:val="00E47990"/>
    <w:rsid w:val="00E50BBA"/>
    <w:rsid w:val="00E540F6"/>
    <w:rsid w:val="00E60B9F"/>
    <w:rsid w:val="00E61A59"/>
    <w:rsid w:val="00E62DCA"/>
    <w:rsid w:val="00E6379F"/>
    <w:rsid w:val="00E63DB0"/>
    <w:rsid w:val="00E64260"/>
    <w:rsid w:val="00E66094"/>
    <w:rsid w:val="00E66926"/>
    <w:rsid w:val="00E72007"/>
    <w:rsid w:val="00E72799"/>
    <w:rsid w:val="00E764C3"/>
    <w:rsid w:val="00E77F5B"/>
    <w:rsid w:val="00E918D0"/>
    <w:rsid w:val="00E91C55"/>
    <w:rsid w:val="00E925BF"/>
    <w:rsid w:val="00E92E4B"/>
    <w:rsid w:val="00E97E7D"/>
    <w:rsid w:val="00EA1B4C"/>
    <w:rsid w:val="00EA4680"/>
    <w:rsid w:val="00EB04E4"/>
    <w:rsid w:val="00EB60D1"/>
    <w:rsid w:val="00EB638B"/>
    <w:rsid w:val="00EC0381"/>
    <w:rsid w:val="00EC08AD"/>
    <w:rsid w:val="00EC1AE5"/>
    <w:rsid w:val="00EC1B7E"/>
    <w:rsid w:val="00EC327C"/>
    <w:rsid w:val="00EC444A"/>
    <w:rsid w:val="00EC449A"/>
    <w:rsid w:val="00EC6E7A"/>
    <w:rsid w:val="00EC7E1E"/>
    <w:rsid w:val="00ED3DA3"/>
    <w:rsid w:val="00ED41FC"/>
    <w:rsid w:val="00ED53D1"/>
    <w:rsid w:val="00ED7871"/>
    <w:rsid w:val="00EE060E"/>
    <w:rsid w:val="00EE36AF"/>
    <w:rsid w:val="00EE38B8"/>
    <w:rsid w:val="00EE7C30"/>
    <w:rsid w:val="00EF6914"/>
    <w:rsid w:val="00F01E8E"/>
    <w:rsid w:val="00F02649"/>
    <w:rsid w:val="00F1190E"/>
    <w:rsid w:val="00F11999"/>
    <w:rsid w:val="00F12FD6"/>
    <w:rsid w:val="00F13369"/>
    <w:rsid w:val="00F151CE"/>
    <w:rsid w:val="00F154D1"/>
    <w:rsid w:val="00F15615"/>
    <w:rsid w:val="00F20A8E"/>
    <w:rsid w:val="00F23225"/>
    <w:rsid w:val="00F23393"/>
    <w:rsid w:val="00F312D2"/>
    <w:rsid w:val="00F333B2"/>
    <w:rsid w:val="00F35E3E"/>
    <w:rsid w:val="00F43486"/>
    <w:rsid w:val="00F44FBF"/>
    <w:rsid w:val="00F45778"/>
    <w:rsid w:val="00F53AC1"/>
    <w:rsid w:val="00F53B3C"/>
    <w:rsid w:val="00F551AD"/>
    <w:rsid w:val="00F56E14"/>
    <w:rsid w:val="00F6153E"/>
    <w:rsid w:val="00F628CC"/>
    <w:rsid w:val="00F64AEF"/>
    <w:rsid w:val="00F66DD8"/>
    <w:rsid w:val="00F679F2"/>
    <w:rsid w:val="00F73964"/>
    <w:rsid w:val="00F76050"/>
    <w:rsid w:val="00F762E2"/>
    <w:rsid w:val="00F764D5"/>
    <w:rsid w:val="00F8186E"/>
    <w:rsid w:val="00F87D85"/>
    <w:rsid w:val="00F95766"/>
    <w:rsid w:val="00F95CAB"/>
    <w:rsid w:val="00F96106"/>
    <w:rsid w:val="00F96915"/>
    <w:rsid w:val="00F97831"/>
    <w:rsid w:val="00FA23E9"/>
    <w:rsid w:val="00FA3B96"/>
    <w:rsid w:val="00FA48A4"/>
    <w:rsid w:val="00FA4960"/>
    <w:rsid w:val="00FA6C96"/>
    <w:rsid w:val="00FA7050"/>
    <w:rsid w:val="00FA7759"/>
    <w:rsid w:val="00FB065E"/>
    <w:rsid w:val="00FB1610"/>
    <w:rsid w:val="00FB59B0"/>
    <w:rsid w:val="00FC08F8"/>
    <w:rsid w:val="00FC5F22"/>
    <w:rsid w:val="00FC6F49"/>
    <w:rsid w:val="00FD0F0D"/>
    <w:rsid w:val="00FD595E"/>
    <w:rsid w:val="00FE4882"/>
    <w:rsid w:val="00FF12E7"/>
    <w:rsid w:val="00FF14EC"/>
    <w:rsid w:val="00FF19CF"/>
    <w:rsid w:val="00FF23EF"/>
    <w:rsid w:val="00FF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6DB1"/>
  <w15:docId w15:val="{B339B085-AB2D-410C-A467-6E53A14F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6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6D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6D91"/>
    <w:rPr>
      <w:rFonts w:ascii="Tahoma" w:hAnsi="Tahoma" w:cs="Tahoma"/>
      <w:sz w:val="16"/>
      <w:szCs w:val="16"/>
    </w:rPr>
  </w:style>
  <w:style w:type="paragraph" w:styleId="a6">
    <w:name w:val="List Paragraph"/>
    <w:basedOn w:val="a"/>
    <w:uiPriority w:val="34"/>
    <w:qFormat/>
    <w:rsid w:val="009425F4"/>
    <w:pPr>
      <w:ind w:left="720"/>
      <w:contextualSpacing/>
    </w:pPr>
  </w:style>
  <w:style w:type="character" w:styleId="a7">
    <w:name w:val="Hyperlink"/>
    <w:basedOn w:val="a0"/>
    <w:uiPriority w:val="99"/>
    <w:unhideWhenUsed/>
    <w:rsid w:val="00AF7E02"/>
    <w:rPr>
      <w:color w:val="0000FF" w:themeColor="hyperlink"/>
      <w:u w:val="single"/>
    </w:rPr>
  </w:style>
  <w:style w:type="character" w:customStyle="1" w:styleId="text">
    <w:name w:val="text"/>
    <w:basedOn w:val="a0"/>
    <w:rsid w:val="00AF7E02"/>
  </w:style>
  <w:style w:type="paragraph" w:styleId="a8">
    <w:name w:val="header"/>
    <w:basedOn w:val="a"/>
    <w:link w:val="a9"/>
    <w:uiPriority w:val="99"/>
    <w:unhideWhenUsed/>
    <w:rsid w:val="00C8397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8397A"/>
  </w:style>
  <w:style w:type="paragraph" w:styleId="aa">
    <w:name w:val="footer"/>
    <w:basedOn w:val="a"/>
    <w:link w:val="ab"/>
    <w:uiPriority w:val="99"/>
    <w:unhideWhenUsed/>
    <w:rsid w:val="00C8397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8397A"/>
  </w:style>
  <w:style w:type="paragraph" w:styleId="ac">
    <w:name w:val="No Spacing"/>
    <w:link w:val="ad"/>
    <w:uiPriority w:val="99"/>
    <w:qFormat/>
    <w:rsid w:val="00DA3BEB"/>
    <w:pPr>
      <w:spacing w:after="0" w:line="240" w:lineRule="auto"/>
    </w:pPr>
    <w:rPr>
      <w:rFonts w:ascii="Calibri" w:eastAsia="Calibri" w:hAnsi="Calibri" w:cs="Calibri"/>
      <w:lang w:val="uk-UA"/>
    </w:rPr>
  </w:style>
  <w:style w:type="character" w:customStyle="1" w:styleId="ad">
    <w:name w:val="Без интервала Знак"/>
    <w:link w:val="ac"/>
    <w:uiPriority w:val="99"/>
    <w:rsid w:val="00DA3BEB"/>
    <w:rPr>
      <w:rFonts w:ascii="Calibri" w:eastAsia="Calibri" w:hAnsi="Calibri" w:cs="Calibr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323">
      <w:bodyDiv w:val="1"/>
      <w:marLeft w:val="0"/>
      <w:marRight w:val="0"/>
      <w:marTop w:val="0"/>
      <w:marBottom w:val="0"/>
      <w:divBdr>
        <w:top w:val="none" w:sz="0" w:space="0" w:color="auto"/>
        <w:left w:val="none" w:sz="0" w:space="0" w:color="auto"/>
        <w:bottom w:val="none" w:sz="0" w:space="0" w:color="auto"/>
        <w:right w:val="none" w:sz="0" w:space="0" w:color="auto"/>
      </w:divBdr>
    </w:div>
    <w:div w:id="283001194">
      <w:bodyDiv w:val="1"/>
      <w:marLeft w:val="0"/>
      <w:marRight w:val="0"/>
      <w:marTop w:val="0"/>
      <w:marBottom w:val="0"/>
      <w:divBdr>
        <w:top w:val="none" w:sz="0" w:space="0" w:color="auto"/>
        <w:left w:val="none" w:sz="0" w:space="0" w:color="auto"/>
        <w:bottom w:val="none" w:sz="0" w:space="0" w:color="auto"/>
        <w:right w:val="none" w:sz="0" w:space="0" w:color="auto"/>
      </w:divBdr>
    </w:div>
    <w:div w:id="404911253">
      <w:bodyDiv w:val="1"/>
      <w:marLeft w:val="0"/>
      <w:marRight w:val="0"/>
      <w:marTop w:val="0"/>
      <w:marBottom w:val="0"/>
      <w:divBdr>
        <w:top w:val="none" w:sz="0" w:space="0" w:color="auto"/>
        <w:left w:val="none" w:sz="0" w:space="0" w:color="auto"/>
        <w:bottom w:val="none" w:sz="0" w:space="0" w:color="auto"/>
        <w:right w:val="none" w:sz="0" w:space="0" w:color="auto"/>
      </w:divBdr>
    </w:div>
    <w:div w:id="405298069">
      <w:bodyDiv w:val="1"/>
      <w:marLeft w:val="0"/>
      <w:marRight w:val="0"/>
      <w:marTop w:val="0"/>
      <w:marBottom w:val="0"/>
      <w:divBdr>
        <w:top w:val="none" w:sz="0" w:space="0" w:color="auto"/>
        <w:left w:val="none" w:sz="0" w:space="0" w:color="auto"/>
        <w:bottom w:val="none" w:sz="0" w:space="0" w:color="auto"/>
        <w:right w:val="none" w:sz="0" w:space="0" w:color="auto"/>
      </w:divBdr>
    </w:div>
    <w:div w:id="443962850">
      <w:bodyDiv w:val="1"/>
      <w:marLeft w:val="0"/>
      <w:marRight w:val="0"/>
      <w:marTop w:val="0"/>
      <w:marBottom w:val="0"/>
      <w:divBdr>
        <w:top w:val="none" w:sz="0" w:space="0" w:color="auto"/>
        <w:left w:val="none" w:sz="0" w:space="0" w:color="auto"/>
        <w:bottom w:val="none" w:sz="0" w:space="0" w:color="auto"/>
        <w:right w:val="none" w:sz="0" w:space="0" w:color="auto"/>
      </w:divBdr>
    </w:div>
    <w:div w:id="1655640929">
      <w:bodyDiv w:val="1"/>
      <w:marLeft w:val="0"/>
      <w:marRight w:val="0"/>
      <w:marTop w:val="0"/>
      <w:marBottom w:val="0"/>
      <w:divBdr>
        <w:top w:val="none" w:sz="0" w:space="0" w:color="auto"/>
        <w:left w:val="none" w:sz="0" w:space="0" w:color="auto"/>
        <w:bottom w:val="none" w:sz="0" w:space="0" w:color="auto"/>
        <w:right w:val="none" w:sz="0" w:space="0" w:color="auto"/>
      </w:divBdr>
    </w:div>
    <w:div w:id="1858151352">
      <w:bodyDiv w:val="1"/>
      <w:marLeft w:val="0"/>
      <w:marRight w:val="0"/>
      <w:marTop w:val="0"/>
      <w:marBottom w:val="0"/>
      <w:divBdr>
        <w:top w:val="none" w:sz="0" w:space="0" w:color="auto"/>
        <w:left w:val="none" w:sz="0" w:space="0" w:color="auto"/>
        <w:bottom w:val="none" w:sz="0" w:space="0" w:color="auto"/>
        <w:right w:val="none" w:sz="0" w:space="0" w:color="auto"/>
      </w:divBdr>
    </w:div>
    <w:div w:id="20476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irm.kr.ua/files/pdf/KR_Marketing_Strategy.pdf" TargetMode="External"/><Relationship Id="rId26" Type="http://schemas.openxmlformats.org/officeDocument/2006/relationships/hyperlink" Target="https://expla.bank.gov.ua/expla/src/files/Publication126.pdf" TargetMode="External"/><Relationship Id="rId39" Type="http://schemas.openxmlformats.org/officeDocument/2006/relationships/header" Target="header1.xml"/><Relationship Id="rId21" Type="http://schemas.openxmlformats.org/officeDocument/2006/relationships/hyperlink" Target="https://www.oecd.org/regional/regionaldevelopment/Ukraine-Decentralisation-Proceedings-Lviv-UKR.pdf" TargetMode="External"/><Relationship Id="rId34" Type="http://schemas.openxmlformats.org/officeDocument/2006/relationships/hyperlink" Target="https://eprints.kname.edu.ua/37962/1/81-83.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er.com.ua/ua/mci/index_2021" TargetMode="External"/><Relationship Id="rId20" Type="http://schemas.openxmlformats.org/officeDocument/2006/relationships/hyperlink" Target="https://journals.indexcopernicus.com/api/file/viewByFileId/1436757" TargetMode="External"/><Relationship Id="rId29" Type="http://schemas.openxmlformats.org/officeDocument/2006/relationships/hyperlink" Target="https://zakon.rada.gov.ua/laws/show/1560-1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bank.gov.ua/ua/statistic/sector-external" TargetMode="External"/><Relationship Id="rId32" Type="http://schemas.openxmlformats.org/officeDocument/2006/relationships/hyperlink" Target="https://ir.lib.vntu.edu.ua/bitstream%20/handle/123456789/35727/110102.pdf?sequence=2&amp;isAllowed=y" TargetMode="External"/><Relationship Id="rId37" Type="http://schemas.openxmlformats.org/officeDocument/2006/relationships/hyperlink" Target="http://www.economy.nayka.com.ua/pdf/7_2020/56.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orbes.ua/ratings/naykrashchi-mista-dlya-vedennya-biznesu-2021-05102021-2533" TargetMode="External"/><Relationship Id="rId23" Type="http://schemas.openxmlformats.org/officeDocument/2006/relationships/hyperlink" Target="http://customs-admin.umsf.in.ua/archive/2022/%20spec/4.pdf" TargetMode="External"/><Relationship Id="rId28" Type="http://schemas.openxmlformats.org/officeDocument/2006/relationships/hyperlink" Target="https://montenegro.mfa.gov.ua/storage/app/sites/54/ig-2021.pdf" TargetMode="External"/><Relationship Id="rId36" Type="http://schemas.openxmlformats.org/officeDocument/2006/relationships/hyperlink" Target="http://visnik.knute.edu.ua/files/2011/04/7.pdf" TargetMode="External"/><Relationship Id="rId10" Type="http://schemas.microsoft.com/office/2007/relationships/hdphoto" Target="media/hdphoto1.wdp"/><Relationship Id="rId19" Type="http://schemas.openxmlformats.org/officeDocument/2006/relationships/hyperlink" Target="https://zakon.rada.gov.ua/laws/show/1560-12" TargetMode="External"/><Relationship Id="rId31" Type="http://schemas.openxmlformats.org/officeDocument/2006/relationships/hyperlink" Target="https://re.gov.ua/re201702/re201702_016_ZhukPV,SirykZO.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orbes.ua/forbes-advertising" TargetMode="External"/><Relationship Id="rId22" Type="http://schemas.openxmlformats.org/officeDocument/2006/relationships/hyperlink" Target="https://doi.org/10.32851/tnv-pub.2023.2.3" TargetMode="External"/><Relationship Id="rId27" Type="http://schemas.openxmlformats.org/officeDocument/2006/relationships/hyperlink" Target="https://krrda.dp.gov.ua/storage/app/uploads/public/649/c1f/f66/649c1ff6695e6884708974.pdf" TargetMode="External"/><Relationship Id="rId30" Type="http://schemas.openxmlformats.org/officeDocument/2006/relationships/hyperlink" Target="https://ins.vntu.edu.ua/%20index.php/ins/article/view/158/159" TargetMode="External"/><Relationship Id="rId35" Type="http://schemas.openxmlformats.org/officeDocument/2006/relationships/hyperlink" Target="https://hromady.org/wp-content/uploads/2023/04/%D0%9F%D1%20%80%D0%B5%D0%B7%D0%B5%D0%BD%D1%82%D0%B0%D1%86%D1%96%D1%8F.-%D0%9A%D0%BE%D1%80%D1%96%D0%BD%D0%B5%20%D1%86%D1%8C-26042023-%D0%9E%D0%A2%D0%93.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researchgate.net/publication/370504004_International_%20Investment_Attractiveness_of_Ukrainian_Regions" TargetMode="External"/><Relationship Id="rId25" Type="http://schemas.openxmlformats.org/officeDocument/2006/relationships/hyperlink" Target="https://dia.dp.gov.ua/wp-content/uploads/2023/05/%D0%86%D0%BD" TargetMode="External"/><Relationship Id="rId33" Type="http://schemas.openxmlformats.org/officeDocument/2006/relationships/hyperlink" Target="https://snku.krok.edu.ua/index.php/vcheni-zapiski-universitetu-krok/article/view/%20175/207" TargetMode="External"/><Relationship Id="rId38" Type="http://schemas.openxmlformats.org/officeDocument/2006/relationships/hyperlink" Target="https://dspace.nuft.edu.ua/jspu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4848BB5-A9FA-4AA6-98EA-D64CC63D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20424</Words>
  <Characters>116418</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Kr</Company>
  <LinksUpToDate>false</LinksUpToDate>
  <CharactersWithSpaces>136569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 Packard</dc:creator>
  <cp:lastModifiedBy>Owner</cp:lastModifiedBy>
  <cp:revision>2</cp:revision>
  <cp:lastPrinted>2023-11-30T08:37:00Z</cp:lastPrinted>
  <dcterms:created xsi:type="dcterms:W3CDTF">2023-12-06T19:53:00Z</dcterms:created>
  <dcterms:modified xsi:type="dcterms:W3CDTF">2023-12-06T19:53:00Z</dcterms:modified>
</cp:coreProperties>
</file>