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FEB0F" w14:textId="77777777" w:rsidR="007F0C09" w:rsidRPr="00365CE8" w:rsidRDefault="007F0C09" w:rsidP="0028541E">
      <w:pPr>
        <w:widowControl w:val="0"/>
        <w:spacing w:after="0" w:line="240" w:lineRule="auto"/>
        <w:jc w:val="center"/>
        <w:rPr>
          <w:rFonts w:ascii="Times New Roman" w:eastAsia="Times New Roman" w:hAnsi="Times New Roman" w:cs="Times New Roman"/>
          <w:bCs/>
          <w:sz w:val="28"/>
          <w:szCs w:val="28"/>
          <w:lang w:eastAsia="ru-RU"/>
        </w:rPr>
      </w:pPr>
      <w:r w:rsidRPr="00365CE8">
        <w:rPr>
          <w:rFonts w:ascii="Times New Roman" w:eastAsia="Times New Roman" w:hAnsi="Times New Roman" w:cs="Times New Roman"/>
          <w:bCs/>
          <w:sz w:val="28"/>
          <w:szCs w:val="28"/>
          <w:lang w:eastAsia="ru-RU"/>
        </w:rPr>
        <w:t>МІНІСТЕРСТВО ОСВІТИ І НАУКИ УКРАЇНИ</w:t>
      </w:r>
    </w:p>
    <w:p w14:paraId="7ED96913" w14:textId="77777777" w:rsidR="007F0C09" w:rsidRPr="00365CE8" w:rsidRDefault="007F0C09" w:rsidP="0028541E">
      <w:pPr>
        <w:widowControl w:val="0"/>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 xml:space="preserve">Донецький національний університет економіки і торгівлі </w:t>
      </w:r>
      <w:r w:rsidR="00F12A84" w:rsidRPr="00365CE8">
        <w:rPr>
          <w:rFonts w:ascii="Times New Roman" w:hAnsi="Times New Roman" w:cs="Times New Roman"/>
          <w:noProof/>
          <w:lang w:eastAsia="uk-UA"/>
        </w:rPr>
        <mc:AlternateContent>
          <mc:Choice Requires="wps">
            <w:drawing>
              <wp:anchor distT="0" distB="0" distL="114300" distR="114300" simplePos="0" relativeHeight="251670528" behindDoc="0" locked="0" layoutInCell="1" allowOverlap="1" wp14:anchorId="0045AEFD" wp14:editId="0C56D975">
                <wp:simplePos x="0" y="0"/>
                <wp:positionH relativeFrom="column">
                  <wp:posOffset>5880100</wp:posOffset>
                </wp:positionH>
                <wp:positionV relativeFrom="paragraph">
                  <wp:posOffset>-438150</wp:posOffset>
                </wp:positionV>
                <wp:extent cx="605790" cy="593725"/>
                <wp:effectExtent l="0" t="0" r="3810" b="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DEDA1" id="Прямоугольник 22" o:spid="_x0000_s1026" style="position:absolute;margin-left:463pt;margin-top:-34.5pt;width:47.7pt;height:46.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a7tkgIAAOw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" fillcolor="window" stroked="f" strokeweight="2pt"/>
            </w:pict>
          </mc:Fallback>
        </mc:AlternateContent>
      </w:r>
    </w:p>
    <w:p w14:paraId="75A0FACE" w14:textId="77777777" w:rsidR="007F0C09" w:rsidRPr="00365CE8" w:rsidRDefault="007F0C09" w:rsidP="0028541E">
      <w:pPr>
        <w:widowControl w:val="0"/>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 xml:space="preserve">імені Михайла </w:t>
      </w:r>
      <w:proofErr w:type="spellStart"/>
      <w:r w:rsidRPr="00365CE8">
        <w:rPr>
          <w:rFonts w:ascii="Times New Roman" w:hAnsi="Times New Roman" w:cs="Times New Roman"/>
          <w:sz w:val="28"/>
          <w:szCs w:val="28"/>
        </w:rPr>
        <w:t>Туган</w:t>
      </w:r>
      <w:proofErr w:type="spellEnd"/>
      <w:r w:rsidRPr="00365CE8">
        <w:rPr>
          <w:rFonts w:ascii="Times New Roman" w:hAnsi="Times New Roman" w:cs="Times New Roman"/>
          <w:sz w:val="28"/>
          <w:szCs w:val="28"/>
        </w:rPr>
        <w:t>-Барановського</w:t>
      </w:r>
    </w:p>
    <w:p w14:paraId="3BC2A93F" w14:textId="77777777" w:rsidR="007F0C09" w:rsidRPr="00365CE8" w:rsidRDefault="007F0C09" w:rsidP="0028541E">
      <w:pPr>
        <w:keepNext/>
        <w:widowControl w:val="0"/>
        <w:spacing w:after="0" w:line="240" w:lineRule="auto"/>
        <w:jc w:val="center"/>
        <w:outlineLvl w:val="3"/>
        <w:rPr>
          <w:rFonts w:ascii="Times New Roman" w:eastAsia="Times New Roman" w:hAnsi="Times New Roman" w:cs="Times New Roman"/>
          <w:bCs/>
          <w:iCs/>
          <w:sz w:val="28"/>
          <w:szCs w:val="28"/>
          <w:lang w:eastAsia="ru-RU"/>
        </w:rPr>
      </w:pPr>
    </w:p>
    <w:p w14:paraId="35E3ABD5" w14:textId="77777777" w:rsidR="007F0C09" w:rsidRPr="00365CE8" w:rsidRDefault="007F0C09" w:rsidP="0028541E">
      <w:pPr>
        <w:keepNext/>
        <w:widowControl w:val="0"/>
        <w:spacing w:after="0" w:line="240" w:lineRule="auto"/>
        <w:jc w:val="center"/>
        <w:outlineLvl w:val="3"/>
        <w:rPr>
          <w:rFonts w:ascii="Times New Roman" w:eastAsia="Times New Roman" w:hAnsi="Times New Roman" w:cs="Times New Roman"/>
          <w:bCs/>
          <w:iCs/>
          <w:sz w:val="28"/>
          <w:szCs w:val="28"/>
          <w:lang w:eastAsia="ru-RU"/>
        </w:rPr>
      </w:pPr>
      <w:r w:rsidRPr="00365CE8">
        <w:rPr>
          <w:rFonts w:ascii="Times New Roman" w:eastAsia="Times New Roman" w:hAnsi="Times New Roman" w:cs="Times New Roman"/>
          <w:bCs/>
          <w:iCs/>
          <w:sz w:val="28"/>
          <w:szCs w:val="28"/>
          <w:lang w:eastAsia="ru-RU"/>
        </w:rPr>
        <w:t>Кафедра економіки та туризму</w:t>
      </w:r>
    </w:p>
    <w:p w14:paraId="7A43CAF7" w14:textId="77777777" w:rsidR="007F0C09" w:rsidRPr="00365CE8" w:rsidRDefault="007F0C09" w:rsidP="0028541E">
      <w:pPr>
        <w:widowControl w:val="0"/>
        <w:suppressAutoHyphens/>
        <w:spacing w:after="0" w:line="240" w:lineRule="auto"/>
        <w:rPr>
          <w:rFonts w:ascii="Times New Roman" w:eastAsia="Times New Roman" w:hAnsi="Times New Roman" w:cs="Times New Roman"/>
          <w:sz w:val="28"/>
          <w:szCs w:val="20"/>
          <w:lang w:eastAsia="ru-RU"/>
        </w:rPr>
      </w:pPr>
    </w:p>
    <w:p w14:paraId="15CE559A" w14:textId="77777777" w:rsidR="007F0C09" w:rsidRPr="00365CE8" w:rsidRDefault="007F0C09" w:rsidP="0028541E">
      <w:pPr>
        <w:pStyle w:val="FR3"/>
        <w:spacing w:before="0"/>
        <w:ind w:firstLine="5103"/>
        <w:jc w:val="left"/>
        <w:rPr>
          <w:rFonts w:ascii="Times New Roman" w:hAnsi="Times New Roman"/>
          <w:sz w:val="28"/>
          <w:szCs w:val="28"/>
          <w:lang w:val="uk-UA" w:eastAsia="en-US"/>
        </w:rPr>
      </w:pPr>
      <w:r w:rsidRPr="00365CE8">
        <w:rPr>
          <w:rFonts w:ascii="Times New Roman" w:hAnsi="Times New Roman"/>
          <w:sz w:val="28"/>
          <w:szCs w:val="28"/>
          <w:lang w:val="uk-UA" w:eastAsia="en-US"/>
        </w:rPr>
        <w:t>ДОПУСКАЮ ДО ЗАХИСТУ</w:t>
      </w:r>
    </w:p>
    <w:p w14:paraId="27B6AFC4" w14:textId="77777777" w:rsidR="007F0C09" w:rsidRPr="00365CE8" w:rsidRDefault="007F0C09" w:rsidP="0028541E">
      <w:pPr>
        <w:pStyle w:val="FR3"/>
        <w:spacing w:before="0"/>
        <w:ind w:firstLine="5103"/>
        <w:jc w:val="left"/>
        <w:rPr>
          <w:rFonts w:ascii="Times New Roman" w:hAnsi="Times New Roman"/>
          <w:sz w:val="28"/>
          <w:szCs w:val="28"/>
          <w:lang w:val="uk-UA" w:eastAsia="en-US"/>
        </w:rPr>
      </w:pPr>
      <w:r w:rsidRPr="00365CE8">
        <w:rPr>
          <w:rFonts w:ascii="Times New Roman" w:hAnsi="Times New Roman"/>
          <w:sz w:val="28"/>
          <w:szCs w:val="28"/>
          <w:lang w:val="uk-UA" w:eastAsia="en-US"/>
        </w:rPr>
        <w:t>Гарант освітньої програми</w:t>
      </w:r>
    </w:p>
    <w:p w14:paraId="2681BC3C" w14:textId="77777777" w:rsidR="007F0C09" w:rsidRPr="00365CE8" w:rsidRDefault="007F0C09" w:rsidP="0028541E">
      <w:pPr>
        <w:pStyle w:val="FR3"/>
        <w:spacing w:before="0"/>
        <w:ind w:firstLine="5103"/>
        <w:jc w:val="left"/>
        <w:rPr>
          <w:rFonts w:ascii="Times New Roman" w:hAnsi="Times New Roman"/>
          <w:sz w:val="28"/>
          <w:szCs w:val="28"/>
          <w:lang w:val="uk-UA" w:eastAsia="en-US"/>
        </w:rPr>
      </w:pPr>
      <w:r w:rsidRPr="00365CE8">
        <w:rPr>
          <w:rFonts w:ascii="Times New Roman" w:hAnsi="Times New Roman"/>
          <w:sz w:val="28"/>
          <w:szCs w:val="28"/>
          <w:lang w:val="uk-UA" w:eastAsia="en-US"/>
        </w:rPr>
        <w:t xml:space="preserve">___________  </w:t>
      </w:r>
      <w:r w:rsidR="00060CF7" w:rsidRPr="00365CE8">
        <w:rPr>
          <w:rFonts w:ascii="Times New Roman" w:eastAsia="Calibri" w:hAnsi="Times New Roman"/>
          <w:sz w:val="28"/>
          <w:szCs w:val="28"/>
          <w:u w:val="single"/>
          <w:lang w:val="uk-UA"/>
        </w:rPr>
        <w:t>Федотова Т. А.</w:t>
      </w:r>
    </w:p>
    <w:p w14:paraId="5A1F0EF4" w14:textId="77777777" w:rsidR="007F0C09" w:rsidRPr="00365CE8" w:rsidRDefault="007F0C09" w:rsidP="0028541E">
      <w:pPr>
        <w:pStyle w:val="FR3"/>
        <w:spacing w:before="0"/>
        <w:ind w:firstLine="5103"/>
        <w:jc w:val="left"/>
        <w:rPr>
          <w:rFonts w:ascii="Times New Roman" w:hAnsi="Times New Roman"/>
          <w:sz w:val="28"/>
          <w:szCs w:val="28"/>
          <w:lang w:val="uk-UA" w:eastAsia="en-US"/>
        </w:rPr>
      </w:pPr>
      <w:r w:rsidRPr="00365CE8">
        <w:rPr>
          <w:rFonts w:ascii="Times New Roman" w:hAnsi="Times New Roman"/>
          <w:sz w:val="28"/>
          <w:szCs w:val="28"/>
          <w:lang w:val="uk-UA" w:eastAsia="en-US"/>
        </w:rPr>
        <w:t xml:space="preserve"> «____» _____________ 2023 року</w:t>
      </w:r>
    </w:p>
    <w:p w14:paraId="748D9994" w14:textId="77777777" w:rsidR="007F0C09" w:rsidRPr="00365CE8" w:rsidRDefault="007F0C09" w:rsidP="0028541E">
      <w:pPr>
        <w:widowControl w:val="0"/>
        <w:suppressAutoHyphens/>
        <w:spacing w:after="0" w:line="240" w:lineRule="auto"/>
        <w:rPr>
          <w:rFonts w:ascii="Times New Roman" w:eastAsia="Times New Roman" w:hAnsi="Times New Roman" w:cs="Times New Roman"/>
          <w:sz w:val="28"/>
          <w:szCs w:val="20"/>
          <w:lang w:eastAsia="ru-RU"/>
        </w:rPr>
      </w:pPr>
    </w:p>
    <w:p w14:paraId="7749B507" w14:textId="77777777" w:rsidR="007F0C09" w:rsidRPr="00365CE8" w:rsidRDefault="007F0C09" w:rsidP="0028541E">
      <w:pPr>
        <w:widowControl w:val="0"/>
        <w:suppressAutoHyphens/>
        <w:spacing w:after="0" w:line="240" w:lineRule="auto"/>
        <w:rPr>
          <w:rFonts w:ascii="Times New Roman" w:eastAsia="Times New Roman" w:hAnsi="Times New Roman" w:cs="Times New Roman"/>
          <w:sz w:val="28"/>
          <w:szCs w:val="20"/>
          <w:lang w:eastAsia="ru-RU"/>
        </w:rPr>
      </w:pPr>
    </w:p>
    <w:p w14:paraId="61B2CDE5" w14:textId="77777777" w:rsidR="007F0C09" w:rsidRPr="00365CE8" w:rsidRDefault="007F0C09" w:rsidP="0028541E">
      <w:pPr>
        <w:widowControl w:val="0"/>
        <w:suppressAutoHyphens/>
        <w:spacing w:after="0" w:line="240" w:lineRule="auto"/>
        <w:rPr>
          <w:rFonts w:ascii="Times New Roman" w:eastAsia="Times New Roman" w:hAnsi="Times New Roman" w:cs="Times New Roman"/>
          <w:sz w:val="28"/>
          <w:szCs w:val="20"/>
          <w:lang w:eastAsia="ru-RU"/>
        </w:rPr>
      </w:pPr>
    </w:p>
    <w:p w14:paraId="2391A9E0" w14:textId="77777777" w:rsidR="007F0C09" w:rsidRPr="00365CE8" w:rsidRDefault="007F0C09" w:rsidP="0028541E">
      <w:pPr>
        <w:pStyle w:val="FR3"/>
        <w:spacing w:before="0"/>
        <w:jc w:val="center"/>
        <w:rPr>
          <w:rFonts w:ascii="Times New Roman" w:hAnsi="Times New Roman"/>
          <w:b/>
          <w:sz w:val="28"/>
          <w:szCs w:val="28"/>
          <w:lang w:val="uk-UA"/>
        </w:rPr>
      </w:pPr>
      <w:r w:rsidRPr="00365CE8">
        <w:rPr>
          <w:rFonts w:ascii="Times New Roman" w:hAnsi="Times New Roman"/>
          <w:b/>
          <w:sz w:val="28"/>
          <w:szCs w:val="28"/>
          <w:lang w:val="uk-UA"/>
        </w:rPr>
        <w:t>КВАЛІФІКАЦІЙНА РОБОТА</w:t>
      </w:r>
    </w:p>
    <w:p w14:paraId="262ECE7E" w14:textId="77777777" w:rsidR="007F0C09" w:rsidRPr="00365CE8" w:rsidRDefault="007F0C09" w:rsidP="0028541E">
      <w:pPr>
        <w:pStyle w:val="FR3"/>
        <w:spacing w:before="0"/>
        <w:jc w:val="center"/>
        <w:rPr>
          <w:rFonts w:ascii="Times New Roman" w:hAnsi="Times New Roman"/>
          <w:sz w:val="28"/>
          <w:szCs w:val="28"/>
          <w:lang w:val="uk-UA"/>
        </w:rPr>
      </w:pPr>
      <w:r w:rsidRPr="00365CE8">
        <w:rPr>
          <w:rFonts w:ascii="Times New Roman" w:hAnsi="Times New Roman"/>
          <w:sz w:val="28"/>
          <w:szCs w:val="28"/>
          <w:lang w:val="uk-UA"/>
        </w:rPr>
        <w:t>на здобуття ступеня вищої освіти «Магістр»</w:t>
      </w:r>
    </w:p>
    <w:p w14:paraId="6CB482A0" w14:textId="77777777" w:rsidR="007F0C09" w:rsidRPr="00365CE8" w:rsidRDefault="007F0C09" w:rsidP="0028541E">
      <w:pPr>
        <w:autoSpaceDE w:val="0"/>
        <w:autoSpaceDN w:val="0"/>
        <w:adjustRightInd w:val="0"/>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зі спеціальності 051 «Економіка»</w:t>
      </w:r>
    </w:p>
    <w:p w14:paraId="64041F92" w14:textId="77777777" w:rsidR="007F0C09" w:rsidRPr="00365CE8" w:rsidRDefault="007F0C09" w:rsidP="0028541E">
      <w:pPr>
        <w:autoSpaceDE w:val="0"/>
        <w:autoSpaceDN w:val="0"/>
        <w:adjustRightInd w:val="0"/>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освітньої програми «Економіка трансформацій»</w:t>
      </w:r>
    </w:p>
    <w:p w14:paraId="0D3C102A" w14:textId="77777777" w:rsidR="007F0C09" w:rsidRPr="00365CE8" w:rsidRDefault="007F0C09" w:rsidP="0028541E">
      <w:pPr>
        <w:autoSpaceDE w:val="0"/>
        <w:autoSpaceDN w:val="0"/>
        <w:adjustRightInd w:val="0"/>
        <w:spacing w:after="0" w:line="240" w:lineRule="auto"/>
        <w:rPr>
          <w:rFonts w:ascii="Times New Roman" w:hAnsi="Times New Roman" w:cs="Times New Roman"/>
          <w:sz w:val="28"/>
          <w:szCs w:val="28"/>
          <w:vertAlign w:val="superscript"/>
        </w:rPr>
      </w:pPr>
    </w:p>
    <w:p w14:paraId="5444D2DB" w14:textId="77777777" w:rsidR="007F0C09" w:rsidRPr="00365CE8" w:rsidRDefault="007F0C09" w:rsidP="0028541E">
      <w:pPr>
        <w:autoSpaceDE w:val="0"/>
        <w:autoSpaceDN w:val="0"/>
        <w:adjustRightInd w:val="0"/>
        <w:spacing w:after="0" w:line="240" w:lineRule="auto"/>
        <w:jc w:val="center"/>
        <w:rPr>
          <w:rFonts w:ascii="Times New Roman" w:hAnsi="Times New Roman" w:cs="Times New Roman"/>
          <w:b/>
          <w:sz w:val="28"/>
          <w:szCs w:val="28"/>
          <w:shd w:val="clear" w:color="auto" w:fill="FFFFFF"/>
        </w:rPr>
      </w:pPr>
      <w:r w:rsidRPr="00365CE8">
        <w:rPr>
          <w:rFonts w:ascii="Times New Roman" w:hAnsi="Times New Roman" w:cs="Times New Roman"/>
          <w:sz w:val="28"/>
          <w:szCs w:val="28"/>
        </w:rPr>
        <w:t>на тему: «</w:t>
      </w:r>
      <w:r w:rsidR="00BC569E" w:rsidRPr="00365CE8">
        <w:rPr>
          <w:rFonts w:ascii="Times New Roman" w:hAnsi="Times New Roman" w:cs="Times New Roman"/>
          <w:b/>
          <w:sz w:val="28"/>
          <w:szCs w:val="28"/>
        </w:rPr>
        <w:t>ІНВЕСТИЦІЙНА ПРИВАБЛИВІСТЬ КРАЇНИ: ОЦІНКА ТА НАПРЯМИ ПІДВИЩЕННЯ</w:t>
      </w:r>
      <w:r w:rsidRPr="00365CE8">
        <w:rPr>
          <w:rFonts w:ascii="Times New Roman" w:hAnsi="Times New Roman" w:cs="Times New Roman"/>
          <w:b/>
          <w:sz w:val="28"/>
          <w:szCs w:val="28"/>
          <w:shd w:val="clear" w:color="auto" w:fill="FFFFFF"/>
        </w:rPr>
        <w:t>»</w:t>
      </w:r>
    </w:p>
    <w:p w14:paraId="6F59ECDA" w14:textId="77777777" w:rsidR="007F0C09" w:rsidRPr="00365CE8" w:rsidRDefault="007F0C09" w:rsidP="0028541E">
      <w:pPr>
        <w:autoSpaceDE w:val="0"/>
        <w:autoSpaceDN w:val="0"/>
        <w:adjustRightInd w:val="0"/>
        <w:spacing w:after="0" w:line="240" w:lineRule="auto"/>
        <w:jc w:val="center"/>
        <w:rPr>
          <w:rFonts w:ascii="Times New Roman" w:hAnsi="Times New Roman" w:cs="Times New Roman"/>
          <w:b/>
          <w:sz w:val="28"/>
          <w:szCs w:val="28"/>
          <w:shd w:val="clear" w:color="auto" w:fill="FFFFFF"/>
        </w:rPr>
      </w:pPr>
    </w:p>
    <w:tbl>
      <w:tblPr>
        <w:tblW w:w="9552" w:type="dxa"/>
        <w:tblInd w:w="108" w:type="dxa"/>
        <w:tblLook w:val="04A0" w:firstRow="1" w:lastRow="0" w:firstColumn="1" w:lastColumn="0" w:noHBand="0" w:noVBand="1"/>
      </w:tblPr>
      <w:tblGrid>
        <w:gridCol w:w="1445"/>
        <w:gridCol w:w="3409"/>
        <w:gridCol w:w="3013"/>
        <w:gridCol w:w="1678"/>
        <w:gridCol w:w="7"/>
      </w:tblGrid>
      <w:tr w:rsidR="007F0C09" w:rsidRPr="00365CE8" w14:paraId="54EE8002" w14:textId="77777777" w:rsidTr="00F12A84">
        <w:tc>
          <w:tcPr>
            <w:tcW w:w="7867" w:type="dxa"/>
            <w:gridSpan w:val="3"/>
            <w:shd w:val="clear" w:color="auto" w:fill="auto"/>
          </w:tcPr>
          <w:p w14:paraId="67E06A78" w14:textId="77777777" w:rsidR="007F0C09" w:rsidRPr="00365CE8" w:rsidRDefault="007F0C09" w:rsidP="0028541E">
            <w:pPr>
              <w:spacing w:after="0" w:line="240" w:lineRule="auto"/>
              <w:rPr>
                <w:rFonts w:ascii="Times New Roman" w:hAnsi="Times New Roman" w:cs="Times New Roman"/>
                <w:sz w:val="28"/>
                <w:szCs w:val="28"/>
              </w:rPr>
            </w:pPr>
          </w:p>
          <w:p w14:paraId="2761606D" w14:textId="77777777" w:rsidR="007F0C09" w:rsidRPr="00365CE8" w:rsidRDefault="007F0C09" w:rsidP="0028541E">
            <w:pPr>
              <w:spacing w:after="0" w:line="240" w:lineRule="auto"/>
              <w:rPr>
                <w:rFonts w:ascii="Times New Roman" w:hAnsi="Times New Roman" w:cs="Times New Roman"/>
                <w:sz w:val="28"/>
                <w:szCs w:val="28"/>
              </w:rPr>
            </w:pPr>
            <w:r w:rsidRPr="00365CE8">
              <w:rPr>
                <w:rFonts w:ascii="Times New Roman" w:hAnsi="Times New Roman" w:cs="Times New Roman"/>
                <w:sz w:val="28"/>
                <w:szCs w:val="28"/>
              </w:rPr>
              <w:t>Виконав:</w:t>
            </w:r>
          </w:p>
          <w:p w14:paraId="5DBCFF7A" w14:textId="77777777" w:rsidR="007F0C09" w:rsidRPr="00365CE8" w:rsidRDefault="007F0C09" w:rsidP="0028541E">
            <w:pPr>
              <w:spacing w:after="0" w:line="240" w:lineRule="auto"/>
              <w:rPr>
                <w:rFonts w:ascii="Times New Roman" w:hAnsi="Times New Roman" w:cs="Times New Roman"/>
                <w:sz w:val="28"/>
                <w:szCs w:val="28"/>
              </w:rPr>
            </w:pPr>
            <w:r w:rsidRPr="00365CE8">
              <w:rPr>
                <w:rFonts w:ascii="Times New Roman" w:hAnsi="Times New Roman" w:cs="Times New Roman"/>
                <w:sz w:val="28"/>
                <w:szCs w:val="28"/>
              </w:rPr>
              <w:t xml:space="preserve">здобувач вищої освіти  </w:t>
            </w:r>
          </w:p>
          <w:p w14:paraId="36A1C8E8" w14:textId="77777777" w:rsidR="007F0C09" w:rsidRPr="00365CE8" w:rsidRDefault="00BC569E" w:rsidP="0028541E">
            <w:pPr>
              <w:spacing w:after="0" w:line="240" w:lineRule="auto"/>
              <w:ind w:left="1452"/>
              <w:rPr>
                <w:rFonts w:ascii="Times New Roman" w:hAnsi="Times New Roman" w:cs="Times New Roman"/>
                <w:sz w:val="28"/>
                <w:szCs w:val="28"/>
              </w:rPr>
            </w:pPr>
            <w:proofErr w:type="spellStart"/>
            <w:r w:rsidRPr="00365CE8">
              <w:rPr>
                <w:rFonts w:ascii="Times New Roman" w:eastAsia="Calibri" w:hAnsi="Times New Roman" w:cs="Times New Roman"/>
                <w:sz w:val="28"/>
                <w:szCs w:val="28"/>
                <w:u w:val="single"/>
              </w:rPr>
              <w:t>Підгальний</w:t>
            </w:r>
            <w:proofErr w:type="spellEnd"/>
            <w:r w:rsidRPr="00365CE8">
              <w:rPr>
                <w:rFonts w:ascii="Times New Roman" w:eastAsia="Calibri" w:hAnsi="Times New Roman" w:cs="Times New Roman"/>
                <w:sz w:val="28"/>
                <w:szCs w:val="28"/>
                <w:u w:val="single"/>
              </w:rPr>
              <w:t xml:space="preserve"> Артур Сергійович</w:t>
            </w:r>
            <w:r w:rsidR="007F0C09" w:rsidRPr="00365CE8">
              <w:rPr>
                <w:rFonts w:ascii="Times New Roman" w:hAnsi="Times New Roman" w:cs="Times New Roman"/>
                <w:sz w:val="28"/>
                <w:szCs w:val="28"/>
                <w:u w:val="single"/>
              </w:rPr>
              <w:t xml:space="preserve"> </w:t>
            </w:r>
          </w:p>
          <w:p w14:paraId="77A54119" w14:textId="77777777" w:rsidR="007F0C09" w:rsidRPr="00365CE8" w:rsidRDefault="007F0C09" w:rsidP="0028541E">
            <w:pPr>
              <w:spacing w:after="0" w:line="240" w:lineRule="auto"/>
              <w:rPr>
                <w:rFonts w:ascii="Times New Roman" w:hAnsi="Times New Roman" w:cs="Times New Roman"/>
                <w:sz w:val="28"/>
                <w:szCs w:val="28"/>
                <w:vertAlign w:val="superscript"/>
              </w:rPr>
            </w:pPr>
            <w:r w:rsidRPr="00365CE8">
              <w:rPr>
                <w:rFonts w:ascii="Times New Roman" w:hAnsi="Times New Roman" w:cs="Times New Roman"/>
                <w:sz w:val="28"/>
                <w:szCs w:val="28"/>
                <w:vertAlign w:val="superscript"/>
              </w:rPr>
              <w:t xml:space="preserve">                                  (прізвище, ім’я, по-батькові)</w:t>
            </w:r>
          </w:p>
          <w:p w14:paraId="19BF4D9A" w14:textId="77777777" w:rsidR="007F0C09" w:rsidRPr="00365CE8" w:rsidRDefault="007F0C09" w:rsidP="0028541E">
            <w:pPr>
              <w:spacing w:after="0" w:line="240" w:lineRule="auto"/>
              <w:rPr>
                <w:rFonts w:ascii="Times New Roman" w:hAnsi="Times New Roman" w:cs="Times New Roman"/>
                <w:sz w:val="28"/>
                <w:szCs w:val="28"/>
                <w:vertAlign w:val="superscript"/>
              </w:rPr>
            </w:pPr>
          </w:p>
        </w:tc>
        <w:tc>
          <w:tcPr>
            <w:tcW w:w="1685" w:type="dxa"/>
            <w:gridSpan w:val="2"/>
            <w:shd w:val="clear" w:color="auto" w:fill="auto"/>
          </w:tcPr>
          <w:p w14:paraId="5B10C79D" w14:textId="77777777" w:rsidR="007F0C09" w:rsidRPr="00365CE8" w:rsidRDefault="007F0C09" w:rsidP="0028541E">
            <w:pPr>
              <w:suppressAutoHyphens/>
              <w:spacing w:after="0" w:line="240" w:lineRule="auto"/>
              <w:jc w:val="center"/>
              <w:rPr>
                <w:rFonts w:ascii="Times New Roman" w:hAnsi="Times New Roman" w:cs="Times New Roman"/>
                <w:sz w:val="28"/>
                <w:szCs w:val="28"/>
              </w:rPr>
            </w:pPr>
          </w:p>
          <w:p w14:paraId="2DC6B47E" w14:textId="77777777" w:rsidR="007F0C09" w:rsidRPr="00365CE8" w:rsidRDefault="007F0C09" w:rsidP="0028541E">
            <w:pPr>
              <w:suppressAutoHyphens/>
              <w:spacing w:after="0" w:line="240" w:lineRule="auto"/>
              <w:jc w:val="center"/>
              <w:rPr>
                <w:rFonts w:ascii="Times New Roman" w:hAnsi="Times New Roman" w:cs="Times New Roman"/>
                <w:sz w:val="28"/>
                <w:szCs w:val="28"/>
              </w:rPr>
            </w:pPr>
          </w:p>
          <w:p w14:paraId="3B07132D" w14:textId="77777777" w:rsidR="007F0C09" w:rsidRPr="00365CE8" w:rsidRDefault="007F0C09" w:rsidP="0028541E">
            <w:pPr>
              <w:suppressAutoHyphens/>
              <w:spacing w:after="0" w:line="240" w:lineRule="auto"/>
              <w:jc w:val="center"/>
              <w:rPr>
                <w:rFonts w:ascii="Times New Roman" w:hAnsi="Times New Roman" w:cs="Times New Roman"/>
                <w:sz w:val="28"/>
                <w:szCs w:val="28"/>
              </w:rPr>
            </w:pPr>
          </w:p>
          <w:p w14:paraId="1977712E" w14:textId="77777777" w:rsidR="007F0C09" w:rsidRPr="00365CE8" w:rsidRDefault="007F0C09" w:rsidP="0028541E">
            <w:pPr>
              <w:suppressAutoHyphens/>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_______</w:t>
            </w:r>
          </w:p>
          <w:p w14:paraId="163D9E4C" w14:textId="77777777" w:rsidR="007F0C09" w:rsidRPr="00365CE8" w:rsidRDefault="007F0C09" w:rsidP="0028541E">
            <w:pPr>
              <w:suppressAutoHyphens/>
              <w:spacing w:after="0" w:line="240" w:lineRule="auto"/>
              <w:jc w:val="center"/>
              <w:rPr>
                <w:rFonts w:ascii="Times New Roman" w:hAnsi="Times New Roman" w:cs="Times New Roman"/>
                <w:sz w:val="28"/>
                <w:szCs w:val="28"/>
                <w:vertAlign w:val="superscript"/>
              </w:rPr>
            </w:pPr>
            <w:r w:rsidRPr="00365CE8">
              <w:rPr>
                <w:rFonts w:ascii="Times New Roman" w:hAnsi="Times New Roman" w:cs="Times New Roman"/>
                <w:sz w:val="28"/>
                <w:szCs w:val="28"/>
                <w:vertAlign w:val="superscript"/>
              </w:rPr>
              <w:t>(підпис)</w:t>
            </w:r>
          </w:p>
        </w:tc>
      </w:tr>
      <w:tr w:rsidR="007F0C09" w:rsidRPr="00365CE8" w14:paraId="74F7A1C8" w14:textId="77777777" w:rsidTr="00F12A84">
        <w:tc>
          <w:tcPr>
            <w:tcW w:w="1445" w:type="dxa"/>
            <w:shd w:val="clear" w:color="auto" w:fill="auto"/>
            <w:hideMark/>
          </w:tcPr>
          <w:p w14:paraId="5CB1A19E" w14:textId="77777777" w:rsidR="007F0C09" w:rsidRPr="00365CE8" w:rsidRDefault="007F0C09" w:rsidP="0028541E">
            <w:pPr>
              <w:suppressAutoHyphens/>
              <w:spacing w:after="0" w:line="240" w:lineRule="auto"/>
              <w:rPr>
                <w:rFonts w:ascii="Times New Roman" w:hAnsi="Times New Roman" w:cs="Times New Roman"/>
                <w:sz w:val="28"/>
                <w:szCs w:val="28"/>
              </w:rPr>
            </w:pPr>
            <w:r w:rsidRPr="00365CE8">
              <w:rPr>
                <w:rFonts w:ascii="Times New Roman" w:hAnsi="Times New Roman" w:cs="Times New Roman"/>
                <w:sz w:val="28"/>
                <w:szCs w:val="28"/>
              </w:rPr>
              <w:t>Керівник:</w:t>
            </w:r>
          </w:p>
        </w:tc>
        <w:tc>
          <w:tcPr>
            <w:tcW w:w="6422" w:type="dxa"/>
            <w:gridSpan w:val="2"/>
            <w:shd w:val="clear" w:color="auto" w:fill="auto"/>
            <w:hideMark/>
          </w:tcPr>
          <w:p w14:paraId="259222E3" w14:textId="77777777" w:rsidR="007F0C09" w:rsidRPr="00365CE8" w:rsidRDefault="007F0C09" w:rsidP="0028541E">
            <w:pPr>
              <w:spacing w:after="0" w:line="240" w:lineRule="auto"/>
              <w:rPr>
                <w:rFonts w:ascii="Times New Roman" w:hAnsi="Times New Roman" w:cs="Times New Roman"/>
                <w:sz w:val="28"/>
                <w:szCs w:val="28"/>
                <w:u w:val="single"/>
              </w:rPr>
            </w:pPr>
          </w:p>
          <w:p w14:paraId="725114EF" w14:textId="77777777" w:rsidR="007F0C09" w:rsidRPr="00365CE8" w:rsidRDefault="00BC569E" w:rsidP="0028541E">
            <w:pPr>
              <w:spacing w:after="0" w:line="240" w:lineRule="auto"/>
              <w:rPr>
                <w:rFonts w:ascii="Times New Roman" w:hAnsi="Times New Roman" w:cs="Times New Roman"/>
                <w:sz w:val="28"/>
                <w:szCs w:val="28"/>
                <w:u w:val="single"/>
              </w:rPr>
            </w:pPr>
            <w:proofErr w:type="spellStart"/>
            <w:r w:rsidRPr="00365CE8">
              <w:rPr>
                <w:rFonts w:ascii="Times New Roman" w:eastAsia="Calibri" w:hAnsi="Times New Roman" w:cs="Times New Roman"/>
                <w:sz w:val="28"/>
                <w:szCs w:val="28"/>
                <w:u w:val="single"/>
              </w:rPr>
              <w:t>д</w:t>
            </w:r>
            <w:r w:rsidR="007F0C09" w:rsidRPr="00365CE8">
              <w:rPr>
                <w:rFonts w:ascii="Times New Roman" w:eastAsia="Calibri" w:hAnsi="Times New Roman" w:cs="Times New Roman"/>
                <w:sz w:val="28"/>
                <w:szCs w:val="28"/>
                <w:u w:val="single"/>
              </w:rPr>
              <w:t>.</w:t>
            </w:r>
            <w:r w:rsidR="004C6B9D" w:rsidRPr="00365CE8">
              <w:rPr>
                <w:rFonts w:ascii="Times New Roman" w:hAnsi="Times New Roman" w:cs="Times New Roman"/>
                <w:sz w:val="28"/>
                <w:szCs w:val="28"/>
                <w:u w:val="single"/>
              </w:rPr>
              <w:t>е.н</w:t>
            </w:r>
            <w:proofErr w:type="spellEnd"/>
            <w:r w:rsidR="004C6B9D" w:rsidRPr="00365CE8">
              <w:rPr>
                <w:rFonts w:ascii="Times New Roman" w:hAnsi="Times New Roman" w:cs="Times New Roman"/>
                <w:sz w:val="28"/>
                <w:szCs w:val="28"/>
                <w:u w:val="single"/>
              </w:rPr>
              <w:t>., професор Бочарова Ю.Г</w:t>
            </w:r>
            <w:r w:rsidR="007F0C09" w:rsidRPr="00365CE8">
              <w:rPr>
                <w:rFonts w:ascii="Times New Roman" w:eastAsia="Calibri" w:hAnsi="Times New Roman" w:cs="Times New Roman"/>
                <w:sz w:val="28"/>
                <w:szCs w:val="28"/>
                <w:u w:val="single"/>
              </w:rPr>
              <w:t>.</w:t>
            </w:r>
          </w:p>
          <w:p w14:paraId="2B9D170D" w14:textId="77777777" w:rsidR="007F0C09" w:rsidRPr="00365CE8" w:rsidRDefault="007F0C09" w:rsidP="0028541E">
            <w:pPr>
              <w:pStyle w:val="21"/>
              <w:spacing w:after="0" w:line="240" w:lineRule="auto"/>
              <w:rPr>
                <w:rFonts w:ascii="Times New Roman" w:hAnsi="Times New Roman"/>
                <w:sz w:val="28"/>
                <w:szCs w:val="28"/>
                <w:vertAlign w:val="superscript"/>
                <w:lang w:val="uk-UA"/>
              </w:rPr>
            </w:pPr>
            <w:r w:rsidRPr="00365CE8">
              <w:rPr>
                <w:rFonts w:ascii="Times New Roman" w:hAnsi="Times New Roman"/>
                <w:sz w:val="28"/>
                <w:szCs w:val="28"/>
                <w:vertAlign w:val="superscript"/>
                <w:lang w:val="uk-UA"/>
              </w:rPr>
              <w:t xml:space="preserve">   (посада, науковий ступінь, вчене звання, прізвище та ініціали)</w:t>
            </w:r>
          </w:p>
        </w:tc>
        <w:tc>
          <w:tcPr>
            <w:tcW w:w="1685" w:type="dxa"/>
            <w:gridSpan w:val="2"/>
            <w:shd w:val="clear" w:color="auto" w:fill="auto"/>
            <w:hideMark/>
          </w:tcPr>
          <w:p w14:paraId="448A1BDF" w14:textId="77777777" w:rsidR="007F0C09" w:rsidRPr="00365CE8" w:rsidRDefault="007F0C09" w:rsidP="0028541E">
            <w:pPr>
              <w:suppressAutoHyphens/>
              <w:spacing w:after="0" w:line="240" w:lineRule="auto"/>
              <w:jc w:val="center"/>
              <w:rPr>
                <w:rFonts w:ascii="Times New Roman" w:hAnsi="Times New Roman" w:cs="Times New Roman"/>
                <w:sz w:val="28"/>
                <w:szCs w:val="28"/>
              </w:rPr>
            </w:pPr>
          </w:p>
          <w:p w14:paraId="015C252A" w14:textId="77777777" w:rsidR="007F0C09" w:rsidRPr="00365CE8" w:rsidRDefault="007F0C09" w:rsidP="0028541E">
            <w:pPr>
              <w:suppressAutoHyphens/>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_________</w:t>
            </w:r>
          </w:p>
          <w:p w14:paraId="470A65FE" w14:textId="77777777" w:rsidR="007F0C09" w:rsidRPr="00365CE8" w:rsidRDefault="007F0C09" w:rsidP="0028541E">
            <w:pPr>
              <w:suppressAutoHyphens/>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vertAlign w:val="superscript"/>
              </w:rPr>
              <w:t>(підпис)</w:t>
            </w:r>
          </w:p>
        </w:tc>
      </w:tr>
      <w:tr w:rsidR="007F0C09" w:rsidRPr="00365CE8" w14:paraId="076E8883" w14:textId="77777777" w:rsidTr="00F12A84">
        <w:trPr>
          <w:gridAfter w:val="1"/>
          <w:wAfter w:w="7" w:type="dxa"/>
        </w:trPr>
        <w:tc>
          <w:tcPr>
            <w:tcW w:w="4854" w:type="dxa"/>
            <w:gridSpan w:val="2"/>
            <w:shd w:val="clear" w:color="auto" w:fill="auto"/>
          </w:tcPr>
          <w:p w14:paraId="5B065929" w14:textId="77777777" w:rsidR="007F0C09" w:rsidRPr="00365CE8" w:rsidRDefault="007F0C09" w:rsidP="0028541E">
            <w:pPr>
              <w:spacing w:after="0" w:line="240" w:lineRule="auto"/>
              <w:rPr>
                <w:rFonts w:ascii="Times New Roman" w:hAnsi="Times New Roman" w:cs="Times New Roman"/>
                <w:sz w:val="28"/>
                <w:szCs w:val="28"/>
              </w:rPr>
            </w:pPr>
          </w:p>
        </w:tc>
        <w:tc>
          <w:tcPr>
            <w:tcW w:w="4691" w:type="dxa"/>
            <w:gridSpan w:val="2"/>
            <w:shd w:val="clear" w:color="auto" w:fill="auto"/>
          </w:tcPr>
          <w:p w14:paraId="1D975C21" w14:textId="77777777" w:rsidR="007F0C09" w:rsidRPr="00365CE8" w:rsidRDefault="007F0C09" w:rsidP="0028541E">
            <w:pPr>
              <w:autoSpaceDE w:val="0"/>
              <w:autoSpaceDN w:val="0"/>
              <w:adjustRightInd w:val="0"/>
              <w:spacing w:after="0" w:line="240" w:lineRule="auto"/>
              <w:jc w:val="both"/>
              <w:rPr>
                <w:rFonts w:ascii="Times New Roman" w:hAnsi="Times New Roman" w:cs="Times New Roman"/>
                <w:sz w:val="28"/>
                <w:szCs w:val="28"/>
              </w:rPr>
            </w:pPr>
          </w:p>
          <w:p w14:paraId="52B6167C" w14:textId="77777777" w:rsidR="007F0C09" w:rsidRPr="00365CE8" w:rsidRDefault="007F0C09" w:rsidP="0028541E">
            <w:pPr>
              <w:autoSpaceDE w:val="0"/>
              <w:autoSpaceDN w:val="0"/>
              <w:adjustRightInd w:val="0"/>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Засвідчую, що у кваліфікаційній роботі немає запозичень з праць інших авторів без відповідних посилань</w:t>
            </w:r>
          </w:p>
          <w:p w14:paraId="2E896B3D" w14:textId="77777777" w:rsidR="007F0C09" w:rsidRPr="00365CE8" w:rsidRDefault="007F0C09" w:rsidP="0028541E">
            <w:pPr>
              <w:autoSpaceDE w:val="0"/>
              <w:autoSpaceDN w:val="0"/>
              <w:adjustRightInd w:val="0"/>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Здобувач вищої освіти  ___________</w:t>
            </w:r>
          </w:p>
          <w:p w14:paraId="68E3D4FB" w14:textId="77777777" w:rsidR="007F0C09" w:rsidRPr="00365CE8" w:rsidRDefault="007F0C09" w:rsidP="0028541E">
            <w:pPr>
              <w:autoSpaceDE w:val="0"/>
              <w:autoSpaceDN w:val="0"/>
              <w:adjustRightInd w:val="0"/>
              <w:spacing w:after="0" w:line="240" w:lineRule="auto"/>
              <w:jc w:val="both"/>
              <w:rPr>
                <w:rFonts w:ascii="Times New Roman" w:hAnsi="Times New Roman" w:cs="Times New Roman"/>
                <w:sz w:val="28"/>
                <w:szCs w:val="28"/>
                <w:vertAlign w:val="superscript"/>
              </w:rPr>
            </w:pPr>
            <w:r w:rsidRPr="00365CE8">
              <w:rPr>
                <w:rFonts w:ascii="Times New Roman" w:hAnsi="Times New Roman" w:cs="Times New Roman"/>
                <w:sz w:val="28"/>
                <w:szCs w:val="28"/>
                <w:vertAlign w:val="superscript"/>
              </w:rPr>
              <w:t xml:space="preserve">                                                                          (підпис)</w:t>
            </w:r>
          </w:p>
        </w:tc>
      </w:tr>
    </w:tbl>
    <w:p w14:paraId="3677CF93" w14:textId="77777777" w:rsidR="007F0C09" w:rsidRPr="00365CE8" w:rsidRDefault="007F0C09" w:rsidP="0028541E">
      <w:pPr>
        <w:widowControl w:val="0"/>
        <w:suppressAutoHyphens/>
        <w:spacing w:after="0" w:line="240" w:lineRule="auto"/>
        <w:jc w:val="center"/>
        <w:rPr>
          <w:rFonts w:ascii="Times New Roman" w:eastAsia="Times New Roman" w:hAnsi="Times New Roman" w:cs="Times New Roman"/>
          <w:sz w:val="28"/>
          <w:szCs w:val="28"/>
          <w:lang w:eastAsia="ru-RU"/>
        </w:rPr>
      </w:pPr>
    </w:p>
    <w:p w14:paraId="2D6306E8" w14:textId="77777777" w:rsidR="007F0C09" w:rsidRPr="00365CE8" w:rsidRDefault="007F0C09" w:rsidP="0028541E">
      <w:pPr>
        <w:widowControl w:val="0"/>
        <w:suppressAutoHyphens/>
        <w:spacing w:after="0" w:line="240" w:lineRule="auto"/>
        <w:jc w:val="center"/>
        <w:rPr>
          <w:rFonts w:ascii="Times New Roman" w:eastAsia="Times New Roman" w:hAnsi="Times New Roman" w:cs="Times New Roman"/>
          <w:sz w:val="28"/>
          <w:szCs w:val="28"/>
          <w:lang w:eastAsia="ru-RU"/>
        </w:rPr>
      </w:pPr>
    </w:p>
    <w:p w14:paraId="4B0CB737" w14:textId="77777777" w:rsidR="007F0C09" w:rsidRPr="00365CE8" w:rsidRDefault="007F0C09" w:rsidP="0028541E">
      <w:pPr>
        <w:widowControl w:val="0"/>
        <w:suppressAutoHyphens/>
        <w:spacing w:after="0" w:line="240" w:lineRule="auto"/>
        <w:jc w:val="center"/>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Кривий Ріг</w:t>
      </w:r>
    </w:p>
    <w:p w14:paraId="41DD9704" w14:textId="77777777" w:rsidR="007F0C09" w:rsidRPr="00365CE8" w:rsidRDefault="007F0C09" w:rsidP="0028541E">
      <w:pPr>
        <w:keepNext/>
        <w:spacing w:after="0" w:line="240" w:lineRule="auto"/>
        <w:jc w:val="center"/>
        <w:outlineLvl w:val="3"/>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2023</w:t>
      </w:r>
    </w:p>
    <w:p w14:paraId="6CF74CB7" w14:textId="77777777" w:rsidR="007F0C09" w:rsidRPr="00365CE8" w:rsidRDefault="007F0C09" w:rsidP="0028541E">
      <w:pPr>
        <w:spacing w:after="0" w:line="240" w:lineRule="auto"/>
        <w:jc w:val="center"/>
        <w:rPr>
          <w:rFonts w:ascii="Times New Roman" w:eastAsia="Times New Roman" w:hAnsi="Times New Roman" w:cs="Times New Roman"/>
          <w:sz w:val="28"/>
          <w:szCs w:val="28"/>
          <w:lang w:eastAsia="ru-RU"/>
        </w:rPr>
      </w:pPr>
      <w:r w:rsidRPr="00365CE8">
        <w:rPr>
          <w:rFonts w:ascii="Times New Roman" w:hAnsi="Times New Roman" w:cs="Times New Roman"/>
          <w:b/>
          <w:sz w:val="28"/>
          <w:szCs w:val="28"/>
        </w:rPr>
        <w:br w:type="page"/>
      </w:r>
      <w:r w:rsidRPr="00365CE8">
        <w:rPr>
          <w:rFonts w:ascii="Times New Roman" w:eastAsia="Times New Roman" w:hAnsi="Times New Roman" w:cs="Times New Roman"/>
          <w:sz w:val="28"/>
          <w:szCs w:val="28"/>
          <w:lang w:eastAsia="ru-RU"/>
        </w:rPr>
        <w:lastRenderedPageBreak/>
        <w:t>МІНІСТЕРСТВО ОСВІТИ І НАУКИ УКРАЇНИ</w:t>
      </w:r>
    </w:p>
    <w:p w14:paraId="664707A2" w14:textId="77777777" w:rsidR="007F0C09" w:rsidRPr="00365CE8" w:rsidRDefault="00F12A84"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hAnsi="Times New Roman" w:cs="Times New Roman"/>
          <w:noProof/>
          <w:lang w:eastAsia="uk-UA"/>
        </w:rPr>
        <mc:AlternateContent>
          <mc:Choice Requires="wps">
            <w:drawing>
              <wp:anchor distT="0" distB="0" distL="114300" distR="114300" simplePos="0" relativeHeight="251668480" behindDoc="0" locked="0" layoutInCell="1" allowOverlap="1" wp14:anchorId="7AE12429" wp14:editId="2A352C20">
                <wp:simplePos x="0" y="0"/>
                <wp:positionH relativeFrom="column">
                  <wp:posOffset>5620385</wp:posOffset>
                </wp:positionH>
                <wp:positionV relativeFrom="paragraph">
                  <wp:posOffset>-861695</wp:posOffset>
                </wp:positionV>
                <wp:extent cx="605790" cy="593725"/>
                <wp:effectExtent l="0" t="0" r="3810" b="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AE842" id="Прямоугольник 20" o:spid="_x0000_s1026" style="position:absolute;margin-left:442.55pt;margin-top:-67.85pt;width:47.7pt;height:4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iowkQIAAOw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" fillcolor="window" stroked="f" strokeweight="2pt"/>
            </w:pict>
          </mc:Fallback>
        </mc:AlternateContent>
      </w:r>
      <w:r w:rsidR="007F0C09" w:rsidRPr="00365CE8">
        <w:rPr>
          <w:rFonts w:ascii="Times New Roman" w:eastAsia="Times New Roman" w:hAnsi="Times New Roman" w:cs="Times New Roman"/>
          <w:sz w:val="28"/>
          <w:szCs w:val="28"/>
          <w:lang w:eastAsia="ru-RU"/>
        </w:rPr>
        <w:t>ДОНЕЦЬКИЙ НАЦІОНАЛЬНИЙ УНІВЕРСИТЕТ ЕКОНОМІКИ І ТОРГІВЛІ</w:t>
      </w:r>
    </w:p>
    <w:p w14:paraId="4DFCB522" w14:textId="77777777" w:rsidR="007F0C09" w:rsidRPr="00365CE8" w:rsidRDefault="007F0C09" w:rsidP="0028541E">
      <w:pPr>
        <w:spacing w:after="0" w:line="240" w:lineRule="auto"/>
        <w:jc w:val="center"/>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 xml:space="preserve">імені Михайла </w:t>
      </w:r>
      <w:proofErr w:type="spellStart"/>
      <w:r w:rsidRPr="00365CE8">
        <w:rPr>
          <w:rFonts w:ascii="Times New Roman" w:eastAsia="Times New Roman" w:hAnsi="Times New Roman" w:cs="Times New Roman"/>
          <w:spacing w:val="2"/>
          <w:sz w:val="28"/>
          <w:szCs w:val="28"/>
          <w:lang w:eastAsia="ru-RU"/>
        </w:rPr>
        <w:t>Туган</w:t>
      </w:r>
      <w:proofErr w:type="spellEnd"/>
      <w:r w:rsidRPr="00365CE8">
        <w:rPr>
          <w:rFonts w:ascii="Times New Roman" w:eastAsia="Times New Roman" w:hAnsi="Times New Roman" w:cs="Times New Roman"/>
          <w:sz w:val="28"/>
          <w:szCs w:val="28"/>
          <w:lang w:eastAsia="ru-RU"/>
        </w:rPr>
        <w:t>-Барановського</w:t>
      </w:r>
    </w:p>
    <w:p w14:paraId="72BDA6AD"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p>
    <w:p w14:paraId="70B02611" w14:textId="77777777" w:rsidR="007F0C09" w:rsidRPr="00365CE8" w:rsidRDefault="007F0C09" w:rsidP="0028541E">
      <w:pPr>
        <w:spacing w:after="0" w:line="240" w:lineRule="auto"/>
        <w:ind w:left="567"/>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 xml:space="preserve">Навчально-науковий інститут </w:t>
      </w:r>
      <w:proofErr w:type="spellStart"/>
      <w:r w:rsidRPr="00365CE8">
        <w:rPr>
          <w:rFonts w:ascii="Times New Roman" w:hAnsi="Times New Roman" w:cs="Times New Roman"/>
          <w:sz w:val="28"/>
          <w:szCs w:val="28"/>
          <w:u w:val="single"/>
        </w:rPr>
        <w:t>ресторанно</w:t>
      </w:r>
      <w:proofErr w:type="spellEnd"/>
      <w:r w:rsidRPr="00365CE8">
        <w:rPr>
          <w:rFonts w:ascii="Times New Roman" w:hAnsi="Times New Roman" w:cs="Times New Roman"/>
          <w:sz w:val="28"/>
          <w:szCs w:val="28"/>
          <w:u w:val="single"/>
        </w:rPr>
        <w:t>-готельного бізнесу та туризму   я</w:t>
      </w:r>
    </w:p>
    <w:p w14:paraId="30B157AF" w14:textId="77777777" w:rsidR="007F0C09" w:rsidRPr="00365CE8" w:rsidRDefault="007F0C09" w:rsidP="0028541E">
      <w:pPr>
        <w:tabs>
          <w:tab w:val="left" w:pos="3402"/>
          <w:tab w:val="left" w:pos="4111"/>
        </w:tabs>
        <w:spacing w:after="0" w:line="240" w:lineRule="auto"/>
        <w:ind w:left="567"/>
        <w:rPr>
          <w:rFonts w:ascii="Times New Roman" w:eastAsia="Times New Roman" w:hAnsi="Times New Roman" w:cs="Times New Roman"/>
          <w:sz w:val="28"/>
          <w:szCs w:val="28"/>
          <w:u w:val="single"/>
          <w:lang w:eastAsia="ru-RU"/>
        </w:rPr>
      </w:pPr>
      <w:r w:rsidRPr="00365CE8">
        <w:rPr>
          <w:rFonts w:ascii="Times New Roman" w:eastAsia="Times New Roman" w:hAnsi="Times New Roman" w:cs="Times New Roman"/>
          <w:sz w:val="28"/>
          <w:szCs w:val="28"/>
          <w:lang w:eastAsia="ru-RU"/>
        </w:rPr>
        <w:t xml:space="preserve">Кафедра    </w:t>
      </w:r>
      <w:r w:rsidRPr="00365CE8">
        <w:rPr>
          <w:rFonts w:ascii="Times New Roman" w:eastAsia="Times New Roman" w:hAnsi="Times New Roman" w:cs="Times New Roman"/>
          <w:sz w:val="28"/>
          <w:szCs w:val="28"/>
          <w:u w:val="single"/>
          <w:lang w:eastAsia="ru-RU"/>
        </w:rPr>
        <w:t xml:space="preserve">       </w:t>
      </w:r>
      <w:r w:rsidRPr="00365CE8">
        <w:rPr>
          <w:rFonts w:ascii="Times New Roman" w:hAnsi="Times New Roman" w:cs="Times New Roman"/>
          <w:sz w:val="28"/>
          <w:szCs w:val="28"/>
          <w:u w:val="single"/>
        </w:rPr>
        <w:t>економіки та туризму                                                                у</w:t>
      </w:r>
      <w:r w:rsidRPr="00365CE8">
        <w:rPr>
          <w:rFonts w:ascii="Times New Roman" w:hAnsi="Times New Roman" w:cs="Times New Roman"/>
          <w:sz w:val="28"/>
          <w:szCs w:val="28"/>
        </w:rPr>
        <w:t xml:space="preserve">    </w:t>
      </w:r>
      <w:r w:rsidRPr="00365CE8">
        <w:rPr>
          <w:rFonts w:ascii="Times New Roman" w:hAnsi="Times New Roman" w:cs="Times New Roman"/>
          <w:sz w:val="28"/>
          <w:szCs w:val="28"/>
          <w:u w:val="single"/>
        </w:rPr>
        <w:t xml:space="preserve"> </w:t>
      </w:r>
    </w:p>
    <w:p w14:paraId="1E7D91A5" w14:textId="77777777" w:rsidR="007F0C09" w:rsidRPr="00365CE8" w:rsidRDefault="007F0C09" w:rsidP="0028541E">
      <w:pPr>
        <w:spacing w:after="0" w:line="240" w:lineRule="auto"/>
        <w:ind w:left="567"/>
        <w:rPr>
          <w:rFonts w:ascii="Times New Roman" w:hAnsi="Times New Roman" w:cs="Times New Roman"/>
          <w:sz w:val="28"/>
          <w:szCs w:val="28"/>
        </w:rPr>
      </w:pPr>
      <w:r w:rsidRPr="00365CE8">
        <w:rPr>
          <w:rFonts w:ascii="Times New Roman" w:hAnsi="Times New Roman" w:cs="Times New Roman"/>
          <w:sz w:val="28"/>
          <w:szCs w:val="28"/>
        </w:rPr>
        <w:t xml:space="preserve">Форма здобуття вищої освіти </w:t>
      </w:r>
      <w:r w:rsidR="004C6B9D" w:rsidRPr="00365CE8">
        <w:rPr>
          <w:rFonts w:ascii="Times New Roman" w:hAnsi="Times New Roman" w:cs="Times New Roman"/>
          <w:sz w:val="28"/>
          <w:szCs w:val="28"/>
          <w:u w:val="single"/>
        </w:rPr>
        <w:t xml:space="preserve">        денна</w:t>
      </w:r>
      <w:r w:rsidRPr="00365CE8">
        <w:rPr>
          <w:rFonts w:ascii="Times New Roman" w:hAnsi="Times New Roman" w:cs="Times New Roman"/>
          <w:sz w:val="28"/>
          <w:szCs w:val="28"/>
          <w:u w:val="single"/>
        </w:rPr>
        <w:t xml:space="preserve">                                                        у  </w:t>
      </w:r>
    </w:p>
    <w:p w14:paraId="52491BD7" w14:textId="77777777" w:rsidR="007F0C09" w:rsidRPr="00365CE8" w:rsidRDefault="007F0C09" w:rsidP="0028541E">
      <w:pPr>
        <w:spacing w:after="0" w:line="240" w:lineRule="auto"/>
        <w:ind w:left="567"/>
        <w:rPr>
          <w:rFonts w:ascii="Times New Roman" w:hAnsi="Times New Roman" w:cs="Times New Roman"/>
          <w:sz w:val="28"/>
          <w:szCs w:val="28"/>
        </w:rPr>
      </w:pPr>
      <w:r w:rsidRPr="00365CE8">
        <w:rPr>
          <w:rFonts w:ascii="Times New Roman" w:hAnsi="Times New Roman" w:cs="Times New Roman"/>
          <w:sz w:val="28"/>
          <w:szCs w:val="28"/>
        </w:rPr>
        <w:t xml:space="preserve">Ступінь </w:t>
      </w:r>
      <w:r w:rsidRPr="00365CE8">
        <w:rPr>
          <w:rFonts w:ascii="Times New Roman" w:hAnsi="Times New Roman" w:cs="Times New Roman"/>
          <w:sz w:val="28"/>
          <w:szCs w:val="28"/>
          <w:u w:val="single"/>
        </w:rPr>
        <w:t xml:space="preserve">          магістр                                                                                          </w:t>
      </w:r>
      <w:r w:rsidRPr="00365CE8">
        <w:rPr>
          <w:rFonts w:ascii="Times New Roman" w:hAnsi="Times New Roman" w:cs="Times New Roman"/>
          <w:sz w:val="28"/>
          <w:szCs w:val="28"/>
        </w:rPr>
        <w:t>у</w:t>
      </w:r>
    </w:p>
    <w:p w14:paraId="59BDEA16" w14:textId="77777777" w:rsidR="007F0C09" w:rsidRPr="00365CE8" w:rsidRDefault="007F0C09" w:rsidP="0028541E">
      <w:pPr>
        <w:spacing w:after="0" w:line="240" w:lineRule="auto"/>
        <w:ind w:left="567"/>
        <w:rPr>
          <w:rFonts w:ascii="Times New Roman" w:hAnsi="Times New Roman" w:cs="Times New Roman"/>
          <w:sz w:val="28"/>
          <w:szCs w:val="28"/>
        </w:rPr>
      </w:pPr>
      <w:r w:rsidRPr="00365CE8">
        <w:rPr>
          <w:rFonts w:ascii="Times New Roman" w:hAnsi="Times New Roman" w:cs="Times New Roman"/>
          <w:sz w:val="28"/>
          <w:szCs w:val="28"/>
        </w:rPr>
        <w:t xml:space="preserve">Галузь знань </w:t>
      </w:r>
      <w:r w:rsidRPr="00365CE8">
        <w:rPr>
          <w:rFonts w:ascii="Times New Roman" w:hAnsi="Times New Roman" w:cs="Times New Roman"/>
          <w:sz w:val="28"/>
          <w:szCs w:val="28"/>
          <w:u w:val="single"/>
        </w:rPr>
        <w:t xml:space="preserve">       Соціальні та поведінкові науки                                            и</w:t>
      </w:r>
    </w:p>
    <w:p w14:paraId="65CA25CE" w14:textId="77777777" w:rsidR="007F0C09" w:rsidRPr="00365CE8" w:rsidRDefault="007F0C09" w:rsidP="0028541E">
      <w:pPr>
        <w:spacing w:after="0" w:line="240" w:lineRule="auto"/>
        <w:ind w:left="567"/>
        <w:rPr>
          <w:rFonts w:ascii="Times New Roman" w:hAnsi="Times New Roman" w:cs="Times New Roman"/>
          <w:sz w:val="28"/>
          <w:szCs w:val="28"/>
        </w:rPr>
      </w:pPr>
      <w:r w:rsidRPr="00365CE8">
        <w:rPr>
          <w:rFonts w:ascii="Times New Roman" w:hAnsi="Times New Roman" w:cs="Times New Roman"/>
          <w:bCs/>
          <w:sz w:val="28"/>
          <w:szCs w:val="28"/>
        </w:rPr>
        <w:t xml:space="preserve">Освітня програма  </w:t>
      </w:r>
      <w:r w:rsidRPr="00365CE8">
        <w:rPr>
          <w:rFonts w:ascii="Times New Roman" w:hAnsi="Times New Roman" w:cs="Times New Roman"/>
          <w:bCs/>
          <w:sz w:val="28"/>
          <w:szCs w:val="28"/>
          <w:u w:val="single"/>
        </w:rPr>
        <w:t xml:space="preserve">     «</w:t>
      </w:r>
      <w:r w:rsidR="00F12A84" w:rsidRPr="00365CE8">
        <w:rPr>
          <w:rFonts w:ascii="Times New Roman" w:hAnsi="Times New Roman" w:cs="Times New Roman"/>
          <w:sz w:val="28"/>
          <w:szCs w:val="28"/>
          <w:u w:val="single"/>
        </w:rPr>
        <w:t>Економіка трансформацій</w:t>
      </w:r>
      <w:r w:rsidRPr="00365CE8">
        <w:rPr>
          <w:rFonts w:ascii="Times New Roman" w:hAnsi="Times New Roman" w:cs="Times New Roman"/>
          <w:bCs/>
          <w:sz w:val="28"/>
          <w:szCs w:val="28"/>
          <w:u w:val="single"/>
        </w:rPr>
        <w:t>»                     »</w:t>
      </w:r>
    </w:p>
    <w:p w14:paraId="17194B8C" w14:textId="77777777" w:rsidR="007F0C09" w:rsidRPr="00365CE8" w:rsidRDefault="007F0C09" w:rsidP="0028541E">
      <w:pPr>
        <w:spacing w:after="0" w:line="240" w:lineRule="auto"/>
        <w:jc w:val="center"/>
        <w:rPr>
          <w:rFonts w:ascii="Times New Roman" w:hAnsi="Times New Roman" w:cs="Times New Roman"/>
          <w:sz w:val="28"/>
          <w:szCs w:val="28"/>
        </w:rPr>
      </w:pPr>
    </w:p>
    <w:p w14:paraId="4073E911" w14:textId="77777777" w:rsidR="007F0C09" w:rsidRPr="00365CE8" w:rsidRDefault="007F0C09" w:rsidP="0028541E">
      <w:pPr>
        <w:spacing w:after="0" w:line="240" w:lineRule="auto"/>
        <w:jc w:val="center"/>
        <w:rPr>
          <w:rFonts w:ascii="Times New Roman" w:eastAsia="Times New Roman" w:hAnsi="Times New Roman" w:cs="Times New Roman"/>
          <w:sz w:val="28"/>
          <w:szCs w:val="28"/>
          <w:lang w:eastAsia="ru-RU"/>
        </w:rPr>
      </w:pPr>
    </w:p>
    <w:tbl>
      <w:tblPr>
        <w:tblW w:w="0" w:type="auto"/>
        <w:tblInd w:w="4390" w:type="dxa"/>
        <w:tblLook w:val="04A0" w:firstRow="1" w:lastRow="0" w:firstColumn="1" w:lastColumn="0" w:noHBand="0" w:noVBand="1"/>
      </w:tblPr>
      <w:tblGrid>
        <w:gridCol w:w="4955"/>
      </w:tblGrid>
      <w:tr w:rsidR="007F0C09" w:rsidRPr="00365CE8" w14:paraId="160A4CD8" w14:textId="77777777" w:rsidTr="00F12A84">
        <w:trPr>
          <w:trHeight w:val="1534"/>
        </w:trPr>
        <w:tc>
          <w:tcPr>
            <w:tcW w:w="4955" w:type="dxa"/>
            <w:hideMark/>
          </w:tcPr>
          <w:p w14:paraId="39C0F549" w14:textId="77777777" w:rsidR="007F0C09" w:rsidRPr="00365CE8" w:rsidRDefault="007F0C09" w:rsidP="0028541E">
            <w:pPr>
              <w:tabs>
                <w:tab w:val="left" w:pos="4111"/>
              </w:tabs>
              <w:spacing w:after="0" w:line="240" w:lineRule="auto"/>
              <w:jc w:val="both"/>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ЗАТВЕРДЖУЮ:</w:t>
            </w:r>
          </w:p>
          <w:p w14:paraId="3A8ECFA1" w14:textId="77777777" w:rsidR="007F0C09" w:rsidRPr="00365CE8" w:rsidRDefault="007F0C09" w:rsidP="0028541E">
            <w:pPr>
              <w:tabs>
                <w:tab w:val="left" w:pos="4111"/>
              </w:tabs>
              <w:spacing w:after="0" w:line="240" w:lineRule="auto"/>
              <w:jc w:val="both"/>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 xml:space="preserve">Гарант освітньої програми </w:t>
            </w:r>
          </w:p>
          <w:p w14:paraId="13C032BA" w14:textId="77777777" w:rsidR="007F0C09" w:rsidRPr="00365CE8" w:rsidRDefault="007F0C09" w:rsidP="0028541E">
            <w:pPr>
              <w:tabs>
                <w:tab w:val="left" w:pos="4111"/>
              </w:tabs>
              <w:spacing w:after="0" w:line="240" w:lineRule="auto"/>
              <w:jc w:val="both"/>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 xml:space="preserve">___________________ </w:t>
            </w:r>
            <w:r w:rsidR="00060CF7" w:rsidRPr="00365CE8">
              <w:rPr>
                <w:rFonts w:ascii="Times New Roman" w:eastAsia="Calibri" w:hAnsi="Times New Roman" w:cs="Times New Roman"/>
                <w:sz w:val="28"/>
                <w:szCs w:val="28"/>
                <w:u w:val="single"/>
              </w:rPr>
              <w:t>Федотова Т. А.</w:t>
            </w:r>
          </w:p>
          <w:p w14:paraId="4F66B7E0" w14:textId="77777777" w:rsidR="007F0C09" w:rsidRPr="00365CE8" w:rsidRDefault="007F0C09" w:rsidP="0028541E">
            <w:pPr>
              <w:tabs>
                <w:tab w:val="left" w:pos="4111"/>
              </w:tabs>
              <w:spacing w:after="0" w:line="240" w:lineRule="auto"/>
              <w:jc w:val="both"/>
              <w:rPr>
                <w:rFonts w:ascii="Times New Roman" w:eastAsia="Times New Roman" w:hAnsi="Times New Roman" w:cs="Times New Roman"/>
                <w:sz w:val="28"/>
                <w:szCs w:val="28"/>
                <w:vertAlign w:val="superscript"/>
              </w:rPr>
            </w:pPr>
            <w:r w:rsidRPr="00365CE8">
              <w:rPr>
                <w:rFonts w:ascii="Times New Roman" w:eastAsia="Times New Roman" w:hAnsi="Times New Roman" w:cs="Times New Roman"/>
                <w:sz w:val="28"/>
                <w:szCs w:val="28"/>
                <w:vertAlign w:val="superscript"/>
              </w:rPr>
              <w:t xml:space="preserve">                             підпис</w:t>
            </w:r>
          </w:p>
          <w:p w14:paraId="32A8EFF5" w14:textId="77777777" w:rsidR="007F0C09" w:rsidRPr="00365CE8" w:rsidRDefault="007F0C09" w:rsidP="0028541E">
            <w:pPr>
              <w:spacing w:after="0" w:line="240" w:lineRule="auto"/>
              <w:jc w:val="both"/>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«_____» ________________ 2023 р.</w:t>
            </w:r>
          </w:p>
        </w:tc>
      </w:tr>
    </w:tbl>
    <w:p w14:paraId="2432AED8" w14:textId="77777777" w:rsidR="007F0C09" w:rsidRPr="00365CE8" w:rsidRDefault="007F0C09" w:rsidP="0028541E">
      <w:pPr>
        <w:keepNext/>
        <w:autoSpaceDE w:val="0"/>
        <w:autoSpaceDN w:val="0"/>
        <w:adjustRightInd w:val="0"/>
        <w:spacing w:after="0" w:line="240" w:lineRule="auto"/>
        <w:jc w:val="right"/>
        <w:rPr>
          <w:rFonts w:ascii="Times New Roman" w:eastAsia="Times New Roman" w:hAnsi="Times New Roman" w:cs="Times New Roman"/>
          <w:sz w:val="28"/>
          <w:szCs w:val="28"/>
          <w:lang w:eastAsia="ru-RU"/>
        </w:rPr>
      </w:pPr>
    </w:p>
    <w:p w14:paraId="476A6D09" w14:textId="77777777" w:rsidR="007F0C09" w:rsidRPr="00365CE8" w:rsidRDefault="007F0C09" w:rsidP="0028541E">
      <w:pPr>
        <w:keepNext/>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14:paraId="58E5C092" w14:textId="77777777" w:rsidR="007F0C09" w:rsidRPr="00365CE8" w:rsidRDefault="007F0C09" w:rsidP="0028541E">
      <w:pPr>
        <w:spacing w:after="0" w:line="240" w:lineRule="auto"/>
        <w:jc w:val="center"/>
        <w:outlineLvl w:val="0"/>
        <w:rPr>
          <w:rFonts w:ascii="Times New Roman" w:eastAsia="Times New Roman" w:hAnsi="Times New Roman" w:cs="Times New Roman"/>
          <w:b/>
          <w:bCs/>
          <w:caps/>
          <w:kern w:val="36"/>
          <w:sz w:val="28"/>
          <w:szCs w:val="48"/>
          <w:lang w:eastAsia="ru-RU"/>
        </w:rPr>
      </w:pPr>
      <w:r w:rsidRPr="00365CE8">
        <w:rPr>
          <w:rFonts w:ascii="Times New Roman" w:eastAsia="Times New Roman" w:hAnsi="Times New Roman" w:cs="Times New Roman"/>
          <w:b/>
          <w:bCs/>
          <w:caps/>
          <w:kern w:val="36"/>
          <w:sz w:val="28"/>
          <w:szCs w:val="48"/>
          <w:lang w:eastAsia="ru-RU"/>
        </w:rPr>
        <w:t>Завдання</w:t>
      </w:r>
    </w:p>
    <w:p w14:paraId="011973C4" w14:textId="77777777" w:rsidR="007F0C09" w:rsidRPr="00365CE8" w:rsidRDefault="007F0C09" w:rsidP="0028541E">
      <w:pPr>
        <w:keepNext/>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365CE8">
        <w:rPr>
          <w:rFonts w:ascii="Times New Roman" w:eastAsia="Times New Roman" w:hAnsi="Times New Roman" w:cs="Times New Roman"/>
          <w:b/>
          <w:bCs/>
          <w:sz w:val="28"/>
          <w:szCs w:val="28"/>
          <w:lang w:eastAsia="ru-RU"/>
        </w:rPr>
        <w:t>НА КВАЛІФІКАЦІЙНУ РОБОТУ ЗДОБУВАЧУ ВИЩОЇ ОСВІТИ</w:t>
      </w:r>
    </w:p>
    <w:p w14:paraId="487AC7B2" w14:textId="77777777" w:rsidR="007F0C09" w:rsidRPr="00365CE8" w:rsidRDefault="00BC569E" w:rsidP="0028541E">
      <w:pPr>
        <w:autoSpaceDE w:val="0"/>
        <w:autoSpaceDN w:val="0"/>
        <w:adjustRightInd w:val="0"/>
        <w:spacing w:after="0" w:line="240" w:lineRule="auto"/>
        <w:jc w:val="center"/>
        <w:rPr>
          <w:rFonts w:ascii="Times New Roman" w:eastAsia="Times New Roman" w:hAnsi="Times New Roman" w:cs="Times New Roman"/>
          <w:sz w:val="28"/>
          <w:szCs w:val="28"/>
          <w:u w:val="single"/>
          <w:lang w:eastAsia="ru-RU"/>
        </w:rPr>
      </w:pPr>
      <w:proofErr w:type="spellStart"/>
      <w:r w:rsidRPr="00365CE8">
        <w:rPr>
          <w:rFonts w:ascii="Times New Roman" w:eastAsia="Calibri" w:hAnsi="Times New Roman" w:cs="Times New Roman"/>
          <w:sz w:val="28"/>
          <w:szCs w:val="28"/>
          <w:u w:val="single"/>
        </w:rPr>
        <w:t>Підгального</w:t>
      </w:r>
      <w:proofErr w:type="spellEnd"/>
      <w:r w:rsidRPr="00365CE8">
        <w:rPr>
          <w:rFonts w:ascii="Times New Roman" w:eastAsia="Calibri" w:hAnsi="Times New Roman" w:cs="Times New Roman"/>
          <w:sz w:val="28"/>
          <w:szCs w:val="28"/>
          <w:u w:val="single"/>
        </w:rPr>
        <w:t xml:space="preserve"> Артура Сергійовича</w:t>
      </w:r>
    </w:p>
    <w:p w14:paraId="294BD8ED"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szCs w:val="28"/>
          <w:vertAlign w:val="superscript"/>
          <w:lang w:eastAsia="ru-RU"/>
        </w:rPr>
      </w:pPr>
      <w:r w:rsidRPr="00365CE8">
        <w:rPr>
          <w:rFonts w:ascii="Times New Roman" w:eastAsia="Times New Roman" w:hAnsi="Times New Roman" w:cs="Times New Roman"/>
          <w:sz w:val="28"/>
          <w:szCs w:val="28"/>
          <w:vertAlign w:val="superscript"/>
          <w:lang w:eastAsia="ru-RU"/>
        </w:rPr>
        <w:t>прізвище, ім’я, по батькові</w:t>
      </w:r>
    </w:p>
    <w:p w14:paraId="5DCDB232"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b/>
          <w:sz w:val="28"/>
          <w:szCs w:val="28"/>
          <w:u w:val="single"/>
          <w:vertAlign w:val="superscript"/>
          <w:lang w:eastAsia="ru-RU"/>
        </w:rPr>
      </w:pPr>
    </w:p>
    <w:p w14:paraId="373A078C" w14:textId="77777777" w:rsidR="007F0C09" w:rsidRPr="00365CE8" w:rsidRDefault="007F0C09" w:rsidP="0028541E">
      <w:pPr>
        <w:spacing w:after="0" w:line="240" w:lineRule="auto"/>
        <w:contextualSpacing/>
        <w:jc w:val="both"/>
        <w:rPr>
          <w:rFonts w:ascii="Times New Roman" w:eastAsia="Times New Roman" w:hAnsi="Times New Roman" w:cs="Times New Roman"/>
          <w:b/>
          <w:sz w:val="28"/>
          <w:lang w:eastAsia="ru-RU"/>
        </w:rPr>
      </w:pPr>
      <w:r w:rsidRPr="00365CE8">
        <w:rPr>
          <w:rFonts w:ascii="Times New Roman" w:eastAsia="Times New Roman" w:hAnsi="Times New Roman" w:cs="Times New Roman"/>
          <w:sz w:val="28"/>
          <w:szCs w:val="28"/>
          <w:lang w:eastAsia="ru-RU"/>
        </w:rPr>
        <w:t xml:space="preserve">1.Тема роботи: </w:t>
      </w:r>
      <w:r w:rsidRPr="00365CE8">
        <w:rPr>
          <w:rFonts w:ascii="Times New Roman" w:hAnsi="Times New Roman" w:cs="Times New Roman"/>
          <w:sz w:val="28"/>
          <w:szCs w:val="28"/>
          <w:u w:val="single"/>
        </w:rPr>
        <w:t>«</w:t>
      </w:r>
      <w:r w:rsidR="00BC569E" w:rsidRPr="00365CE8">
        <w:rPr>
          <w:rFonts w:ascii="Times New Roman" w:hAnsi="Times New Roman" w:cs="Times New Roman"/>
          <w:sz w:val="28"/>
          <w:szCs w:val="28"/>
          <w:u w:val="single"/>
        </w:rPr>
        <w:t>Інвестиційна привабливість країни: оцінка та напрями підвищення»</w:t>
      </w:r>
    </w:p>
    <w:p w14:paraId="48406877"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 xml:space="preserve">Керівник роботи </w:t>
      </w:r>
      <w:proofErr w:type="spellStart"/>
      <w:r w:rsidR="004C6B9D" w:rsidRPr="00365CE8">
        <w:rPr>
          <w:rFonts w:ascii="Times New Roman" w:eastAsia="Times New Roman" w:hAnsi="Times New Roman" w:cs="Times New Roman"/>
          <w:sz w:val="28"/>
          <w:szCs w:val="28"/>
          <w:u w:val="single"/>
          <w:lang w:eastAsia="ru-RU"/>
        </w:rPr>
        <w:t>д.е.н</w:t>
      </w:r>
      <w:proofErr w:type="spellEnd"/>
      <w:r w:rsidR="004C6B9D" w:rsidRPr="00365CE8">
        <w:rPr>
          <w:rFonts w:ascii="Times New Roman" w:eastAsia="Times New Roman" w:hAnsi="Times New Roman" w:cs="Times New Roman"/>
          <w:sz w:val="28"/>
          <w:szCs w:val="28"/>
          <w:u w:val="single"/>
          <w:lang w:eastAsia="ru-RU"/>
        </w:rPr>
        <w:t>., професор, професор кафедри економіки та  туризму Бочарова Ю. Г.</w:t>
      </w:r>
      <w:r w:rsidRPr="00365CE8">
        <w:rPr>
          <w:rFonts w:ascii="Times New Roman" w:eastAsia="Times New Roman" w:hAnsi="Times New Roman" w:cs="Times New Roman"/>
          <w:sz w:val="28"/>
          <w:szCs w:val="28"/>
          <w:lang w:eastAsia="ru-RU"/>
        </w:rPr>
        <w:t xml:space="preserve"> </w:t>
      </w:r>
    </w:p>
    <w:p w14:paraId="69F47891"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szCs w:val="28"/>
          <w:vertAlign w:val="superscript"/>
          <w:lang w:eastAsia="ru-RU"/>
        </w:rPr>
      </w:pPr>
      <w:r w:rsidRPr="00365CE8">
        <w:rPr>
          <w:rFonts w:ascii="Times New Roman" w:eastAsia="Times New Roman" w:hAnsi="Times New Roman" w:cs="Times New Roman"/>
          <w:sz w:val="28"/>
          <w:szCs w:val="28"/>
          <w:vertAlign w:val="superscript"/>
          <w:lang w:eastAsia="ru-RU"/>
        </w:rPr>
        <w:t xml:space="preserve">                                                                             науковий ступінь, вчене звання, прізвище, ініціали</w:t>
      </w:r>
    </w:p>
    <w:p w14:paraId="62C23C9F" w14:textId="77777777" w:rsidR="007F0C09" w:rsidRPr="00365CE8" w:rsidRDefault="007F0C09" w:rsidP="0028541E">
      <w:pPr>
        <w:tabs>
          <w:tab w:val="left" w:pos="9781"/>
        </w:tabs>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 xml:space="preserve">Затверджені наказом </w:t>
      </w:r>
      <w:proofErr w:type="spellStart"/>
      <w:r w:rsidRPr="00365CE8">
        <w:rPr>
          <w:rFonts w:ascii="Times New Roman" w:eastAsia="Times New Roman" w:hAnsi="Times New Roman" w:cs="Times New Roman"/>
          <w:sz w:val="28"/>
          <w:szCs w:val="28"/>
          <w:lang w:eastAsia="ru-RU"/>
        </w:rPr>
        <w:t>ДонНУЕТ</w:t>
      </w:r>
      <w:proofErr w:type="spellEnd"/>
      <w:r w:rsidRPr="00365CE8">
        <w:rPr>
          <w:rFonts w:ascii="Times New Roman" w:eastAsia="Times New Roman" w:hAnsi="Times New Roman" w:cs="Times New Roman"/>
          <w:sz w:val="28"/>
          <w:szCs w:val="28"/>
          <w:lang w:eastAsia="ru-RU"/>
        </w:rPr>
        <w:t xml:space="preserve"> імені Михайла </w:t>
      </w:r>
      <w:proofErr w:type="spellStart"/>
      <w:r w:rsidRPr="00365CE8">
        <w:rPr>
          <w:rFonts w:ascii="Times New Roman" w:eastAsia="Times New Roman" w:hAnsi="Times New Roman" w:cs="Times New Roman"/>
          <w:sz w:val="28"/>
          <w:szCs w:val="28"/>
          <w:lang w:eastAsia="ru-RU"/>
        </w:rPr>
        <w:t>Туган</w:t>
      </w:r>
      <w:proofErr w:type="spellEnd"/>
      <w:r w:rsidRPr="00365CE8">
        <w:rPr>
          <w:rFonts w:ascii="Times New Roman" w:eastAsia="Times New Roman" w:hAnsi="Times New Roman" w:cs="Times New Roman"/>
          <w:sz w:val="28"/>
          <w:szCs w:val="28"/>
          <w:lang w:eastAsia="ru-RU"/>
        </w:rPr>
        <w:t xml:space="preserve">-Барановського </w:t>
      </w:r>
    </w:p>
    <w:p w14:paraId="509C99D2" w14:textId="77777777" w:rsidR="007F0C09" w:rsidRPr="00365CE8" w:rsidRDefault="007F0C09" w:rsidP="0028541E">
      <w:pPr>
        <w:tabs>
          <w:tab w:val="left" w:pos="9781"/>
        </w:tabs>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 xml:space="preserve">від  </w:t>
      </w:r>
      <w:r w:rsidRPr="00365CE8">
        <w:rPr>
          <w:rFonts w:ascii="Times New Roman" w:eastAsia="Times New Roman" w:hAnsi="Times New Roman" w:cs="Times New Roman"/>
          <w:sz w:val="28"/>
          <w:szCs w:val="28"/>
          <w:u w:val="single"/>
          <w:lang w:eastAsia="ru-RU"/>
        </w:rPr>
        <w:t>“16” травня 2023 р. № 9</w:t>
      </w:r>
      <w:r w:rsidR="004C6B9D" w:rsidRPr="00365CE8">
        <w:rPr>
          <w:rFonts w:ascii="Times New Roman" w:eastAsia="Times New Roman" w:hAnsi="Times New Roman" w:cs="Times New Roman"/>
          <w:sz w:val="28"/>
          <w:szCs w:val="28"/>
          <w:u w:val="single"/>
          <w:lang w:eastAsia="ru-RU"/>
        </w:rPr>
        <w:t>1</w:t>
      </w:r>
      <w:r w:rsidRPr="00365CE8">
        <w:rPr>
          <w:rFonts w:ascii="Times New Roman" w:eastAsia="Times New Roman" w:hAnsi="Times New Roman" w:cs="Times New Roman"/>
          <w:sz w:val="28"/>
          <w:szCs w:val="28"/>
          <w:u w:val="single"/>
          <w:lang w:eastAsia="ru-RU"/>
        </w:rPr>
        <w:t>-с</w:t>
      </w:r>
    </w:p>
    <w:p w14:paraId="22C5E302"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2. Строк подання здобувачем ВО роботи “_____” ________________  2023 р.</w:t>
      </w:r>
    </w:p>
    <w:p w14:paraId="1CA295C7"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 xml:space="preserve">3. Вихідні дані до роботи: </w:t>
      </w:r>
      <w:r w:rsidRPr="00365CE8">
        <w:rPr>
          <w:rFonts w:ascii="Times New Roman" w:eastAsia="Times New Roman" w:hAnsi="Times New Roman" w:cs="Times New Roman"/>
          <w:sz w:val="28"/>
          <w:szCs w:val="28"/>
          <w:u w:val="single"/>
          <w:lang w:eastAsia="ru-RU"/>
        </w:rPr>
        <w:t>наукові статті, тези доповідей на наукові конференції, наукова література, офіційна статистика міжнародних організацій та країн                                                                                                                          н</w:t>
      </w:r>
    </w:p>
    <w:p w14:paraId="2458A2CD"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p>
    <w:p w14:paraId="776A4C17"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4. Зміст (</w:t>
      </w:r>
      <w:r w:rsidRPr="00365CE8">
        <w:rPr>
          <w:rFonts w:ascii="Times New Roman" w:eastAsia="Times New Roman" w:hAnsi="Times New Roman" w:cs="Times New Roman"/>
          <w:sz w:val="24"/>
          <w:szCs w:val="24"/>
          <w:lang w:eastAsia="ru-RU"/>
        </w:rPr>
        <w:t>перелік питань, які потрібно розробити</w:t>
      </w:r>
      <w:r w:rsidRPr="00365CE8">
        <w:rPr>
          <w:rFonts w:ascii="Times New Roman" w:eastAsia="Times New Roman" w:hAnsi="Times New Roman" w:cs="Times New Roman"/>
          <w:sz w:val="28"/>
          <w:szCs w:val="28"/>
          <w:lang w:eastAsia="ru-RU"/>
        </w:rPr>
        <w:t>):</w:t>
      </w:r>
    </w:p>
    <w:p w14:paraId="43F60258"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Вступ</w:t>
      </w:r>
    </w:p>
    <w:p w14:paraId="4FC4CAB3"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Основна частина</w:t>
      </w:r>
    </w:p>
    <w:p w14:paraId="4BA121F9"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Висновки та рекомендації</w:t>
      </w:r>
    </w:p>
    <w:p w14:paraId="7FA12B57"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Список використаних джерел</w:t>
      </w:r>
    </w:p>
    <w:p w14:paraId="6508994C"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Додатки</w:t>
      </w:r>
    </w:p>
    <w:p w14:paraId="15EDD9A5"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p>
    <w:p w14:paraId="60C34B08" w14:textId="77777777" w:rsidR="007F0C09" w:rsidRPr="00365CE8" w:rsidRDefault="00F12A84" w:rsidP="0028541E">
      <w:pPr>
        <w:spacing w:after="0" w:line="240" w:lineRule="auto"/>
        <w:jc w:val="both"/>
        <w:rPr>
          <w:rFonts w:ascii="Times New Roman" w:hAnsi="Times New Roman" w:cs="Times New Roman"/>
          <w:sz w:val="24"/>
          <w:szCs w:val="24"/>
        </w:rPr>
      </w:pPr>
      <w:r w:rsidRPr="00365CE8">
        <w:rPr>
          <w:rFonts w:ascii="Times New Roman" w:hAnsi="Times New Roman" w:cs="Times New Roman"/>
          <w:noProof/>
          <w:lang w:eastAsia="uk-UA"/>
        </w:rPr>
        <mc:AlternateContent>
          <mc:Choice Requires="wps">
            <w:drawing>
              <wp:anchor distT="0" distB="0" distL="114300" distR="114300" simplePos="0" relativeHeight="251660288" behindDoc="0" locked="0" layoutInCell="1" allowOverlap="1" wp14:anchorId="54EAA044" wp14:editId="481325F9">
                <wp:simplePos x="0" y="0"/>
                <wp:positionH relativeFrom="column">
                  <wp:posOffset>5727804</wp:posOffset>
                </wp:positionH>
                <wp:positionV relativeFrom="paragraph">
                  <wp:posOffset>-386251</wp:posOffset>
                </wp:positionV>
                <wp:extent cx="605790" cy="593725"/>
                <wp:effectExtent l="0" t="0" r="3810" b="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AF93A0" id="Прямоугольник 7" o:spid="_x0000_s1026" style="position:absolute;margin-left:451pt;margin-top:-30.4pt;width:47.7pt;height:4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" fillcolor="window" stroked="f" strokeweight="2pt"/>
            </w:pict>
          </mc:Fallback>
        </mc:AlternateContent>
      </w:r>
      <w:r w:rsidR="007F0C09" w:rsidRPr="00365CE8">
        <w:rPr>
          <w:rFonts w:ascii="Times New Roman" w:eastAsia="Times New Roman" w:hAnsi="Times New Roman" w:cs="Times New Roman"/>
          <w:sz w:val="28"/>
          <w:szCs w:val="28"/>
          <w:lang w:eastAsia="ru-RU"/>
        </w:rPr>
        <w:t xml:space="preserve">5. Перелік графічного матеріалу </w:t>
      </w:r>
      <w:r w:rsidR="007F0C09" w:rsidRPr="00365CE8">
        <w:rPr>
          <w:rFonts w:ascii="Times New Roman" w:hAnsi="Times New Roman" w:cs="Times New Roman"/>
          <w:sz w:val="28"/>
        </w:rPr>
        <w:t>(</w:t>
      </w:r>
      <w:r w:rsidR="007F0C09" w:rsidRPr="00365CE8">
        <w:rPr>
          <w:rFonts w:ascii="Times New Roman" w:hAnsi="Times New Roman" w:cs="Times New Roman"/>
          <w:sz w:val="24"/>
          <w:szCs w:val="24"/>
        </w:rPr>
        <w:t>з точним зазначенням обов’язкових креслень).</w:t>
      </w:r>
    </w:p>
    <w:p w14:paraId="3F2265AC"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hAnsi="Times New Roman" w:cs="Times New Roman"/>
          <w:sz w:val="28"/>
          <w:szCs w:val="28"/>
        </w:rPr>
        <w:t>Рисунків 2</w:t>
      </w:r>
      <w:r w:rsidR="004719E5" w:rsidRPr="00365CE8">
        <w:rPr>
          <w:rFonts w:ascii="Times New Roman" w:hAnsi="Times New Roman" w:cs="Times New Roman"/>
          <w:sz w:val="28"/>
          <w:szCs w:val="28"/>
        </w:rPr>
        <w:t>1</w:t>
      </w:r>
      <w:r w:rsidRPr="00365CE8">
        <w:rPr>
          <w:rFonts w:ascii="Times New Roman" w:hAnsi="Times New Roman" w:cs="Times New Roman"/>
          <w:sz w:val="28"/>
          <w:szCs w:val="28"/>
        </w:rPr>
        <w:t xml:space="preserve">, таблиць </w:t>
      </w:r>
      <w:r w:rsidR="004719E5" w:rsidRPr="00365CE8">
        <w:rPr>
          <w:rFonts w:ascii="Times New Roman" w:hAnsi="Times New Roman" w:cs="Times New Roman"/>
          <w:sz w:val="28"/>
          <w:szCs w:val="28"/>
        </w:rPr>
        <w:t>1</w:t>
      </w:r>
    </w:p>
    <w:p w14:paraId="25A34350" w14:textId="77777777" w:rsidR="007F0C09" w:rsidRPr="00365CE8" w:rsidRDefault="007F0C09" w:rsidP="0028541E">
      <w:pPr>
        <w:pBdr>
          <w:top w:val="single" w:sz="12" w:space="1" w:color="auto"/>
          <w:bottom w:val="single" w:sz="12" w:space="1" w:color="auto"/>
        </w:pBdr>
        <w:spacing w:after="0" w:line="240" w:lineRule="auto"/>
        <w:jc w:val="both"/>
        <w:rPr>
          <w:rFonts w:ascii="Times New Roman" w:eastAsia="Times New Roman" w:hAnsi="Times New Roman" w:cs="Times New Roman"/>
          <w:sz w:val="28"/>
          <w:szCs w:val="28"/>
          <w:lang w:eastAsia="ru-RU"/>
        </w:rPr>
      </w:pPr>
    </w:p>
    <w:p w14:paraId="035A2703"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__________________________________________________________________</w:t>
      </w:r>
    </w:p>
    <w:p w14:paraId="3497547D" w14:textId="77777777" w:rsidR="007F0C09" w:rsidRPr="00365CE8" w:rsidRDefault="007F0C09" w:rsidP="0028541E">
      <w:pPr>
        <w:spacing w:after="0" w:line="240" w:lineRule="auto"/>
        <w:jc w:val="both"/>
        <w:rPr>
          <w:rFonts w:ascii="Times New Roman" w:hAnsi="Times New Roman" w:cs="Times New Roman"/>
          <w:sz w:val="24"/>
          <w:szCs w:val="24"/>
        </w:rPr>
      </w:pPr>
    </w:p>
    <w:p w14:paraId="2C91144E"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hAnsi="Times New Roman" w:cs="Times New Roman"/>
          <w:sz w:val="24"/>
          <w:szCs w:val="24"/>
        </w:rPr>
        <w:t>(За потреби зазначаються П.І. по Б. консультантів за розділами роботи</w:t>
      </w:r>
      <w:r w:rsidRPr="00365CE8">
        <w:rPr>
          <w:rFonts w:ascii="Times New Roman" w:hAnsi="Times New Roman" w:cs="Times New Roman"/>
          <w:sz w:val="28"/>
        </w:rPr>
        <w:t>)</w:t>
      </w:r>
    </w:p>
    <w:p w14:paraId="54C4C675"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p>
    <w:p w14:paraId="1BFE5358"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r w:rsidRPr="00365CE8">
        <w:rPr>
          <w:rFonts w:ascii="Times New Roman" w:eastAsia="Times New Roman" w:hAnsi="Times New Roman" w:cs="Times New Roman"/>
          <w:sz w:val="28"/>
          <w:szCs w:val="28"/>
          <w:lang w:eastAsia="ru-RU"/>
        </w:rPr>
        <w:t>6. Дата видачі завдання: «______» _____________ 20____ р.</w:t>
      </w:r>
    </w:p>
    <w:p w14:paraId="06D00C79" w14:textId="77777777" w:rsidR="007F0C09" w:rsidRPr="00365CE8" w:rsidRDefault="007F0C09" w:rsidP="0028541E">
      <w:pPr>
        <w:spacing w:after="0" w:line="240" w:lineRule="auto"/>
        <w:jc w:val="both"/>
        <w:rPr>
          <w:rFonts w:ascii="Times New Roman" w:eastAsia="Times New Roman" w:hAnsi="Times New Roman" w:cs="Times New Roman"/>
          <w:sz w:val="28"/>
          <w:szCs w:val="28"/>
          <w:lang w:eastAsia="ru-RU"/>
        </w:rPr>
      </w:pPr>
    </w:p>
    <w:p w14:paraId="767B2597" w14:textId="77777777" w:rsidR="007F0C09" w:rsidRPr="00365CE8" w:rsidRDefault="007F0C09" w:rsidP="0028541E">
      <w:pPr>
        <w:spacing w:after="0" w:line="240" w:lineRule="auto"/>
        <w:jc w:val="both"/>
        <w:rPr>
          <w:rFonts w:ascii="Times New Roman" w:eastAsia="Times New Roman" w:hAnsi="Times New Roman" w:cs="Times New Roman"/>
          <w:sz w:val="28"/>
          <w:szCs w:val="28"/>
          <w:u w:val="single"/>
          <w:lang w:eastAsia="ru-RU"/>
        </w:rPr>
      </w:pPr>
      <w:r w:rsidRPr="00365CE8">
        <w:rPr>
          <w:rFonts w:ascii="Times New Roman" w:eastAsia="Times New Roman" w:hAnsi="Times New Roman" w:cs="Times New Roman"/>
          <w:sz w:val="28"/>
          <w:szCs w:val="28"/>
          <w:lang w:eastAsia="ru-RU"/>
        </w:rPr>
        <w:t>7. Календарний план</w:t>
      </w:r>
    </w:p>
    <w:tbl>
      <w:tblPr>
        <w:tblW w:w="9528" w:type="dxa"/>
        <w:tblInd w:w="108" w:type="dxa"/>
        <w:tblLayout w:type="fixed"/>
        <w:tblLook w:val="04A0" w:firstRow="1" w:lastRow="0" w:firstColumn="1" w:lastColumn="0" w:noHBand="0" w:noVBand="1"/>
      </w:tblPr>
      <w:tblGrid>
        <w:gridCol w:w="567"/>
        <w:gridCol w:w="4708"/>
        <w:gridCol w:w="2552"/>
        <w:gridCol w:w="1701"/>
      </w:tblGrid>
      <w:tr w:rsidR="007F0C09" w:rsidRPr="00365CE8" w14:paraId="052DC3E3" w14:textId="77777777" w:rsidTr="00F12A84">
        <w:trPr>
          <w:trHeight w:val="460"/>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5E156D"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w:t>
            </w:r>
          </w:p>
          <w:p w14:paraId="4D68F54D"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r w:rsidRPr="00365CE8">
              <w:rPr>
                <w:rFonts w:ascii="Times New Roman" w:eastAsia="Times New Roman" w:hAnsi="Times New Roman" w:cs="Times New Roman"/>
                <w:sz w:val="28"/>
                <w:szCs w:val="28"/>
              </w:rPr>
              <w:t>з/п</w:t>
            </w:r>
          </w:p>
        </w:tc>
        <w:tc>
          <w:tcPr>
            <w:tcW w:w="4708"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976ACE"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r w:rsidRPr="00365CE8">
              <w:rPr>
                <w:rFonts w:ascii="Times New Roman" w:eastAsia="Times New Roman" w:hAnsi="Times New Roman" w:cs="Times New Roman"/>
                <w:sz w:val="28"/>
                <w:szCs w:val="28"/>
              </w:rPr>
              <w:t>Назва етапів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1E946E4"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r w:rsidRPr="00365CE8">
              <w:rPr>
                <w:rFonts w:ascii="Times New Roman" w:eastAsia="Times New Roman" w:hAnsi="Times New Roman" w:cs="Times New Roman"/>
                <w:sz w:val="28"/>
                <w:szCs w:val="28"/>
              </w:rPr>
              <w:t>Строк виконання етапів роботи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515B71" w14:textId="77777777" w:rsidR="007F0C09" w:rsidRPr="00365CE8" w:rsidRDefault="007F0C09" w:rsidP="0028541E">
            <w:pPr>
              <w:keepNext/>
              <w:autoSpaceDE w:val="0"/>
              <w:autoSpaceDN w:val="0"/>
              <w:adjustRightInd w:val="0"/>
              <w:spacing w:after="0" w:line="240" w:lineRule="auto"/>
              <w:jc w:val="center"/>
              <w:rPr>
                <w:rFonts w:ascii="Times New Roman" w:eastAsia="Times New Roman" w:hAnsi="Times New Roman" w:cs="Times New Roman"/>
                <w:sz w:val="28"/>
              </w:rPr>
            </w:pPr>
            <w:r w:rsidRPr="00365CE8">
              <w:rPr>
                <w:rFonts w:ascii="Times New Roman" w:eastAsia="Times New Roman" w:hAnsi="Times New Roman" w:cs="Times New Roman"/>
                <w:sz w:val="28"/>
                <w:szCs w:val="28"/>
              </w:rPr>
              <w:t>Примітка</w:t>
            </w:r>
          </w:p>
        </w:tc>
      </w:tr>
      <w:tr w:rsidR="007F0C09" w:rsidRPr="00365CE8" w14:paraId="71A87B0F" w14:textId="77777777"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C09A08"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r w:rsidRPr="00365CE8">
              <w:rPr>
                <w:rFonts w:ascii="Times New Roman" w:eastAsia="Times New Roman" w:hAnsi="Times New Roman" w:cs="Times New Roman"/>
                <w:sz w:val="28"/>
                <w:szCs w:val="28"/>
              </w:rPr>
              <w:t>1</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42E1F215"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rPr>
            </w:pPr>
            <w:r w:rsidRPr="00365CE8">
              <w:rPr>
                <w:rFonts w:ascii="Times New Roman" w:eastAsia="Times New Roman" w:hAnsi="Times New Roman" w:cs="Times New Roman"/>
                <w:sz w:val="28"/>
              </w:rPr>
              <w:t>Підготовка теоретичної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10ECE9" w14:textId="77777777" w:rsidR="007F0C09" w:rsidRPr="00365CE8" w:rsidRDefault="007F0C09" w:rsidP="0028541E">
            <w:pPr>
              <w:spacing w:after="0" w:line="240" w:lineRule="auto"/>
              <w:jc w:val="center"/>
              <w:textAlignment w:val="baseline"/>
              <w:rPr>
                <w:rFonts w:ascii="Times New Roman" w:hAnsi="Times New Roman" w:cs="Times New Roman"/>
                <w:sz w:val="28"/>
                <w:szCs w:val="24"/>
                <w:lang w:eastAsia="ru-RU"/>
              </w:rPr>
            </w:pPr>
            <w:r w:rsidRPr="00365CE8">
              <w:rPr>
                <w:rFonts w:ascii="Times New Roman" w:hAnsi="Times New Roman" w:cs="Times New Roman"/>
                <w:sz w:val="28"/>
                <w:szCs w:val="24"/>
                <w:lang w:eastAsia="ru-RU"/>
              </w:rPr>
              <w:t>до 29.08.2023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315DAC51"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p>
        </w:tc>
      </w:tr>
      <w:tr w:rsidR="007F0C09" w:rsidRPr="00365CE8" w14:paraId="4FC90F1E" w14:textId="77777777" w:rsidTr="00F12A84">
        <w:trPr>
          <w:trHeight w:val="38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85F445"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r w:rsidRPr="00365CE8">
              <w:rPr>
                <w:rFonts w:ascii="Times New Roman" w:eastAsia="Times New Roman" w:hAnsi="Times New Roman" w:cs="Times New Roman"/>
                <w:sz w:val="28"/>
                <w:szCs w:val="28"/>
              </w:rPr>
              <w:t>2</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18F8E4CB"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rPr>
            </w:pPr>
            <w:r w:rsidRPr="00365CE8">
              <w:rPr>
                <w:rFonts w:ascii="Times New Roman" w:eastAsia="Times New Roman" w:hAnsi="Times New Roman" w:cs="Times New Roman"/>
                <w:sz w:val="28"/>
              </w:rPr>
              <w:t>Підготовка аналітичної складової основної частини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6DFE8A" w14:textId="77777777" w:rsidR="007F0C09" w:rsidRPr="00365CE8" w:rsidRDefault="007F0C09" w:rsidP="0028541E">
            <w:pPr>
              <w:spacing w:after="0" w:line="240" w:lineRule="auto"/>
              <w:jc w:val="center"/>
              <w:textAlignment w:val="baseline"/>
              <w:rPr>
                <w:rFonts w:ascii="Times New Roman" w:hAnsi="Times New Roman" w:cs="Times New Roman"/>
                <w:sz w:val="28"/>
                <w:szCs w:val="24"/>
                <w:lang w:eastAsia="ru-RU"/>
              </w:rPr>
            </w:pPr>
            <w:r w:rsidRPr="00365CE8">
              <w:rPr>
                <w:rFonts w:ascii="Times New Roman" w:hAnsi="Times New Roman" w:cs="Times New Roman"/>
                <w:sz w:val="28"/>
                <w:szCs w:val="24"/>
                <w:lang w:eastAsia="ru-RU"/>
              </w:rPr>
              <w:t>до 18.09.2023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59CAAFD9"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p>
        </w:tc>
      </w:tr>
      <w:tr w:rsidR="007F0C09" w:rsidRPr="00365CE8" w14:paraId="3C4F8B41" w14:textId="77777777"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55D254"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r w:rsidRPr="00365CE8">
              <w:rPr>
                <w:rFonts w:ascii="Times New Roman" w:eastAsia="Times New Roman" w:hAnsi="Times New Roman" w:cs="Times New Roman"/>
                <w:sz w:val="28"/>
                <w:szCs w:val="28"/>
              </w:rPr>
              <w:t>3</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4A72D7F3"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rPr>
            </w:pPr>
            <w:r w:rsidRPr="00365CE8">
              <w:rPr>
                <w:rFonts w:ascii="Times New Roman" w:eastAsia="Times New Roman" w:hAnsi="Times New Roman" w:cs="Times New Roman"/>
                <w:sz w:val="28"/>
              </w:rPr>
              <w:t>Підготовка висновків та рекомендацій</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373CC" w14:textId="77777777" w:rsidR="007F0C09" w:rsidRPr="00365CE8" w:rsidRDefault="007F0C09" w:rsidP="0028541E">
            <w:pPr>
              <w:spacing w:after="0" w:line="240" w:lineRule="auto"/>
              <w:jc w:val="center"/>
              <w:textAlignment w:val="baseline"/>
              <w:rPr>
                <w:rFonts w:ascii="Times New Roman" w:hAnsi="Times New Roman" w:cs="Times New Roman"/>
                <w:sz w:val="28"/>
                <w:szCs w:val="24"/>
                <w:lang w:eastAsia="ru-RU"/>
              </w:rPr>
            </w:pPr>
            <w:r w:rsidRPr="00365CE8">
              <w:rPr>
                <w:rFonts w:ascii="Times New Roman" w:hAnsi="Times New Roman" w:cs="Times New Roman"/>
                <w:sz w:val="28"/>
                <w:szCs w:val="24"/>
                <w:lang w:eastAsia="ru-RU"/>
              </w:rPr>
              <w:t>до 09.10.2023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50E2FE0"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p>
        </w:tc>
      </w:tr>
      <w:tr w:rsidR="007F0C09" w:rsidRPr="00365CE8" w14:paraId="10288304" w14:textId="77777777"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9DFF39"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4</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125519E8"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rPr>
            </w:pPr>
            <w:r w:rsidRPr="00365CE8">
              <w:rPr>
                <w:rFonts w:ascii="Times New Roman" w:eastAsia="Times New Roman" w:hAnsi="Times New Roman" w:cs="Times New Roman"/>
                <w:sz w:val="28"/>
              </w:rPr>
              <w:t>Підготовка та оформлення вступу, списку використаних джерел та інших складових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CF97D8" w14:textId="77777777" w:rsidR="007F0C09" w:rsidRPr="00365CE8" w:rsidRDefault="007F0C09" w:rsidP="0028541E">
            <w:pPr>
              <w:spacing w:after="0" w:line="240" w:lineRule="auto"/>
              <w:jc w:val="center"/>
              <w:textAlignment w:val="baseline"/>
              <w:rPr>
                <w:rFonts w:ascii="Times New Roman" w:hAnsi="Times New Roman" w:cs="Times New Roman"/>
                <w:sz w:val="28"/>
                <w:szCs w:val="24"/>
                <w:lang w:eastAsia="ru-RU"/>
              </w:rPr>
            </w:pPr>
            <w:r w:rsidRPr="00365CE8">
              <w:rPr>
                <w:rFonts w:ascii="Times New Roman" w:hAnsi="Times New Roman" w:cs="Times New Roman"/>
                <w:sz w:val="28"/>
                <w:szCs w:val="24"/>
                <w:lang w:eastAsia="ru-RU"/>
              </w:rPr>
              <w:t>до 30.10.2023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68012D02"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p>
        </w:tc>
      </w:tr>
      <w:tr w:rsidR="007F0C09" w:rsidRPr="00365CE8" w14:paraId="06BCF9D5" w14:textId="77777777" w:rsidTr="00F12A84">
        <w:trPr>
          <w:trHeight w:val="414"/>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36E965"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5</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3EA4C9B1"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rPr>
            </w:pPr>
            <w:r w:rsidRPr="00365CE8">
              <w:rPr>
                <w:rFonts w:ascii="Times New Roman" w:eastAsia="Times New Roman" w:hAnsi="Times New Roman" w:cs="Times New Roman"/>
                <w:sz w:val="28"/>
              </w:rPr>
              <w:t>Отримання відгуку від керівника</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DA6AD5" w14:textId="77777777" w:rsidR="007F0C09" w:rsidRPr="00365CE8" w:rsidRDefault="007F0C09" w:rsidP="0028541E">
            <w:pPr>
              <w:spacing w:after="0" w:line="240" w:lineRule="auto"/>
              <w:jc w:val="center"/>
              <w:textAlignment w:val="baseline"/>
              <w:rPr>
                <w:rFonts w:ascii="Times New Roman" w:hAnsi="Times New Roman" w:cs="Times New Roman"/>
                <w:sz w:val="28"/>
                <w:szCs w:val="24"/>
                <w:lang w:eastAsia="ru-RU"/>
              </w:rPr>
            </w:pPr>
            <w:r w:rsidRPr="00365CE8">
              <w:rPr>
                <w:rFonts w:ascii="Times New Roman" w:hAnsi="Times New Roman" w:cs="Times New Roman"/>
                <w:sz w:val="28"/>
                <w:szCs w:val="24"/>
                <w:lang w:eastAsia="ru-RU"/>
              </w:rPr>
              <w:t>до 13.11.2023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20415DEC"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p>
        </w:tc>
      </w:tr>
      <w:tr w:rsidR="007F0C09" w:rsidRPr="00365CE8" w14:paraId="29B7EB84" w14:textId="77777777"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C924B7"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6</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31924D22"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rPr>
            </w:pPr>
            <w:r w:rsidRPr="00365CE8">
              <w:rPr>
                <w:rFonts w:ascii="Times New Roman" w:eastAsia="Times New Roman" w:hAnsi="Times New Roman" w:cs="Times New Roman"/>
                <w:sz w:val="28"/>
              </w:rPr>
              <w:t>Подання на кафедру завершеної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A5E439" w14:textId="77777777" w:rsidR="007F0C09" w:rsidRPr="00365CE8" w:rsidRDefault="007F0C09" w:rsidP="0028541E">
            <w:pPr>
              <w:spacing w:after="0" w:line="240" w:lineRule="auto"/>
              <w:jc w:val="center"/>
              <w:textAlignment w:val="baseline"/>
              <w:rPr>
                <w:rFonts w:ascii="Times New Roman" w:hAnsi="Times New Roman" w:cs="Times New Roman"/>
                <w:sz w:val="28"/>
                <w:szCs w:val="24"/>
                <w:lang w:eastAsia="ru-RU"/>
              </w:rPr>
            </w:pPr>
            <w:r w:rsidRPr="00365CE8">
              <w:rPr>
                <w:rFonts w:ascii="Times New Roman" w:hAnsi="Times New Roman" w:cs="Times New Roman"/>
                <w:sz w:val="28"/>
                <w:szCs w:val="24"/>
                <w:lang w:eastAsia="ru-RU"/>
              </w:rPr>
              <w:t>до 27.11.2023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B31347F"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p>
        </w:tc>
      </w:tr>
      <w:tr w:rsidR="007F0C09" w:rsidRPr="00365CE8" w14:paraId="2BEEC594" w14:textId="77777777"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D2F8B4"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7</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2B9BCB63"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rPr>
            </w:pPr>
            <w:r w:rsidRPr="00365CE8">
              <w:rPr>
                <w:rFonts w:ascii="Times New Roman" w:eastAsia="Times New Roman" w:hAnsi="Times New Roman" w:cs="Times New Roman"/>
                <w:sz w:val="28"/>
              </w:rPr>
              <w:t>Проходження перевірки на академічний плагіат і нормо-контролю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D65F12" w14:textId="77777777" w:rsidR="007F0C09" w:rsidRPr="00365CE8" w:rsidRDefault="007F0C09" w:rsidP="0028541E">
            <w:pPr>
              <w:spacing w:after="0" w:line="240" w:lineRule="auto"/>
              <w:jc w:val="center"/>
              <w:textAlignment w:val="baseline"/>
              <w:rPr>
                <w:rFonts w:ascii="Times New Roman" w:hAnsi="Times New Roman" w:cs="Times New Roman"/>
                <w:sz w:val="28"/>
                <w:szCs w:val="24"/>
                <w:lang w:eastAsia="ru-RU"/>
              </w:rPr>
            </w:pPr>
            <w:r w:rsidRPr="00365CE8">
              <w:rPr>
                <w:rFonts w:ascii="Times New Roman" w:hAnsi="Times New Roman" w:cs="Times New Roman"/>
                <w:sz w:val="28"/>
                <w:szCs w:val="24"/>
                <w:lang w:eastAsia="ru-RU"/>
              </w:rPr>
              <w:t>до 0</w:t>
            </w:r>
            <w:r w:rsidR="00BC569E" w:rsidRPr="00365CE8">
              <w:rPr>
                <w:rFonts w:ascii="Times New Roman" w:hAnsi="Times New Roman" w:cs="Times New Roman"/>
                <w:sz w:val="28"/>
                <w:szCs w:val="24"/>
                <w:lang w:eastAsia="ru-RU"/>
              </w:rPr>
              <w:t>5</w:t>
            </w:r>
            <w:r w:rsidRPr="00365CE8">
              <w:rPr>
                <w:rFonts w:ascii="Times New Roman" w:hAnsi="Times New Roman" w:cs="Times New Roman"/>
                <w:sz w:val="28"/>
                <w:szCs w:val="24"/>
                <w:lang w:eastAsia="ru-RU"/>
              </w:rPr>
              <w:t>.12.2023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450A01AB"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p>
        </w:tc>
      </w:tr>
      <w:tr w:rsidR="007F0C09" w:rsidRPr="00365CE8" w14:paraId="674F74C0" w14:textId="77777777" w:rsidTr="00F12A84">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1E8B0C"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szCs w:val="28"/>
              </w:rPr>
            </w:pPr>
            <w:r w:rsidRPr="00365CE8">
              <w:rPr>
                <w:rFonts w:ascii="Times New Roman" w:eastAsia="Times New Roman" w:hAnsi="Times New Roman" w:cs="Times New Roman"/>
                <w:sz w:val="28"/>
                <w:szCs w:val="28"/>
              </w:rPr>
              <w:t>8</w:t>
            </w:r>
          </w:p>
        </w:tc>
        <w:tc>
          <w:tcPr>
            <w:tcW w:w="4708" w:type="dxa"/>
            <w:tcBorders>
              <w:top w:val="single" w:sz="4" w:space="0" w:color="000000"/>
              <w:left w:val="single" w:sz="4" w:space="0" w:color="000000"/>
              <w:bottom w:val="single" w:sz="4" w:space="0" w:color="000000"/>
              <w:right w:val="single" w:sz="4" w:space="0" w:color="000000"/>
            </w:tcBorders>
            <w:shd w:val="clear" w:color="auto" w:fill="FFFFFF"/>
            <w:hideMark/>
          </w:tcPr>
          <w:p w14:paraId="68C8FB63"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sz w:val="28"/>
              </w:rPr>
            </w:pPr>
            <w:r w:rsidRPr="00365CE8">
              <w:rPr>
                <w:rFonts w:ascii="Times New Roman" w:eastAsia="Times New Roman" w:hAnsi="Times New Roman" w:cs="Times New Roman"/>
                <w:sz w:val="28"/>
              </w:rPr>
              <w:t>Підготовка студента до захисту та захист кваліфікаційної роботи</w:t>
            </w:r>
          </w:p>
        </w:tc>
        <w:tc>
          <w:tcPr>
            <w:tcW w:w="25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60EF5F" w14:textId="77777777" w:rsidR="007F0C09" w:rsidRPr="00365CE8" w:rsidRDefault="00BC569E" w:rsidP="0028541E">
            <w:pPr>
              <w:spacing w:after="0" w:line="240" w:lineRule="auto"/>
              <w:jc w:val="center"/>
              <w:textAlignment w:val="baseline"/>
              <w:rPr>
                <w:rFonts w:ascii="Times New Roman" w:hAnsi="Times New Roman" w:cs="Times New Roman"/>
                <w:sz w:val="28"/>
                <w:szCs w:val="24"/>
                <w:lang w:eastAsia="ru-RU"/>
              </w:rPr>
            </w:pPr>
            <w:r w:rsidRPr="00365CE8">
              <w:rPr>
                <w:rFonts w:ascii="Times New Roman" w:hAnsi="Times New Roman" w:cs="Times New Roman"/>
                <w:sz w:val="28"/>
                <w:szCs w:val="24"/>
                <w:lang w:eastAsia="ru-RU"/>
              </w:rPr>
              <w:t>до 16</w:t>
            </w:r>
            <w:r w:rsidR="007F0C09" w:rsidRPr="00365CE8">
              <w:rPr>
                <w:rFonts w:ascii="Times New Roman" w:hAnsi="Times New Roman" w:cs="Times New Roman"/>
                <w:sz w:val="28"/>
                <w:szCs w:val="24"/>
                <w:lang w:eastAsia="ru-RU"/>
              </w:rPr>
              <w:t>.12.2023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Pr>
          <w:p w14:paraId="7ECBB0ED"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sz w:val="28"/>
              </w:rPr>
            </w:pPr>
          </w:p>
        </w:tc>
      </w:tr>
    </w:tbl>
    <w:p w14:paraId="6E3ECA7B" w14:textId="77777777" w:rsidR="007F0C09" w:rsidRPr="00365CE8" w:rsidRDefault="007F0C09" w:rsidP="0028541E">
      <w:pPr>
        <w:autoSpaceDE w:val="0"/>
        <w:autoSpaceDN w:val="0"/>
        <w:adjustRightInd w:val="0"/>
        <w:spacing w:after="0" w:line="240" w:lineRule="auto"/>
        <w:jc w:val="both"/>
        <w:rPr>
          <w:rFonts w:ascii="Times New Roman" w:eastAsia="Times New Roman" w:hAnsi="Times New Roman" w:cs="Times New Roman"/>
          <w:b/>
          <w:bCs/>
          <w:sz w:val="28"/>
          <w:szCs w:val="28"/>
          <w:lang w:eastAsia="ru-RU"/>
        </w:rPr>
      </w:pPr>
    </w:p>
    <w:p w14:paraId="79EABDA0" w14:textId="77777777" w:rsidR="007F0C09" w:rsidRPr="00365CE8" w:rsidRDefault="007F0C09" w:rsidP="0028541E">
      <w:pPr>
        <w:autoSpaceDE w:val="0"/>
        <w:autoSpaceDN w:val="0"/>
        <w:adjustRightInd w:val="0"/>
        <w:spacing w:after="0" w:line="240" w:lineRule="auto"/>
        <w:jc w:val="right"/>
        <w:rPr>
          <w:rFonts w:ascii="Times New Roman" w:eastAsia="Times New Roman" w:hAnsi="Times New Roman" w:cs="Times New Roman"/>
          <w:b/>
          <w:bCs/>
          <w:sz w:val="28"/>
          <w:szCs w:val="28"/>
          <w:lang w:eastAsia="ru-RU"/>
        </w:rPr>
      </w:pPr>
    </w:p>
    <w:p w14:paraId="3D79A786" w14:textId="77777777" w:rsidR="007F0C09" w:rsidRPr="00365CE8" w:rsidRDefault="007F0C09" w:rsidP="0028541E">
      <w:pPr>
        <w:spacing w:after="0" w:line="240" w:lineRule="auto"/>
        <w:ind w:left="1452"/>
        <w:jc w:val="right"/>
        <w:rPr>
          <w:rFonts w:ascii="Times New Roman" w:eastAsia="Times New Roman" w:hAnsi="Times New Roman" w:cs="Times New Roman"/>
          <w:bCs/>
          <w:sz w:val="28"/>
          <w:szCs w:val="28"/>
          <w:lang w:eastAsia="ru-RU"/>
        </w:rPr>
      </w:pPr>
      <w:r w:rsidRPr="00365CE8">
        <w:rPr>
          <w:rFonts w:ascii="Times New Roman" w:eastAsia="Times New Roman" w:hAnsi="Times New Roman" w:cs="Times New Roman"/>
          <w:bCs/>
          <w:sz w:val="28"/>
          <w:szCs w:val="28"/>
          <w:lang w:eastAsia="ru-RU"/>
        </w:rPr>
        <w:t>Здобувач ВО</w:t>
      </w:r>
      <w:r w:rsidRPr="00365CE8">
        <w:rPr>
          <w:rFonts w:ascii="Times New Roman" w:eastAsia="Times New Roman" w:hAnsi="Times New Roman" w:cs="Times New Roman"/>
          <w:bCs/>
          <w:sz w:val="24"/>
          <w:szCs w:val="24"/>
          <w:lang w:eastAsia="ru-RU"/>
        </w:rPr>
        <w:t xml:space="preserve">   ____________________________</w:t>
      </w:r>
      <w:r w:rsidRPr="00365CE8">
        <w:rPr>
          <w:rFonts w:ascii="Times New Roman" w:eastAsia="Times New Roman" w:hAnsi="Times New Roman" w:cs="Times New Roman"/>
          <w:bCs/>
          <w:sz w:val="28"/>
          <w:szCs w:val="28"/>
          <w:lang w:eastAsia="ru-RU"/>
        </w:rPr>
        <w:t xml:space="preserve">  </w:t>
      </w:r>
      <w:proofErr w:type="spellStart"/>
      <w:r w:rsidR="004C6B9D" w:rsidRPr="00365CE8">
        <w:rPr>
          <w:rFonts w:ascii="Times New Roman" w:eastAsia="Calibri" w:hAnsi="Times New Roman" w:cs="Times New Roman"/>
          <w:sz w:val="28"/>
          <w:szCs w:val="28"/>
        </w:rPr>
        <w:t>Підгальний</w:t>
      </w:r>
      <w:proofErr w:type="spellEnd"/>
      <w:r w:rsidR="004C6B9D" w:rsidRPr="00365CE8">
        <w:rPr>
          <w:rFonts w:ascii="Times New Roman" w:eastAsia="Calibri" w:hAnsi="Times New Roman" w:cs="Times New Roman"/>
          <w:sz w:val="28"/>
          <w:szCs w:val="28"/>
        </w:rPr>
        <w:t xml:space="preserve"> А</w:t>
      </w:r>
      <w:r w:rsidRPr="00365CE8">
        <w:rPr>
          <w:rFonts w:ascii="Times New Roman" w:eastAsia="Calibri" w:hAnsi="Times New Roman" w:cs="Times New Roman"/>
          <w:sz w:val="28"/>
          <w:szCs w:val="28"/>
        </w:rPr>
        <w:t>.</w:t>
      </w:r>
      <w:r w:rsidR="004C6B9D" w:rsidRPr="00365CE8">
        <w:rPr>
          <w:rFonts w:ascii="Times New Roman" w:eastAsia="Calibri" w:hAnsi="Times New Roman" w:cs="Times New Roman"/>
          <w:sz w:val="28"/>
          <w:szCs w:val="28"/>
        </w:rPr>
        <w:t>С</w:t>
      </w:r>
      <w:r w:rsidRPr="00365CE8">
        <w:rPr>
          <w:rFonts w:ascii="Times New Roman" w:hAnsi="Times New Roman" w:cs="Times New Roman"/>
          <w:sz w:val="28"/>
          <w:szCs w:val="28"/>
        </w:rPr>
        <w:t>.</w:t>
      </w:r>
    </w:p>
    <w:p w14:paraId="7F1C9804" w14:textId="77777777" w:rsidR="007F0C09" w:rsidRPr="00365CE8" w:rsidRDefault="007F0C09" w:rsidP="0028541E">
      <w:pPr>
        <w:autoSpaceDE w:val="0"/>
        <w:autoSpaceDN w:val="0"/>
        <w:adjustRightInd w:val="0"/>
        <w:spacing w:after="0" w:line="240" w:lineRule="auto"/>
        <w:jc w:val="center"/>
        <w:rPr>
          <w:rFonts w:ascii="Times New Roman" w:eastAsia="Times New Roman" w:hAnsi="Times New Roman" w:cs="Times New Roman"/>
          <w:bCs/>
          <w:sz w:val="28"/>
          <w:szCs w:val="28"/>
          <w:lang w:eastAsia="ru-RU"/>
        </w:rPr>
      </w:pPr>
      <w:r w:rsidRPr="00365CE8">
        <w:rPr>
          <w:rFonts w:ascii="Times New Roman" w:hAnsi="Times New Roman" w:cs="Times New Roman"/>
          <w:bCs/>
          <w:szCs w:val="24"/>
          <w:vertAlign w:val="superscript"/>
        </w:rPr>
        <w:t xml:space="preserve">                                                              ( підпис )</w:t>
      </w:r>
    </w:p>
    <w:p w14:paraId="0700D794" w14:textId="77777777" w:rsidR="007F0C09" w:rsidRPr="00365CE8" w:rsidRDefault="007F0C09" w:rsidP="0028541E">
      <w:pPr>
        <w:autoSpaceDE w:val="0"/>
        <w:autoSpaceDN w:val="0"/>
        <w:adjustRightInd w:val="0"/>
        <w:spacing w:after="0" w:line="240" w:lineRule="auto"/>
        <w:rPr>
          <w:rFonts w:ascii="Times New Roman" w:eastAsia="Times New Roman" w:hAnsi="Times New Roman" w:cs="Times New Roman"/>
          <w:bCs/>
          <w:sz w:val="24"/>
          <w:szCs w:val="24"/>
          <w:lang w:eastAsia="ru-RU"/>
        </w:rPr>
      </w:pPr>
    </w:p>
    <w:p w14:paraId="465B01A3" w14:textId="77777777" w:rsidR="007F0C09" w:rsidRPr="00365CE8" w:rsidRDefault="007F0C09" w:rsidP="0028541E">
      <w:pPr>
        <w:autoSpaceDE w:val="0"/>
        <w:autoSpaceDN w:val="0"/>
        <w:adjustRightInd w:val="0"/>
        <w:spacing w:after="0" w:line="240" w:lineRule="auto"/>
        <w:jc w:val="right"/>
        <w:rPr>
          <w:rFonts w:ascii="Times New Roman" w:hAnsi="Times New Roman" w:cs="Times New Roman"/>
          <w:bCs/>
          <w:szCs w:val="24"/>
          <w:vertAlign w:val="superscript"/>
        </w:rPr>
      </w:pPr>
      <w:r w:rsidRPr="00365CE8">
        <w:rPr>
          <w:rFonts w:ascii="Times New Roman" w:eastAsia="Times New Roman" w:hAnsi="Times New Roman" w:cs="Times New Roman"/>
          <w:bCs/>
          <w:sz w:val="28"/>
          <w:szCs w:val="28"/>
          <w:lang w:eastAsia="ru-RU"/>
        </w:rPr>
        <w:t xml:space="preserve">Керівник роботи </w:t>
      </w:r>
      <w:r w:rsidRPr="00365CE8">
        <w:rPr>
          <w:rFonts w:ascii="Times New Roman" w:eastAsia="Times New Roman" w:hAnsi="Times New Roman" w:cs="Times New Roman"/>
          <w:bCs/>
          <w:sz w:val="24"/>
          <w:szCs w:val="24"/>
          <w:lang w:eastAsia="ru-RU"/>
        </w:rPr>
        <w:t xml:space="preserve">_________________________ </w:t>
      </w:r>
      <w:r w:rsidR="004C6B9D" w:rsidRPr="00365CE8">
        <w:rPr>
          <w:rFonts w:ascii="Times New Roman" w:eastAsia="Times New Roman" w:hAnsi="Times New Roman" w:cs="Times New Roman"/>
          <w:bCs/>
          <w:sz w:val="28"/>
          <w:szCs w:val="28"/>
          <w:lang w:eastAsia="ru-RU"/>
        </w:rPr>
        <w:t>Бочарова Ю.Г.</w:t>
      </w:r>
      <w:r w:rsidR="004C6B9D" w:rsidRPr="00365CE8">
        <w:rPr>
          <w:rFonts w:ascii="Times New Roman" w:hAnsi="Times New Roman" w:cs="Times New Roman"/>
          <w:bCs/>
          <w:szCs w:val="24"/>
          <w:vertAlign w:val="superscript"/>
        </w:rPr>
        <w:t xml:space="preserve"> </w:t>
      </w:r>
      <w:r w:rsidRPr="00365CE8">
        <w:rPr>
          <w:rFonts w:ascii="Times New Roman" w:hAnsi="Times New Roman" w:cs="Times New Roman"/>
          <w:bCs/>
          <w:szCs w:val="24"/>
          <w:vertAlign w:val="superscript"/>
        </w:rPr>
        <w:t xml:space="preserve">                                                                                                                               </w:t>
      </w:r>
    </w:p>
    <w:p w14:paraId="2C5A9EE3" w14:textId="77777777" w:rsidR="007F0C09" w:rsidRPr="00365CE8" w:rsidRDefault="007F0C09" w:rsidP="0028541E">
      <w:pPr>
        <w:autoSpaceDE w:val="0"/>
        <w:autoSpaceDN w:val="0"/>
        <w:adjustRightInd w:val="0"/>
        <w:spacing w:after="0" w:line="240" w:lineRule="auto"/>
        <w:jc w:val="center"/>
        <w:rPr>
          <w:rFonts w:ascii="Times New Roman" w:hAnsi="Times New Roman" w:cs="Times New Roman"/>
          <w:b/>
          <w:sz w:val="28"/>
          <w:szCs w:val="28"/>
        </w:rPr>
      </w:pPr>
      <w:r w:rsidRPr="00365CE8">
        <w:rPr>
          <w:rFonts w:ascii="Times New Roman" w:hAnsi="Times New Roman" w:cs="Times New Roman"/>
          <w:bCs/>
          <w:szCs w:val="24"/>
          <w:vertAlign w:val="superscript"/>
        </w:rPr>
        <w:t xml:space="preserve">                                                             ( підпис )</w:t>
      </w:r>
    </w:p>
    <w:p w14:paraId="2B8E27AF" w14:textId="77777777" w:rsidR="00E901AD" w:rsidRPr="00365CE8" w:rsidRDefault="007F0C09" w:rsidP="0028541E">
      <w:pPr>
        <w:pStyle w:val="2"/>
        <w:spacing w:before="0" w:beforeAutospacing="0" w:after="0" w:afterAutospacing="0"/>
        <w:jc w:val="center"/>
        <w:rPr>
          <w:b w:val="0"/>
          <w:sz w:val="28"/>
          <w:szCs w:val="28"/>
        </w:rPr>
      </w:pPr>
      <w:r w:rsidRPr="00365CE8">
        <w:rPr>
          <w:b w:val="0"/>
          <w:sz w:val="28"/>
          <w:szCs w:val="28"/>
        </w:rPr>
        <w:br w:type="page"/>
      </w:r>
    </w:p>
    <w:p w14:paraId="0795276A" w14:textId="77777777" w:rsidR="00E901AD" w:rsidRPr="00365CE8" w:rsidRDefault="00AA0CBA" w:rsidP="0028541E">
      <w:pPr>
        <w:widowControl w:val="0"/>
        <w:spacing w:after="0" w:line="240" w:lineRule="auto"/>
        <w:jc w:val="center"/>
        <w:rPr>
          <w:rFonts w:ascii="Times New Roman" w:hAnsi="Times New Roman" w:cs="Times New Roman"/>
          <w:b/>
          <w:sz w:val="28"/>
          <w:szCs w:val="28"/>
        </w:rPr>
      </w:pPr>
      <w:r w:rsidRPr="00365CE8">
        <w:rPr>
          <w:rFonts w:ascii="Times New Roman" w:hAnsi="Times New Roman" w:cs="Times New Roman"/>
          <w:noProof/>
          <w:lang w:eastAsia="uk-UA"/>
        </w:rPr>
        <w:lastRenderedPageBreak/>
        <mc:AlternateContent>
          <mc:Choice Requires="wps">
            <w:drawing>
              <wp:anchor distT="0" distB="0" distL="114300" distR="114300" simplePos="0" relativeHeight="251666432" behindDoc="0" locked="0" layoutInCell="1" allowOverlap="1" wp14:anchorId="21A4900F" wp14:editId="413757AE">
                <wp:simplePos x="0" y="0"/>
                <wp:positionH relativeFrom="column">
                  <wp:posOffset>5842635</wp:posOffset>
                </wp:positionH>
                <wp:positionV relativeFrom="paragraph">
                  <wp:posOffset>-318135</wp:posOffset>
                </wp:positionV>
                <wp:extent cx="605790" cy="593725"/>
                <wp:effectExtent l="0" t="0" r="381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790"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0293F1" id="Прямоугольник 4" o:spid="_x0000_s1026" style="position:absolute;margin-left:460.05pt;margin-top:-25.05pt;width:47.7pt;height:4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" fillcolor="window" stroked="f" strokeweight="2pt"/>
            </w:pict>
          </mc:Fallback>
        </mc:AlternateContent>
      </w:r>
      <w:r w:rsidR="00E901AD" w:rsidRPr="00365CE8">
        <w:rPr>
          <w:rFonts w:ascii="Times New Roman" w:hAnsi="Times New Roman" w:cs="Times New Roman"/>
          <w:b/>
          <w:sz w:val="28"/>
          <w:szCs w:val="28"/>
        </w:rPr>
        <w:t>РЕФЕРАТ</w:t>
      </w:r>
    </w:p>
    <w:p w14:paraId="0015C1E3" w14:textId="77777777" w:rsidR="00E901AD" w:rsidRPr="00365CE8" w:rsidRDefault="00E901AD" w:rsidP="0028541E">
      <w:pPr>
        <w:widowControl w:val="0"/>
        <w:spacing w:after="0" w:line="240" w:lineRule="auto"/>
        <w:jc w:val="center"/>
        <w:rPr>
          <w:rFonts w:ascii="Times New Roman" w:hAnsi="Times New Roman" w:cs="Times New Roman"/>
          <w:sz w:val="28"/>
          <w:szCs w:val="28"/>
        </w:rPr>
      </w:pPr>
    </w:p>
    <w:p w14:paraId="5DBBD3AA" w14:textId="77777777" w:rsidR="00E901AD" w:rsidRPr="00365CE8" w:rsidRDefault="00E901AD" w:rsidP="0028541E">
      <w:pPr>
        <w:widowControl w:val="0"/>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Загальна кількість в роботі:</w:t>
      </w:r>
    </w:p>
    <w:p w14:paraId="09B4156D" w14:textId="77777777" w:rsidR="00E901AD" w:rsidRPr="00365CE8" w:rsidRDefault="00E901AD" w:rsidP="0028541E">
      <w:pPr>
        <w:widowControl w:val="0"/>
        <w:spacing w:after="0" w:line="240" w:lineRule="auto"/>
        <w:jc w:val="center"/>
        <w:rPr>
          <w:rFonts w:ascii="Times New Roman" w:hAnsi="Times New Roman" w:cs="Times New Roman"/>
          <w:sz w:val="28"/>
          <w:szCs w:val="28"/>
        </w:rPr>
      </w:pPr>
    </w:p>
    <w:p w14:paraId="5CA6B097" w14:textId="77777777" w:rsidR="00E901AD" w:rsidRPr="00365CE8" w:rsidRDefault="00E901AD" w:rsidP="0028541E">
      <w:pPr>
        <w:widowControl w:val="0"/>
        <w:spacing w:after="0" w:line="240" w:lineRule="auto"/>
        <w:ind w:firstLine="624"/>
        <w:jc w:val="both"/>
        <w:rPr>
          <w:rFonts w:ascii="Times New Roman" w:hAnsi="Times New Roman" w:cs="Times New Roman"/>
          <w:sz w:val="28"/>
          <w:szCs w:val="28"/>
        </w:rPr>
      </w:pPr>
      <w:r w:rsidRPr="00365CE8">
        <w:rPr>
          <w:rFonts w:ascii="Times New Roman" w:hAnsi="Times New Roman" w:cs="Times New Roman"/>
          <w:sz w:val="28"/>
          <w:szCs w:val="28"/>
        </w:rPr>
        <w:t xml:space="preserve">Сторінок </w:t>
      </w:r>
      <w:r w:rsidR="0027211F" w:rsidRPr="00365CE8">
        <w:rPr>
          <w:rFonts w:ascii="Times New Roman" w:hAnsi="Times New Roman" w:cs="Times New Roman"/>
          <w:sz w:val="28"/>
          <w:szCs w:val="28"/>
          <w:u w:val="single"/>
        </w:rPr>
        <w:t>5</w:t>
      </w:r>
      <w:r w:rsidR="0050288A" w:rsidRPr="00365CE8">
        <w:rPr>
          <w:rFonts w:ascii="Times New Roman" w:hAnsi="Times New Roman" w:cs="Times New Roman"/>
          <w:sz w:val="28"/>
          <w:szCs w:val="28"/>
          <w:u w:val="single"/>
        </w:rPr>
        <w:t>4</w:t>
      </w:r>
      <w:r w:rsidRPr="00365CE8">
        <w:rPr>
          <w:rFonts w:ascii="Times New Roman" w:hAnsi="Times New Roman" w:cs="Times New Roman"/>
          <w:sz w:val="28"/>
          <w:szCs w:val="28"/>
        </w:rPr>
        <w:t xml:space="preserve">, рисунків </w:t>
      </w:r>
      <w:r w:rsidRPr="00365CE8">
        <w:rPr>
          <w:rFonts w:ascii="Times New Roman" w:hAnsi="Times New Roman" w:cs="Times New Roman"/>
          <w:sz w:val="28"/>
          <w:szCs w:val="28"/>
          <w:u w:val="single"/>
        </w:rPr>
        <w:t>2</w:t>
      </w:r>
      <w:r w:rsidR="004719E5" w:rsidRPr="00365CE8">
        <w:rPr>
          <w:rFonts w:ascii="Times New Roman" w:hAnsi="Times New Roman" w:cs="Times New Roman"/>
          <w:sz w:val="28"/>
          <w:szCs w:val="28"/>
          <w:u w:val="single"/>
        </w:rPr>
        <w:t>1</w:t>
      </w:r>
      <w:r w:rsidRPr="00365CE8">
        <w:rPr>
          <w:rFonts w:ascii="Times New Roman" w:hAnsi="Times New Roman" w:cs="Times New Roman"/>
          <w:sz w:val="28"/>
          <w:szCs w:val="28"/>
        </w:rPr>
        <w:t xml:space="preserve">, таблиць </w:t>
      </w:r>
      <w:r w:rsidR="004719E5" w:rsidRPr="00365CE8">
        <w:rPr>
          <w:rFonts w:ascii="Times New Roman" w:hAnsi="Times New Roman" w:cs="Times New Roman"/>
          <w:sz w:val="28"/>
          <w:szCs w:val="28"/>
          <w:u w:val="single"/>
        </w:rPr>
        <w:t>1</w:t>
      </w:r>
      <w:r w:rsidRPr="00365CE8">
        <w:rPr>
          <w:rFonts w:ascii="Times New Roman" w:hAnsi="Times New Roman" w:cs="Times New Roman"/>
          <w:sz w:val="28"/>
          <w:szCs w:val="28"/>
        </w:rPr>
        <w:t xml:space="preserve">, додатків </w:t>
      </w:r>
      <w:r w:rsidR="004719E5" w:rsidRPr="00365CE8">
        <w:rPr>
          <w:rFonts w:ascii="Times New Roman" w:hAnsi="Times New Roman" w:cs="Times New Roman"/>
          <w:sz w:val="28"/>
          <w:szCs w:val="28"/>
          <w:u w:val="single"/>
        </w:rPr>
        <w:t>1</w:t>
      </w:r>
      <w:r w:rsidRPr="00365CE8">
        <w:rPr>
          <w:rFonts w:ascii="Times New Roman" w:hAnsi="Times New Roman" w:cs="Times New Roman"/>
          <w:sz w:val="28"/>
          <w:szCs w:val="28"/>
        </w:rPr>
        <w:t>, графічного матеріалу</w:t>
      </w:r>
      <w:r w:rsidR="0050288A" w:rsidRPr="00365CE8">
        <w:rPr>
          <w:rFonts w:ascii="Times New Roman" w:hAnsi="Times New Roman" w:cs="Times New Roman"/>
          <w:sz w:val="28"/>
          <w:szCs w:val="28"/>
        </w:rPr>
        <w:t xml:space="preserve"> </w:t>
      </w:r>
      <w:r w:rsidRPr="00365CE8">
        <w:rPr>
          <w:rFonts w:ascii="Times New Roman" w:hAnsi="Times New Roman" w:cs="Times New Roman"/>
          <w:sz w:val="28"/>
          <w:szCs w:val="28"/>
          <w:u w:val="single"/>
        </w:rPr>
        <w:t>0</w:t>
      </w:r>
      <w:r w:rsidRPr="00365CE8">
        <w:rPr>
          <w:rFonts w:ascii="Times New Roman" w:hAnsi="Times New Roman" w:cs="Times New Roman"/>
          <w:sz w:val="28"/>
          <w:szCs w:val="28"/>
        </w:rPr>
        <w:t xml:space="preserve">, використаних джерел </w:t>
      </w:r>
      <w:r w:rsidR="006254AC" w:rsidRPr="00365CE8">
        <w:rPr>
          <w:rFonts w:ascii="Times New Roman" w:hAnsi="Times New Roman" w:cs="Times New Roman"/>
          <w:sz w:val="28"/>
          <w:szCs w:val="28"/>
          <w:u w:val="single"/>
        </w:rPr>
        <w:t>4</w:t>
      </w:r>
      <w:r w:rsidR="00F878C6" w:rsidRPr="00365CE8">
        <w:rPr>
          <w:rFonts w:ascii="Times New Roman" w:hAnsi="Times New Roman" w:cs="Times New Roman"/>
          <w:sz w:val="28"/>
          <w:szCs w:val="28"/>
          <w:u w:val="single"/>
        </w:rPr>
        <w:t>3</w:t>
      </w:r>
      <w:r w:rsidRPr="00365CE8">
        <w:rPr>
          <w:rFonts w:ascii="Times New Roman" w:hAnsi="Times New Roman" w:cs="Times New Roman"/>
          <w:sz w:val="28"/>
          <w:szCs w:val="28"/>
        </w:rPr>
        <w:t>.</w:t>
      </w:r>
    </w:p>
    <w:p w14:paraId="01D18154" w14:textId="77777777" w:rsidR="00E901AD" w:rsidRPr="00365CE8" w:rsidRDefault="00E901AD" w:rsidP="0028541E">
      <w:pPr>
        <w:widowControl w:val="0"/>
        <w:spacing w:after="0" w:line="240" w:lineRule="auto"/>
        <w:ind w:firstLine="624"/>
        <w:jc w:val="both"/>
        <w:rPr>
          <w:rFonts w:ascii="Times New Roman" w:hAnsi="Times New Roman" w:cs="Times New Roman"/>
          <w:sz w:val="28"/>
          <w:szCs w:val="28"/>
        </w:rPr>
      </w:pPr>
    </w:p>
    <w:tbl>
      <w:tblPr>
        <w:tblW w:w="0" w:type="auto"/>
        <w:tblLook w:val="04A0" w:firstRow="1" w:lastRow="0" w:firstColumn="1" w:lastColumn="0" w:noHBand="0" w:noVBand="1"/>
      </w:tblPr>
      <w:tblGrid>
        <w:gridCol w:w="3085"/>
        <w:gridCol w:w="6768"/>
      </w:tblGrid>
      <w:tr w:rsidR="00E901AD" w:rsidRPr="00365CE8" w14:paraId="275C1551" w14:textId="77777777" w:rsidTr="00412652">
        <w:tc>
          <w:tcPr>
            <w:tcW w:w="3085" w:type="dxa"/>
          </w:tcPr>
          <w:p w14:paraId="5D5B1947" w14:textId="77777777" w:rsidR="00E901AD" w:rsidRPr="00365CE8" w:rsidRDefault="00E901AD" w:rsidP="0028541E">
            <w:pPr>
              <w:widowControl w:val="0"/>
              <w:rPr>
                <w:rFonts w:ascii="Times New Roman" w:hAnsi="Times New Roman" w:cs="Times New Roman"/>
                <w:sz w:val="28"/>
                <w:szCs w:val="28"/>
              </w:rPr>
            </w:pPr>
            <w:r w:rsidRPr="00365CE8">
              <w:rPr>
                <w:rFonts w:ascii="Times New Roman" w:hAnsi="Times New Roman" w:cs="Times New Roman"/>
                <w:sz w:val="28"/>
                <w:szCs w:val="28"/>
              </w:rPr>
              <w:t>Об’єкт дослідження:</w:t>
            </w:r>
          </w:p>
        </w:tc>
        <w:tc>
          <w:tcPr>
            <w:tcW w:w="6769" w:type="dxa"/>
          </w:tcPr>
          <w:p w14:paraId="0AE5A79E" w14:textId="77777777" w:rsidR="00E901AD" w:rsidRPr="00365CE8" w:rsidRDefault="00226F5F" w:rsidP="0028541E">
            <w:pPr>
              <w:widowControl w:val="0"/>
              <w:jc w:val="both"/>
              <w:rPr>
                <w:rFonts w:ascii="Times New Roman" w:hAnsi="Times New Roman" w:cs="Times New Roman"/>
                <w:sz w:val="28"/>
                <w:szCs w:val="28"/>
              </w:rPr>
            </w:pPr>
            <w:r w:rsidRPr="00365CE8">
              <w:rPr>
                <w:rFonts w:ascii="Times New Roman" w:hAnsi="Times New Roman" w:cs="Times New Roman"/>
                <w:sz w:val="28"/>
                <w:szCs w:val="28"/>
              </w:rPr>
              <w:t>оцінка та напрями підвищення інвестиційної привабливості країни</w:t>
            </w:r>
            <w:r w:rsidR="00395CDA" w:rsidRPr="00365CE8">
              <w:rPr>
                <w:rFonts w:ascii="Times New Roman" w:eastAsia="Calibri" w:hAnsi="Times New Roman" w:cs="Times New Roman"/>
                <w:sz w:val="28"/>
              </w:rPr>
              <w:t xml:space="preserve"> </w:t>
            </w:r>
          </w:p>
        </w:tc>
      </w:tr>
      <w:tr w:rsidR="00E901AD" w:rsidRPr="00365CE8" w14:paraId="6D6FF085" w14:textId="77777777" w:rsidTr="00412652">
        <w:tc>
          <w:tcPr>
            <w:tcW w:w="3085" w:type="dxa"/>
          </w:tcPr>
          <w:p w14:paraId="12AA91C1" w14:textId="77777777" w:rsidR="00E901AD" w:rsidRPr="00365CE8" w:rsidRDefault="00E901AD" w:rsidP="0028541E">
            <w:pPr>
              <w:widowControl w:val="0"/>
              <w:rPr>
                <w:rFonts w:ascii="Times New Roman" w:hAnsi="Times New Roman" w:cs="Times New Roman"/>
                <w:sz w:val="28"/>
                <w:szCs w:val="28"/>
              </w:rPr>
            </w:pPr>
            <w:r w:rsidRPr="00365CE8">
              <w:rPr>
                <w:rFonts w:ascii="Times New Roman" w:hAnsi="Times New Roman" w:cs="Times New Roman"/>
                <w:sz w:val="28"/>
                <w:szCs w:val="28"/>
              </w:rPr>
              <w:t>Предмет дослідження:</w:t>
            </w:r>
          </w:p>
        </w:tc>
        <w:tc>
          <w:tcPr>
            <w:tcW w:w="6769" w:type="dxa"/>
          </w:tcPr>
          <w:p w14:paraId="34A65DF9" w14:textId="77777777" w:rsidR="00E901AD" w:rsidRPr="00365CE8" w:rsidRDefault="00226F5F" w:rsidP="0028541E">
            <w:pPr>
              <w:widowControl w:val="0"/>
              <w:jc w:val="both"/>
              <w:rPr>
                <w:rFonts w:ascii="Times New Roman" w:hAnsi="Times New Roman" w:cs="Times New Roman"/>
                <w:sz w:val="28"/>
                <w:szCs w:val="28"/>
              </w:rPr>
            </w:pPr>
            <w:r w:rsidRPr="00365CE8">
              <w:rPr>
                <w:rFonts w:ascii="Times New Roman" w:eastAsia="Calibri" w:hAnsi="Times New Roman" w:cs="Times New Roman"/>
                <w:sz w:val="28"/>
              </w:rPr>
              <w:t>сутність, складові, системи показників та напрями підвищення інвестиційної привабливості країни</w:t>
            </w:r>
          </w:p>
        </w:tc>
      </w:tr>
      <w:tr w:rsidR="00E901AD" w:rsidRPr="00365CE8" w14:paraId="0D0FA488" w14:textId="77777777" w:rsidTr="00412652">
        <w:tc>
          <w:tcPr>
            <w:tcW w:w="3085" w:type="dxa"/>
          </w:tcPr>
          <w:p w14:paraId="7A6B2110" w14:textId="77777777" w:rsidR="00E901AD" w:rsidRPr="00365CE8" w:rsidRDefault="00E901AD" w:rsidP="0028541E">
            <w:pPr>
              <w:widowControl w:val="0"/>
              <w:rPr>
                <w:rFonts w:ascii="Times New Roman" w:hAnsi="Times New Roman" w:cs="Times New Roman"/>
                <w:sz w:val="28"/>
                <w:szCs w:val="28"/>
              </w:rPr>
            </w:pPr>
            <w:r w:rsidRPr="00365CE8">
              <w:rPr>
                <w:rFonts w:ascii="Times New Roman" w:hAnsi="Times New Roman" w:cs="Times New Roman"/>
                <w:sz w:val="28"/>
                <w:szCs w:val="28"/>
              </w:rPr>
              <w:t>Мета дослідження:</w:t>
            </w:r>
          </w:p>
        </w:tc>
        <w:tc>
          <w:tcPr>
            <w:tcW w:w="6769" w:type="dxa"/>
          </w:tcPr>
          <w:p w14:paraId="7AE061AA" w14:textId="77777777" w:rsidR="00E901AD" w:rsidRPr="00365CE8" w:rsidRDefault="00226F5F" w:rsidP="0028541E">
            <w:pPr>
              <w:widowControl w:val="0"/>
              <w:jc w:val="both"/>
              <w:rPr>
                <w:rFonts w:ascii="Times New Roman" w:hAnsi="Times New Roman" w:cs="Times New Roman"/>
                <w:sz w:val="28"/>
                <w:szCs w:val="28"/>
              </w:rPr>
            </w:pPr>
            <w:r w:rsidRPr="00365CE8">
              <w:rPr>
                <w:rFonts w:ascii="Times New Roman" w:eastAsia="Calibri" w:hAnsi="Times New Roman" w:cs="Times New Roman"/>
                <w:sz w:val="28"/>
              </w:rPr>
              <w:t xml:space="preserve">є проведення </w:t>
            </w:r>
            <w:r w:rsidRPr="00365CE8">
              <w:rPr>
                <w:rFonts w:ascii="Times New Roman" w:hAnsi="Times New Roman" w:cs="Times New Roman"/>
                <w:sz w:val="28"/>
                <w:szCs w:val="28"/>
              </w:rPr>
              <w:t>оцінки та визначення напрямів підвищення інвестиційної привабливості країни</w:t>
            </w:r>
          </w:p>
        </w:tc>
      </w:tr>
      <w:tr w:rsidR="00E901AD" w:rsidRPr="00365CE8" w14:paraId="761F5669" w14:textId="77777777" w:rsidTr="00412652">
        <w:tc>
          <w:tcPr>
            <w:tcW w:w="3085" w:type="dxa"/>
          </w:tcPr>
          <w:p w14:paraId="2C27ACEE" w14:textId="77777777" w:rsidR="00E901AD" w:rsidRPr="00365CE8" w:rsidRDefault="00E901AD" w:rsidP="0028541E">
            <w:pPr>
              <w:widowControl w:val="0"/>
              <w:rPr>
                <w:rFonts w:ascii="Times New Roman" w:hAnsi="Times New Roman" w:cs="Times New Roman"/>
                <w:sz w:val="28"/>
                <w:szCs w:val="28"/>
              </w:rPr>
            </w:pPr>
            <w:r w:rsidRPr="00365CE8">
              <w:rPr>
                <w:rFonts w:ascii="Times New Roman" w:hAnsi="Times New Roman" w:cs="Times New Roman"/>
                <w:sz w:val="28"/>
                <w:szCs w:val="28"/>
              </w:rPr>
              <w:t>Методи дослідження:</w:t>
            </w:r>
          </w:p>
        </w:tc>
        <w:tc>
          <w:tcPr>
            <w:tcW w:w="6769" w:type="dxa"/>
          </w:tcPr>
          <w:p w14:paraId="0921F0CB" w14:textId="77777777" w:rsidR="00E901AD" w:rsidRPr="00365CE8" w:rsidRDefault="00E901AD" w:rsidP="0028541E">
            <w:pPr>
              <w:widowControl w:val="0"/>
              <w:jc w:val="both"/>
              <w:rPr>
                <w:rFonts w:ascii="Times New Roman" w:hAnsi="Times New Roman" w:cs="Times New Roman"/>
                <w:sz w:val="28"/>
                <w:szCs w:val="28"/>
              </w:rPr>
            </w:pPr>
            <w:r w:rsidRPr="00365CE8">
              <w:rPr>
                <w:rFonts w:ascii="Times New Roman" w:hAnsi="Times New Roman" w:cs="Times New Roman"/>
                <w:sz w:val="28"/>
                <w:szCs w:val="28"/>
              </w:rPr>
              <w:t xml:space="preserve">у роботі було </w:t>
            </w:r>
            <w:r w:rsidR="004C1A44" w:rsidRPr="00365CE8">
              <w:rPr>
                <w:rFonts w:ascii="Times New Roman" w:hAnsi="Times New Roman" w:cs="Times New Roman"/>
                <w:sz w:val="28"/>
                <w:szCs w:val="28"/>
              </w:rPr>
              <w:t xml:space="preserve">використано загальнонаукові та спеціальні методи дослідження: </w:t>
            </w:r>
            <w:r w:rsidR="00322E39" w:rsidRPr="00365CE8">
              <w:rPr>
                <w:rFonts w:ascii="Times New Roman" w:hAnsi="Times New Roman" w:cs="Times New Roman"/>
                <w:sz w:val="28"/>
                <w:szCs w:val="28"/>
              </w:rPr>
              <w:t>дедукцію, індукцію, порівняння, аналіз, синтез, методи графічного аналізу, методи рейтингового аналізу, математичні методи прогнозування економічних показників</w:t>
            </w:r>
            <w:r w:rsidR="004C1A44" w:rsidRPr="00365CE8">
              <w:rPr>
                <w:rFonts w:ascii="Times New Roman" w:eastAsia="Calibri" w:hAnsi="Times New Roman" w:cs="Times New Roman"/>
                <w:sz w:val="28"/>
              </w:rPr>
              <w:t>.</w:t>
            </w:r>
          </w:p>
        </w:tc>
      </w:tr>
      <w:tr w:rsidR="00E901AD" w:rsidRPr="00365CE8" w14:paraId="2821A284" w14:textId="77777777" w:rsidTr="00412652">
        <w:tc>
          <w:tcPr>
            <w:tcW w:w="3085" w:type="dxa"/>
          </w:tcPr>
          <w:p w14:paraId="2B4302F7" w14:textId="77777777" w:rsidR="00E901AD" w:rsidRPr="00365CE8" w:rsidRDefault="00E901AD" w:rsidP="0028541E">
            <w:pPr>
              <w:widowControl w:val="0"/>
              <w:rPr>
                <w:rFonts w:ascii="Times New Roman" w:hAnsi="Times New Roman" w:cs="Times New Roman"/>
                <w:sz w:val="28"/>
                <w:szCs w:val="28"/>
              </w:rPr>
            </w:pPr>
            <w:r w:rsidRPr="00365CE8">
              <w:rPr>
                <w:rFonts w:ascii="Times New Roman" w:hAnsi="Times New Roman" w:cs="Times New Roman"/>
                <w:sz w:val="28"/>
                <w:szCs w:val="28"/>
              </w:rPr>
              <w:t>Основні результати дослідження</w:t>
            </w:r>
          </w:p>
        </w:tc>
        <w:tc>
          <w:tcPr>
            <w:tcW w:w="6769" w:type="dxa"/>
          </w:tcPr>
          <w:p w14:paraId="44D58B48" w14:textId="77777777" w:rsidR="0050288A" w:rsidRPr="00365CE8" w:rsidRDefault="0050288A" w:rsidP="0050288A">
            <w:pPr>
              <w:pStyle w:val="a5"/>
              <w:widowControl w:val="0"/>
              <w:numPr>
                <w:ilvl w:val="0"/>
                <w:numId w:val="1"/>
              </w:numPr>
              <w:ind w:left="0" w:hanging="250"/>
              <w:jc w:val="both"/>
              <w:rPr>
                <w:rFonts w:ascii="Times New Roman" w:hAnsi="Times New Roman" w:cs="Times New Roman"/>
                <w:sz w:val="28"/>
                <w:szCs w:val="28"/>
              </w:rPr>
            </w:pPr>
            <w:r w:rsidRPr="00365CE8">
              <w:rPr>
                <w:rFonts w:ascii="Times New Roman" w:hAnsi="Times New Roman" w:cs="Times New Roman"/>
                <w:sz w:val="28"/>
                <w:szCs w:val="28"/>
              </w:rPr>
              <w:t>запропоновано уточнену схему функції та інструменти державного регулювання інвестиційної привабливості країни;</w:t>
            </w:r>
          </w:p>
          <w:p w14:paraId="4F4D22EB" w14:textId="77777777" w:rsidR="0050288A" w:rsidRPr="00365CE8" w:rsidRDefault="0050288A" w:rsidP="0050288A">
            <w:pPr>
              <w:pStyle w:val="a5"/>
              <w:widowControl w:val="0"/>
              <w:numPr>
                <w:ilvl w:val="0"/>
                <w:numId w:val="1"/>
              </w:numPr>
              <w:ind w:left="0" w:hanging="250"/>
              <w:jc w:val="both"/>
              <w:rPr>
                <w:rFonts w:ascii="Times New Roman" w:hAnsi="Times New Roman" w:cs="Times New Roman"/>
                <w:sz w:val="28"/>
                <w:szCs w:val="28"/>
              </w:rPr>
            </w:pPr>
            <w:r w:rsidRPr="00365CE8">
              <w:rPr>
                <w:rFonts w:ascii="Times New Roman" w:hAnsi="Times New Roman" w:cs="Times New Roman"/>
                <w:sz w:val="28"/>
                <w:szCs w:val="28"/>
              </w:rPr>
              <w:t>проведено аналіз динаміки іноземних інвестицій в Україну та виконано ранжування в межах пріоритетних галузей і областей вкладення інвестицій, а також за країнами-лідерами по обсягам вкладень;</w:t>
            </w:r>
          </w:p>
          <w:p w14:paraId="5D418270" w14:textId="77777777" w:rsidR="0050288A" w:rsidRPr="00365CE8" w:rsidRDefault="0050288A" w:rsidP="0050288A">
            <w:pPr>
              <w:pStyle w:val="a5"/>
              <w:widowControl w:val="0"/>
              <w:numPr>
                <w:ilvl w:val="0"/>
                <w:numId w:val="1"/>
              </w:numPr>
              <w:ind w:left="0" w:hanging="250"/>
              <w:jc w:val="both"/>
              <w:rPr>
                <w:rFonts w:ascii="Times New Roman" w:hAnsi="Times New Roman" w:cs="Times New Roman"/>
                <w:sz w:val="28"/>
                <w:szCs w:val="28"/>
              </w:rPr>
            </w:pPr>
            <w:r w:rsidRPr="00365CE8">
              <w:rPr>
                <w:rFonts w:ascii="Times New Roman" w:hAnsi="Times New Roman" w:cs="Times New Roman"/>
                <w:sz w:val="28"/>
                <w:szCs w:val="28"/>
              </w:rPr>
              <w:t>визначено основні особливості та проблему проблеми формування інвестиційної привабливості країни  в умовах військової агресії;</w:t>
            </w:r>
          </w:p>
          <w:p w14:paraId="3535E033" w14:textId="77777777" w:rsidR="00E901AD" w:rsidRPr="00365CE8" w:rsidRDefault="0050288A" w:rsidP="0050288A">
            <w:pPr>
              <w:pStyle w:val="a5"/>
              <w:widowControl w:val="0"/>
              <w:numPr>
                <w:ilvl w:val="0"/>
                <w:numId w:val="1"/>
              </w:numPr>
              <w:ind w:left="0" w:hanging="250"/>
              <w:jc w:val="both"/>
              <w:rPr>
                <w:rFonts w:ascii="Times New Roman" w:hAnsi="Times New Roman" w:cs="Times New Roman"/>
                <w:sz w:val="28"/>
                <w:szCs w:val="28"/>
              </w:rPr>
            </w:pPr>
            <w:r w:rsidRPr="00365CE8">
              <w:rPr>
                <w:rFonts w:ascii="Times New Roman" w:hAnsi="Times New Roman" w:cs="Times New Roman"/>
                <w:sz w:val="28"/>
                <w:szCs w:val="28"/>
              </w:rPr>
              <w:t>проаналізовано динаміку показників чистої міжнародної інвестиційної позиції та динаміку показників іноземних інвестицій в Україну із визначенням прогнозного тренду на два наступних роки для кожного показника</w:t>
            </w:r>
            <w:r w:rsidR="00E901AD" w:rsidRPr="00365CE8">
              <w:rPr>
                <w:rFonts w:ascii="Times New Roman" w:hAnsi="Times New Roman" w:cs="Times New Roman"/>
                <w:sz w:val="28"/>
                <w:szCs w:val="28"/>
              </w:rPr>
              <w:t>.</w:t>
            </w:r>
          </w:p>
          <w:p w14:paraId="6EE6D260" w14:textId="77777777" w:rsidR="00E901AD" w:rsidRPr="00365CE8" w:rsidRDefault="00E901AD" w:rsidP="0028541E">
            <w:pPr>
              <w:pStyle w:val="a5"/>
              <w:widowControl w:val="0"/>
              <w:ind w:left="247"/>
              <w:rPr>
                <w:rFonts w:ascii="Times New Roman" w:hAnsi="Times New Roman" w:cs="Times New Roman"/>
                <w:sz w:val="28"/>
                <w:szCs w:val="28"/>
              </w:rPr>
            </w:pPr>
          </w:p>
        </w:tc>
      </w:tr>
      <w:tr w:rsidR="00E901AD" w:rsidRPr="00365CE8" w14:paraId="110DE42F" w14:textId="77777777" w:rsidTr="004C1A44">
        <w:tc>
          <w:tcPr>
            <w:tcW w:w="3085" w:type="dxa"/>
          </w:tcPr>
          <w:p w14:paraId="2D645C53" w14:textId="77777777" w:rsidR="00E901AD" w:rsidRPr="00365CE8" w:rsidRDefault="00E901AD" w:rsidP="0028541E">
            <w:pPr>
              <w:widowControl w:val="0"/>
              <w:rPr>
                <w:rFonts w:ascii="Times New Roman" w:hAnsi="Times New Roman" w:cs="Times New Roman"/>
                <w:sz w:val="28"/>
                <w:szCs w:val="28"/>
              </w:rPr>
            </w:pPr>
            <w:r w:rsidRPr="00365CE8">
              <w:rPr>
                <w:rFonts w:ascii="Times New Roman" w:hAnsi="Times New Roman" w:cs="Times New Roman"/>
                <w:sz w:val="28"/>
                <w:szCs w:val="28"/>
              </w:rPr>
              <w:t>Ключові слова:</w:t>
            </w:r>
          </w:p>
        </w:tc>
        <w:tc>
          <w:tcPr>
            <w:tcW w:w="6769" w:type="dxa"/>
            <w:shd w:val="clear" w:color="auto" w:fill="auto"/>
          </w:tcPr>
          <w:p w14:paraId="7E36A2BB" w14:textId="77777777" w:rsidR="00E901AD" w:rsidRPr="00365CE8" w:rsidRDefault="00940F03" w:rsidP="0028541E">
            <w:pPr>
              <w:widowControl w:val="0"/>
              <w:jc w:val="both"/>
              <w:rPr>
                <w:rFonts w:ascii="Times New Roman" w:hAnsi="Times New Roman" w:cs="Times New Roman"/>
                <w:sz w:val="28"/>
                <w:szCs w:val="28"/>
              </w:rPr>
            </w:pPr>
            <w:r w:rsidRPr="00365CE8">
              <w:rPr>
                <w:rFonts w:ascii="Times New Roman" w:hAnsi="Times New Roman" w:cs="Times New Roman"/>
                <w:sz w:val="28"/>
                <w:szCs w:val="28"/>
              </w:rPr>
              <w:t xml:space="preserve">інвестиційна привабливість, інвестиційний клімат, прямі іноземні інвестиції, чиста міжнародна </w:t>
            </w:r>
            <w:r w:rsidRPr="00365CE8">
              <w:rPr>
                <w:rFonts w:ascii="Times New Roman" w:hAnsi="Times New Roman" w:cs="Times New Roman"/>
                <w:sz w:val="28"/>
                <w:szCs w:val="28"/>
              </w:rPr>
              <w:lastRenderedPageBreak/>
              <w:t>інвестиційна позиція, інвестиційні рейтинги</w:t>
            </w:r>
            <w:r w:rsidR="00E901AD" w:rsidRPr="00365CE8">
              <w:rPr>
                <w:rFonts w:ascii="Times New Roman" w:hAnsi="Times New Roman" w:cs="Times New Roman"/>
                <w:sz w:val="28"/>
                <w:szCs w:val="28"/>
              </w:rPr>
              <w:t>.</w:t>
            </w:r>
          </w:p>
        </w:tc>
      </w:tr>
    </w:tbl>
    <w:p w14:paraId="5CF7A97A" w14:textId="77777777" w:rsidR="00E901AD" w:rsidRPr="00365CE8" w:rsidRDefault="00E901AD" w:rsidP="0028541E">
      <w:pPr>
        <w:widowControl w:val="0"/>
        <w:spacing w:after="0" w:line="240" w:lineRule="auto"/>
        <w:jc w:val="both"/>
        <w:rPr>
          <w:rFonts w:ascii="Times New Roman" w:hAnsi="Times New Roman" w:cs="Times New Roman"/>
          <w:spacing w:val="3"/>
          <w:sz w:val="28"/>
          <w:szCs w:val="28"/>
        </w:rPr>
      </w:pPr>
    </w:p>
    <w:p w14:paraId="242D9553" w14:textId="77777777" w:rsidR="00E901AD" w:rsidRPr="00365CE8" w:rsidRDefault="00E901AD" w:rsidP="0028541E">
      <w:pPr>
        <w:spacing w:after="0" w:line="240" w:lineRule="auto"/>
        <w:rPr>
          <w:rFonts w:ascii="Times New Roman" w:hAnsi="Times New Roman" w:cs="Times New Roman"/>
          <w:spacing w:val="3"/>
          <w:sz w:val="28"/>
          <w:szCs w:val="28"/>
        </w:rPr>
      </w:pPr>
      <w:r w:rsidRPr="00365CE8">
        <w:rPr>
          <w:rFonts w:ascii="Times New Roman" w:hAnsi="Times New Roman" w:cs="Times New Roman"/>
          <w:spacing w:val="3"/>
          <w:sz w:val="28"/>
          <w:szCs w:val="28"/>
        </w:rPr>
        <w:br w:type="page"/>
      </w:r>
    </w:p>
    <w:p w14:paraId="03C64921" w14:textId="77777777" w:rsidR="00E901AD" w:rsidRPr="00365CE8" w:rsidRDefault="00E901AD" w:rsidP="0028541E">
      <w:pPr>
        <w:spacing w:after="0" w:line="240" w:lineRule="auto"/>
        <w:ind w:firstLine="624"/>
        <w:jc w:val="center"/>
        <w:rPr>
          <w:rFonts w:ascii="Times New Roman" w:hAnsi="Times New Roman" w:cs="Times New Roman"/>
          <w:b/>
          <w:sz w:val="28"/>
          <w:szCs w:val="28"/>
        </w:rPr>
      </w:pPr>
      <w:r w:rsidRPr="00365CE8">
        <w:rPr>
          <w:rFonts w:ascii="Times New Roman" w:hAnsi="Times New Roman" w:cs="Times New Roman"/>
          <w:b/>
          <w:sz w:val="28"/>
          <w:szCs w:val="28"/>
        </w:rPr>
        <w:lastRenderedPageBreak/>
        <w:t>ЗМІСТ</w:t>
      </w:r>
    </w:p>
    <w:p w14:paraId="68F01E66" w14:textId="77777777" w:rsidR="00E901AD" w:rsidRPr="00365CE8" w:rsidRDefault="00E901AD" w:rsidP="0028541E">
      <w:pPr>
        <w:spacing w:after="0" w:line="240" w:lineRule="auto"/>
        <w:ind w:firstLine="624"/>
        <w:jc w:val="center"/>
        <w:rPr>
          <w:rFonts w:ascii="Times New Roman" w:hAnsi="Times New Roman" w:cs="Times New Roman"/>
          <w:b/>
          <w:sz w:val="28"/>
          <w:szCs w:val="28"/>
        </w:rPr>
      </w:pPr>
    </w:p>
    <w:p w14:paraId="5ECB1DB9" w14:textId="77777777" w:rsidR="00E901AD" w:rsidRPr="00365CE8" w:rsidRDefault="00E901AD" w:rsidP="0028541E">
      <w:pPr>
        <w:spacing w:after="0" w:line="240" w:lineRule="auto"/>
        <w:ind w:firstLine="624"/>
        <w:rPr>
          <w:rFonts w:ascii="Times New Roman" w:hAnsi="Times New Roman" w:cs="Times New Roman"/>
          <w:sz w:val="28"/>
          <w:szCs w:val="28"/>
        </w:rPr>
      </w:pPr>
    </w:p>
    <w:tbl>
      <w:tblPr>
        <w:tblW w:w="5000" w:type="pct"/>
        <w:tblLook w:val="04A0" w:firstRow="1" w:lastRow="0" w:firstColumn="1" w:lastColumn="0" w:noHBand="0" w:noVBand="1"/>
      </w:tblPr>
      <w:tblGrid>
        <w:gridCol w:w="9345"/>
        <w:gridCol w:w="508"/>
      </w:tblGrid>
      <w:tr w:rsidR="00E901AD" w:rsidRPr="00365CE8" w14:paraId="74B56870" w14:textId="77777777" w:rsidTr="00412652">
        <w:trPr>
          <w:trHeight w:val="567"/>
        </w:trPr>
        <w:tc>
          <w:tcPr>
            <w:tcW w:w="4742" w:type="pct"/>
            <w:vAlign w:val="center"/>
          </w:tcPr>
          <w:p w14:paraId="314026E9" w14:textId="77777777" w:rsidR="00E901AD" w:rsidRPr="00365CE8" w:rsidRDefault="00E901AD" w:rsidP="0028541E">
            <w:pPr>
              <w:overflowPunct w:val="0"/>
              <w:autoSpaceDE w:val="0"/>
              <w:autoSpaceDN w:val="0"/>
              <w:adjustRightInd w:val="0"/>
              <w:jc w:val="both"/>
              <w:rPr>
                <w:rFonts w:ascii="Times New Roman" w:hAnsi="Times New Roman" w:cs="Times New Roman"/>
                <w:sz w:val="28"/>
              </w:rPr>
            </w:pPr>
            <w:r w:rsidRPr="00365CE8">
              <w:rPr>
                <w:rFonts w:ascii="Times New Roman" w:hAnsi="Times New Roman" w:cs="Times New Roman"/>
                <w:sz w:val="28"/>
              </w:rPr>
              <w:t>Вступ</w:t>
            </w:r>
          </w:p>
        </w:tc>
        <w:tc>
          <w:tcPr>
            <w:tcW w:w="258" w:type="pct"/>
            <w:vAlign w:val="center"/>
          </w:tcPr>
          <w:p w14:paraId="05219748" w14:textId="77777777" w:rsidR="00E901AD" w:rsidRPr="00365CE8" w:rsidRDefault="00E901AD" w:rsidP="0028541E">
            <w:pPr>
              <w:jc w:val="center"/>
              <w:rPr>
                <w:rFonts w:ascii="Times New Roman" w:hAnsi="Times New Roman" w:cs="Times New Roman"/>
                <w:sz w:val="28"/>
                <w:szCs w:val="28"/>
              </w:rPr>
            </w:pPr>
            <w:r w:rsidRPr="00365CE8">
              <w:rPr>
                <w:rFonts w:ascii="Times New Roman" w:hAnsi="Times New Roman" w:cs="Times New Roman"/>
                <w:sz w:val="28"/>
                <w:szCs w:val="28"/>
              </w:rPr>
              <w:t>6</w:t>
            </w:r>
          </w:p>
        </w:tc>
      </w:tr>
      <w:tr w:rsidR="00E901AD" w:rsidRPr="00365CE8" w14:paraId="2865817F" w14:textId="77777777" w:rsidTr="00412652">
        <w:trPr>
          <w:trHeight w:val="567"/>
        </w:trPr>
        <w:tc>
          <w:tcPr>
            <w:tcW w:w="4742" w:type="pct"/>
            <w:vAlign w:val="center"/>
          </w:tcPr>
          <w:p w14:paraId="6E74953C" w14:textId="77777777" w:rsidR="00E901AD" w:rsidRPr="00365CE8" w:rsidRDefault="00E901AD" w:rsidP="0028541E">
            <w:pPr>
              <w:jc w:val="both"/>
              <w:rPr>
                <w:rFonts w:ascii="Times New Roman" w:hAnsi="Times New Roman" w:cs="Times New Roman"/>
                <w:sz w:val="28"/>
                <w:szCs w:val="28"/>
              </w:rPr>
            </w:pPr>
            <w:r w:rsidRPr="00365CE8">
              <w:rPr>
                <w:rFonts w:ascii="Times New Roman" w:hAnsi="Times New Roman" w:cs="Times New Roman"/>
                <w:sz w:val="28"/>
                <w:szCs w:val="28"/>
              </w:rPr>
              <w:t>Основна частина</w:t>
            </w:r>
          </w:p>
        </w:tc>
        <w:tc>
          <w:tcPr>
            <w:tcW w:w="258" w:type="pct"/>
            <w:vAlign w:val="center"/>
          </w:tcPr>
          <w:p w14:paraId="098E0514" w14:textId="77777777" w:rsidR="00E901AD" w:rsidRPr="00365CE8" w:rsidRDefault="00E901AD" w:rsidP="0028541E">
            <w:pPr>
              <w:jc w:val="center"/>
              <w:rPr>
                <w:rFonts w:ascii="Times New Roman" w:hAnsi="Times New Roman" w:cs="Times New Roman"/>
                <w:sz w:val="28"/>
                <w:szCs w:val="28"/>
              </w:rPr>
            </w:pPr>
            <w:r w:rsidRPr="00365CE8">
              <w:rPr>
                <w:rFonts w:ascii="Times New Roman" w:hAnsi="Times New Roman" w:cs="Times New Roman"/>
                <w:sz w:val="28"/>
                <w:szCs w:val="28"/>
              </w:rPr>
              <w:t>8</w:t>
            </w:r>
          </w:p>
        </w:tc>
      </w:tr>
      <w:tr w:rsidR="00E901AD" w:rsidRPr="00365CE8" w14:paraId="09BDD83B" w14:textId="77777777" w:rsidTr="00412652">
        <w:trPr>
          <w:trHeight w:val="567"/>
        </w:trPr>
        <w:tc>
          <w:tcPr>
            <w:tcW w:w="4742" w:type="pct"/>
            <w:vAlign w:val="center"/>
          </w:tcPr>
          <w:p w14:paraId="5925A593" w14:textId="77777777" w:rsidR="00E901AD" w:rsidRPr="00365CE8" w:rsidRDefault="00E901AD" w:rsidP="0028541E">
            <w:pPr>
              <w:overflowPunct w:val="0"/>
              <w:autoSpaceDE w:val="0"/>
              <w:autoSpaceDN w:val="0"/>
              <w:adjustRightInd w:val="0"/>
              <w:jc w:val="both"/>
              <w:rPr>
                <w:rFonts w:ascii="Times New Roman" w:hAnsi="Times New Roman" w:cs="Times New Roman"/>
                <w:sz w:val="28"/>
              </w:rPr>
            </w:pPr>
            <w:r w:rsidRPr="00365CE8">
              <w:rPr>
                <w:rFonts w:ascii="Times New Roman" w:hAnsi="Times New Roman" w:cs="Times New Roman"/>
                <w:sz w:val="28"/>
              </w:rPr>
              <w:t>Висновки та рекомендації</w:t>
            </w:r>
          </w:p>
        </w:tc>
        <w:tc>
          <w:tcPr>
            <w:tcW w:w="258" w:type="pct"/>
            <w:vAlign w:val="center"/>
          </w:tcPr>
          <w:p w14:paraId="144DDA56" w14:textId="77777777" w:rsidR="00E901AD" w:rsidRPr="00365CE8" w:rsidRDefault="00E901AD" w:rsidP="00F33C68">
            <w:pPr>
              <w:jc w:val="center"/>
              <w:rPr>
                <w:rFonts w:ascii="Times New Roman" w:hAnsi="Times New Roman" w:cs="Times New Roman"/>
                <w:sz w:val="28"/>
                <w:szCs w:val="28"/>
              </w:rPr>
            </w:pPr>
            <w:r w:rsidRPr="00365CE8">
              <w:rPr>
                <w:rFonts w:ascii="Times New Roman" w:hAnsi="Times New Roman" w:cs="Times New Roman"/>
                <w:sz w:val="28"/>
                <w:szCs w:val="28"/>
              </w:rPr>
              <w:t>3</w:t>
            </w:r>
            <w:r w:rsidR="00F33C68" w:rsidRPr="00365CE8">
              <w:rPr>
                <w:rFonts w:ascii="Times New Roman" w:hAnsi="Times New Roman" w:cs="Times New Roman"/>
                <w:sz w:val="28"/>
                <w:szCs w:val="28"/>
              </w:rPr>
              <w:t>8</w:t>
            </w:r>
          </w:p>
        </w:tc>
      </w:tr>
      <w:tr w:rsidR="00E901AD" w:rsidRPr="00365CE8" w14:paraId="060EC12C" w14:textId="77777777" w:rsidTr="00412652">
        <w:trPr>
          <w:trHeight w:val="567"/>
        </w:trPr>
        <w:tc>
          <w:tcPr>
            <w:tcW w:w="4742" w:type="pct"/>
            <w:vAlign w:val="center"/>
          </w:tcPr>
          <w:p w14:paraId="531D11BF" w14:textId="77777777" w:rsidR="00E901AD" w:rsidRPr="00365CE8" w:rsidRDefault="00E901AD" w:rsidP="0028541E">
            <w:pPr>
              <w:overflowPunct w:val="0"/>
              <w:autoSpaceDE w:val="0"/>
              <w:autoSpaceDN w:val="0"/>
              <w:adjustRightInd w:val="0"/>
              <w:jc w:val="both"/>
              <w:rPr>
                <w:rFonts w:ascii="Times New Roman" w:hAnsi="Times New Roman" w:cs="Times New Roman"/>
                <w:sz w:val="28"/>
              </w:rPr>
            </w:pPr>
            <w:r w:rsidRPr="00365CE8">
              <w:rPr>
                <w:rFonts w:ascii="Times New Roman" w:hAnsi="Times New Roman" w:cs="Times New Roman"/>
                <w:sz w:val="28"/>
              </w:rPr>
              <w:t>Список використаних джерел</w:t>
            </w:r>
          </w:p>
        </w:tc>
        <w:tc>
          <w:tcPr>
            <w:tcW w:w="258" w:type="pct"/>
            <w:vAlign w:val="center"/>
          </w:tcPr>
          <w:p w14:paraId="1D3E9CB6" w14:textId="77777777" w:rsidR="00E901AD" w:rsidRPr="00365CE8" w:rsidRDefault="00E901AD" w:rsidP="0050288A">
            <w:pPr>
              <w:jc w:val="center"/>
              <w:rPr>
                <w:rFonts w:ascii="Times New Roman" w:hAnsi="Times New Roman" w:cs="Times New Roman"/>
                <w:sz w:val="28"/>
                <w:szCs w:val="28"/>
              </w:rPr>
            </w:pPr>
            <w:r w:rsidRPr="00365CE8">
              <w:rPr>
                <w:rFonts w:ascii="Times New Roman" w:hAnsi="Times New Roman" w:cs="Times New Roman"/>
                <w:sz w:val="28"/>
                <w:szCs w:val="28"/>
              </w:rPr>
              <w:t>4</w:t>
            </w:r>
            <w:r w:rsidR="0050288A" w:rsidRPr="00365CE8">
              <w:rPr>
                <w:rFonts w:ascii="Times New Roman" w:hAnsi="Times New Roman" w:cs="Times New Roman"/>
                <w:sz w:val="28"/>
                <w:szCs w:val="28"/>
              </w:rPr>
              <w:t>7</w:t>
            </w:r>
          </w:p>
        </w:tc>
      </w:tr>
      <w:tr w:rsidR="00E901AD" w:rsidRPr="00365CE8" w14:paraId="3FD08243" w14:textId="77777777" w:rsidTr="00412652">
        <w:trPr>
          <w:trHeight w:val="567"/>
        </w:trPr>
        <w:tc>
          <w:tcPr>
            <w:tcW w:w="4742" w:type="pct"/>
            <w:vAlign w:val="center"/>
          </w:tcPr>
          <w:p w14:paraId="7F155A4C" w14:textId="77777777" w:rsidR="00E901AD" w:rsidRPr="00365CE8" w:rsidRDefault="00E901AD" w:rsidP="0028541E">
            <w:pPr>
              <w:overflowPunct w:val="0"/>
              <w:autoSpaceDE w:val="0"/>
              <w:autoSpaceDN w:val="0"/>
              <w:adjustRightInd w:val="0"/>
              <w:jc w:val="both"/>
              <w:rPr>
                <w:rFonts w:ascii="Times New Roman" w:hAnsi="Times New Roman" w:cs="Times New Roman"/>
                <w:sz w:val="28"/>
              </w:rPr>
            </w:pPr>
            <w:r w:rsidRPr="00365CE8">
              <w:rPr>
                <w:rFonts w:ascii="Times New Roman" w:hAnsi="Times New Roman" w:cs="Times New Roman"/>
                <w:sz w:val="28"/>
              </w:rPr>
              <w:t>Додатки</w:t>
            </w:r>
          </w:p>
        </w:tc>
        <w:tc>
          <w:tcPr>
            <w:tcW w:w="258" w:type="pct"/>
            <w:vAlign w:val="center"/>
          </w:tcPr>
          <w:p w14:paraId="713600FB" w14:textId="77777777" w:rsidR="00E901AD" w:rsidRPr="00365CE8" w:rsidRDefault="0027211F" w:rsidP="0050288A">
            <w:pPr>
              <w:jc w:val="center"/>
              <w:rPr>
                <w:rFonts w:ascii="Times New Roman" w:hAnsi="Times New Roman" w:cs="Times New Roman"/>
                <w:sz w:val="28"/>
                <w:szCs w:val="28"/>
              </w:rPr>
            </w:pPr>
            <w:r w:rsidRPr="00365CE8">
              <w:rPr>
                <w:rFonts w:ascii="Times New Roman" w:hAnsi="Times New Roman" w:cs="Times New Roman"/>
                <w:sz w:val="28"/>
                <w:szCs w:val="28"/>
              </w:rPr>
              <w:t>5</w:t>
            </w:r>
            <w:r w:rsidR="0050288A" w:rsidRPr="00365CE8">
              <w:rPr>
                <w:rFonts w:ascii="Times New Roman" w:hAnsi="Times New Roman" w:cs="Times New Roman"/>
                <w:sz w:val="28"/>
                <w:szCs w:val="28"/>
              </w:rPr>
              <w:t>0</w:t>
            </w:r>
          </w:p>
        </w:tc>
      </w:tr>
    </w:tbl>
    <w:p w14:paraId="3D221F87" w14:textId="77777777" w:rsidR="00E901AD" w:rsidRPr="00365CE8" w:rsidRDefault="00E901AD" w:rsidP="0028541E">
      <w:pPr>
        <w:spacing w:after="0" w:line="240" w:lineRule="auto"/>
        <w:ind w:firstLine="624"/>
        <w:rPr>
          <w:rFonts w:ascii="Times New Roman" w:hAnsi="Times New Roman" w:cs="Times New Roman"/>
          <w:sz w:val="28"/>
          <w:szCs w:val="28"/>
        </w:rPr>
      </w:pPr>
    </w:p>
    <w:p w14:paraId="61205A0E" w14:textId="77777777" w:rsidR="009C2654" w:rsidRPr="00365CE8" w:rsidRDefault="009C2654" w:rsidP="0028541E">
      <w:pPr>
        <w:spacing w:after="0" w:line="240" w:lineRule="auto"/>
        <w:rPr>
          <w:rFonts w:ascii="Times New Roman" w:hAnsi="Times New Roman" w:cs="Times New Roman"/>
        </w:rPr>
      </w:pPr>
    </w:p>
    <w:p w14:paraId="312BA706" w14:textId="77777777" w:rsidR="00AA0CBA" w:rsidRPr="00365CE8" w:rsidRDefault="00AA0CBA" w:rsidP="0028541E">
      <w:pPr>
        <w:spacing w:after="0" w:line="240" w:lineRule="auto"/>
        <w:rPr>
          <w:rFonts w:ascii="Times New Roman" w:hAnsi="Times New Roman" w:cs="Times New Roman"/>
        </w:rPr>
      </w:pPr>
    </w:p>
    <w:p w14:paraId="72B36625" w14:textId="77777777" w:rsidR="00AA0CBA" w:rsidRPr="00365CE8" w:rsidRDefault="00AA0CBA" w:rsidP="0028541E">
      <w:pPr>
        <w:spacing w:after="0" w:line="240" w:lineRule="auto"/>
        <w:rPr>
          <w:rFonts w:ascii="Times New Roman" w:hAnsi="Times New Roman" w:cs="Times New Roman"/>
        </w:rPr>
      </w:pPr>
      <w:r w:rsidRPr="00365CE8">
        <w:rPr>
          <w:rFonts w:ascii="Times New Roman" w:hAnsi="Times New Roman" w:cs="Times New Roman"/>
        </w:rPr>
        <w:br w:type="page"/>
      </w:r>
    </w:p>
    <w:p w14:paraId="676298E4" w14:textId="77777777" w:rsidR="00AA0CBA" w:rsidRPr="00365CE8" w:rsidRDefault="00AA0CBA" w:rsidP="0028541E">
      <w:pPr>
        <w:widowControl w:val="0"/>
        <w:spacing w:after="0" w:line="240" w:lineRule="auto"/>
        <w:jc w:val="center"/>
        <w:rPr>
          <w:rFonts w:ascii="Times New Roman" w:hAnsi="Times New Roman" w:cs="Times New Roman"/>
          <w:b/>
          <w:sz w:val="28"/>
          <w:szCs w:val="28"/>
        </w:rPr>
      </w:pPr>
      <w:r w:rsidRPr="00365CE8">
        <w:rPr>
          <w:rFonts w:ascii="Times New Roman" w:hAnsi="Times New Roman" w:cs="Times New Roman"/>
          <w:b/>
          <w:sz w:val="28"/>
          <w:szCs w:val="28"/>
        </w:rPr>
        <w:lastRenderedPageBreak/>
        <w:t>ВСТУП</w:t>
      </w:r>
    </w:p>
    <w:p w14:paraId="4C9061FB" w14:textId="77777777" w:rsidR="00BC569E" w:rsidRPr="00365CE8" w:rsidRDefault="00BC569E" w:rsidP="0028541E">
      <w:pPr>
        <w:widowControl w:val="0"/>
        <w:spacing w:after="0" w:line="240" w:lineRule="auto"/>
        <w:ind w:firstLine="709"/>
        <w:jc w:val="both"/>
        <w:rPr>
          <w:rFonts w:ascii="Times New Roman" w:hAnsi="Times New Roman" w:cs="Times New Roman"/>
          <w:sz w:val="28"/>
          <w:szCs w:val="28"/>
        </w:rPr>
      </w:pPr>
    </w:p>
    <w:p w14:paraId="5A0BBD63" w14:textId="77777777" w:rsidR="00322E39" w:rsidRPr="00365CE8" w:rsidRDefault="00AA0CBA" w:rsidP="00322E39">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b/>
          <w:sz w:val="28"/>
          <w:szCs w:val="28"/>
        </w:rPr>
        <w:t>Актуальність теми.</w:t>
      </w:r>
      <w:r w:rsidR="00C35E3B" w:rsidRPr="00365CE8">
        <w:rPr>
          <w:rFonts w:ascii="Times New Roman" w:hAnsi="Times New Roman" w:cs="Times New Roman"/>
          <w:b/>
          <w:sz w:val="28"/>
          <w:szCs w:val="28"/>
        </w:rPr>
        <w:t xml:space="preserve"> </w:t>
      </w:r>
      <w:r w:rsidR="00322E39" w:rsidRPr="00365CE8">
        <w:rPr>
          <w:rFonts w:ascii="Times New Roman" w:hAnsi="Times New Roman" w:cs="Times New Roman"/>
          <w:sz w:val="28"/>
          <w:szCs w:val="28"/>
        </w:rPr>
        <w:t>Інвестиційна привабливість країни служить індикатором успішності економічної політики передусім на макрорівні. Цей комплексний показник піддається впливу численних факторів, які можуть діяти як безпосередньо, так і опосередковано. Важливою особливістю інвестиційної привабливості є її тривале формування, яке визначається узгодженим впливом різноманітних заходів, вжитих державними та приватними структурами, за відсутності суттєвих зовнішніх негативних впливів.</w:t>
      </w:r>
    </w:p>
    <w:p w14:paraId="0F6D6BB0" w14:textId="77777777" w:rsidR="00F878C6" w:rsidRPr="00365CE8" w:rsidRDefault="00F878C6" w:rsidP="00F878C6">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Україна, як країна з великим природним багатством, вигідним географічним положенням та значним науковим та інтелектуальним потенціалом, привертає значний інтерес для співпраці з іншими країнами, зокрема для іноземних інвесторів. Це сприяє утворенню надійних та тривалих зовнішньоекономічних відносин та створює нові можливості для розвитку промисловості, сільського господарства, науково-технічної та інноваційної сфер, енергетики та інформаційних технологій.</w:t>
      </w:r>
    </w:p>
    <w:p w14:paraId="73C907EA" w14:textId="77777777" w:rsidR="00F878C6" w:rsidRPr="00365CE8" w:rsidRDefault="00F878C6" w:rsidP="00F878C6">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Однак події останнього року негативно вплинули на розвиток України та іноземні інвестиції. Зниження інвестиційної привабливості викликало економічний спад, обмеження диверсифікації внутрішньої та зовнішньої діяльності та погіршення добробуту громадян. У зв'язку з цим, вирішення питань щодо підвищення рівня інвестиційної привабливості України стає надзвичайно актуальним.</w:t>
      </w:r>
    </w:p>
    <w:p w14:paraId="02419911" w14:textId="77777777" w:rsidR="0068177F" w:rsidRPr="00365CE8" w:rsidRDefault="0068177F" w:rsidP="00322E39">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 xml:space="preserve">Проблеми </w:t>
      </w:r>
      <w:r w:rsidR="00322E39" w:rsidRPr="00365CE8">
        <w:rPr>
          <w:rFonts w:ascii="Times New Roman" w:hAnsi="Times New Roman" w:cs="Times New Roman"/>
          <w:sz w:val="28"/>
          <w:szCs w:val="28"/>
        </w:rPr>
        <w:t xml:space="preserve">дослідження </w:t>
      </w:r>
      <w:r w:rsidRPr="00365CE8">
        <w:rPr>
          <w:rFonts w:ascii="Times New Roman" w:hAnsi="Times New Roman" w:cs="Times New Roman"/>
          <w:sz w:val="28"/>
          <w:szCs w:val="28"/>
        </w:rPr>
        <w:t xml:space="preserve">перспектив розвитку </w:t>
      </w:r>
      <w:r w:rsidR="00322E39" w:rsidRPr="00365CE8">
        <w:rPr>
          <w:rFonts w:ascii="Times New Roman" w:hAnsi="Times New Roman" w:cs="Times New Roman"/>
          <w:sz w:val="28"/>
          <w:szCs w:val="28"/>
        </w:rPr>
        <w:t>інвестиційних</w:t>
      </w:r>
      <w:r w:rsidRPr="00365CE8">
        <w:rPr>
          <w:rFonts w:ascii="Times New Roman" w:hAnsi="Times New Roman" w:cs="Times New Roman"/>
          <w:sz w:val="28"/>
          <w:szCs w:val="28"/>
        </w:rPr>
        <w:t xml:space="preserve"> відносин України з і</w:t>
      </w:r>
      <w:r w:rsidR="00322E39" w:rsidRPr="00365CE8">
        <w:rPr>
          <w:rFonts w:ascii="Times New Roman" w:hAnsi="Times New Roman" w:cs="Times New Roman"/>
          <w:sz w:val="28"/>
          <w:szCs w:val="28"/>
        </w:rPr>
        <w:t>ншими країнами вивчали такі нау</w:t>
      </w:r>
      <w:r w:rsidRPr="00365CE8">
        <w:rPr>
          <w:rFonts w:ascii="Times New Roman" w:hAnsi="Times New Roman" w:cs="Times New Roman"/>
          <w:sz w:val="28"/>
          <w:szCs w:val="28"/>
        </w:rPr>
        <w:t xml:space="preserve">ковці як Я. </w:t>
      </w:r>
      <w:proofErr w:type="spellStart"/>
      <w:r w:rsidRPr="00365CE8">
        <w:rPr>
          <w:rFonts w:ascii="Times New Roman" w:hAnsi="Times New Roman" w:cs="Times New Roman"/>
          <w:sz w:val="28"/>
          <w:szCs w:val="28"/>
        </w:rPr>
        <w:t>Болтівець</w:t>
      </w:r>
      <w:proofErr w:type="spellEnd"/>
      <w:r w:rsidRPr="00365CE8">
        <w:rPr>
          <w:rFonts w:ascii="Times New Roman" w:hAnsi="Times New Roman" w:cs="Times New Roman"/>
          <w:sz w:val="28"/>
          <w:szCs w:val="28"/>
        </w:rPr>
        <w:t xml:space="preserve">, В. Козик, М. </w:t>
      </w:r>
      <w:proofErr w:type="spellStart"/>
      <w:r w:rsidRPr="00365CE8">
        <w:rPr>
          <w:rFonts w:ascii="Times New Roman" w:hAnsi="Times New Roman" w:cs="Times New Roman"/>
          <w:sz w:val="28"/>
          <w:szCs w:val="28"/>
        </w:rPr>
        <w:t>Кулінич</w:t>
      </w:r>
      <w:proofErr w:type="spellEnd"/>
      <w:r w:rsidRPr="00365CE8">
        <w:rPr>
          <w:rFonts w:ascii="Times New Roman" w:hAnsi="Times New Roman" w:cs="Times New Roman"/>
          <w:sz w:val="28"/>
          <w:szCs w:val="28"/>
        </w:rPr>
        <w:t>, О. Кравченко</w:t>
      </w:r>
      <w:r w:rsidR="00322E39" w:rsidRPr="00365CE8">
        <w:rPr>
          <w:rFonts w:ascii="Times New Roman" w:hAnsi="Times New Roman" w:cs="Times New Roman"/>
          <w:sz w:val="28"/>
          <w:szCs w:val="28"/>
        </w:rPr>
        <w:t>,</w:t>
      </w:r>
      <w:r w:rsidRPr="00365CE8">
        <w:rPr>
          <w:rFonts w:ascii="Times New Roman" w:hAnsi="Times New Roman" w:cs="Times New Roman"/>
          <w:sz w:val="28"/>
          <w:szCs w:val="28"/>
        </w:rPr>
        <w:t xml:space="preserve"> Т. </w:t>
      </w:r>
      <w:proofErr w:type="spellStart"/>
      <w:r w:rsidRPr="00365CE8">
        <w:rPr>
          <w:rFonts w:ascii="Times New Roman" w:hAnsi="Times New Roman" w:cs="Times New Roman"/>
          <w:sz w:val="28"/>
          <w:szCs w:val="28"/>
        </w:rPr>
        <w:t>Лахматюк</w:t>
      </w:r>
      <w:proofErr w:type="spellEnd"/>
      <w:r w:rsidRPr="00365CE8">
        <w:rPr>
          <w:rFonts w:ascii="Times New Roman" w:hAnsi="Times New Roman" w:cs="Times New Roman"/>
          <w:sz w:val="28"/>
          <w:szCs w:val="28"/>
        </w:rPr>
        <w:t>, К. Куркова</w:t>
      </w:r>
      <w:r w:rsidR="00322E39" w:rsidRPr="00365CE8">
        <w:rPr>
          <w:rFonts w:ascii="Times New Roman" w:hAnsi="Times New Roman" w:cs="Times New Roman"/>
          <w:sz w:val="28"/>
          <w:szCs w:val="28"/>
        </w:rPr>
        <w:t>,</w:t>
      </w:r>
      <w:r w:rsidRPr="00365CE8">
        <w:rPr>
          <w:rFonts w:ascii="Times New Roman" w:hAnsi="Times New Roman" w:cs="Times New Roman"/>
          <w:sz w:val="28"/>
          <w:szCs w:val="28"/>
        </w:rPr>
        <w:t xml:space="preserve"> О. </w:t>
      </w:r>
      <w:proofErr w:type="spellStart"/>
      <w:r w:rsidRPr="00365CE8">
        <w:rPr>
          <w:rFonts w:ascii="Times New Roman" w:hAnsi="Times New Roman" w:cs="Times New Roman"/>
          <w:sz w:val="28"/>
          <w:szCs w:val="28"/>
        </w:rPr>
        <w:t>Іпатюк</w:t>
      </w:r>
      <w:proofErr w:type="spellEnd"/>
      <w:r w:rsidRPr="00365CE8">
        <w:rPr>
          <w:rFonts w:ascii="Times New Roman" w:hAnsi="Times New Roman" w:cs="Times New Roman"/>
          <w:sz w:val="28"/>
          <w:szCs w:val="28"/>
        </w:rPr>
        <w:t>, та інші.</w:t>
      </w:r>
    </w:p>
    <w:p w14:paraId="2999DACC" w14:textId="77777777" w:rsidR="00F878C6" w:rsidRPr="00365CE8" w:rsidRDefault="00322E39" w:rsidP="00322E39">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Теоретичному та практичному д</w:t>
      </w:r>
      <w:r w:rsidR="0068177F" w:rsidRPr="00365CE8">
        <w:rPr>
          <w:rFonts w:ascii="Times New Roman" w:hAnsi="Times New Roman" w:cs="Times New Roman"/>
          <w:sz w:val="28"/>
          <w:szCs w:val="28"/>
        </w:rPr>
        <w:t xml:space="preserve">ослідженню питань підвищення інвестиційної привабливості України присвятили свої роботи </w:t>
      </w:r>
      <w:r w:rsidRPr="00365CE8">
        <w:rPr>
          <w:rFonts w:ascii="Times New Roman" w:hAnsi="Times New Roman" w:cs="Times New Roman"/>
          <w:sz w:val="28"/>
          <w:szCs w:val="28"/>
        </w:rPr>
        <w:t xml:space="preserve">Ю. Швець </w:t>
      </w:r>
      <w:r w:rsidR="0068177F" w:rsidRPr="00365CE8">
        <w:rPr>
          <w:rFonts w:ascii="Times New Roman" w:hAnsi="Times New Roman" w:cs="Times New Roman"/>
          <w:sz w:val="28"/>
          <w:szCs w:val="28"/>
        </w:rPr>
        <w:t xml:space="preserve">В. Карасьов, </w:t>
      </w:r>
      <w:r w:rsidRPr="00365CE8">
        <w:rPr>
          <w:rFonts w:ascii="Times New Roman" w:hAnsi="Times New Roman" w:cs="Times New Roman"/>
          <w:sz w:val="28"/>
          <w:szCs w:val="28"/>
        </w:rPr>
        <w:t xml:space="preserve">М. </w:t>
      </w:r>
      <w:proofErr w:type="spellStart"/>
      <w:r w:rsidRPr="00365CE8">
        <w:rPr>
          <w:rFonts w:ascii="Times New Roman" w:hAnsi="Times New Roman" w:cs="Times New Roman"/>
          <w:sz w:val="28"/>
          <w:szCs w:val="28"/>
        </w:rPr>
        <w:t>Єрмошенко</w:t>
      </w:r>
      <w:proofErr w:type="spellEnd"/>
      <w:r w:rsidR="0068177F" w:rsidRPr="00365CE8">
        <w:rPr>
          <w:rFonts w:ascii="Times New Roman" w:hAnsi="Times New Roman" w:cs="Times New Roman"/>
          <w:sz w:val="28"/>
          <w:szCs w:val="28"/>
        </w:rPr>
        <w:t xml:space="preserve">, </w:t>
      </w:r>
      <w:r w:rsidRPr="00365CE8">
        <w:rPr>
          <w:rFonts w:ascii="Times New Roman" w:hAnsi="Times New Roman" w:cs="Times New Roman"/>
          <w:sz w:val="28"/>
          <w:szCs w:val="28"/>
        </w:rPr>
        <w:t xml:space="preserve">О. </w:t>
      </w:r>
      <w:proofErr w:type="spellStart"/>
      <w:r w:rsidRPr="00365CE8">
        <w:rPr>
          <w:rFonts w:ascii="Times New Roman" w:hAnsi="Times New Roman" w:cs="Times New Roman"/>
          <w:sz w:val="28"/>
          <w:szCs w:val="28"/>
        </w:rPr>
        <w:t>Ястремська</w:t>
      </w:r>
      <w:proofErr w:type="spellEnd"/>
      <w:r w:rsidRPr="00365CE8">
        <w:rPr>
          <w:rFonts w:ascii="Times New Roman" w:hAnsi="Times New Roman" w:cs="Times New Roman"/>
          <w:sz w:val="28"/>
          <w:szCs w:val="28"/>
        </w:rPr>
        <w:t xml:space="preserve">, </w:t>
      </w:r>
      <w:r w:rsidR="0068177F" w:rsidRPr="00365CE8">
        <w:rPr>
          <w:rFonts w:ascii="Times New Roman" w:hAnsi="Times New Roman" w:cs="Times New Roman"/>
          <w:sz w:val="28"/>
          <w:szCs w:val="28"/>
        </w:rPr>
        <w:t xml:space="preserve">О. </w:t>
      </w:r>
      <w:proofErr w:type="spellStart"/>
      <w:r w:rsidR="0068177F" w:rsidRPr="00365CE8">
        <w:rPr>
          <w:rFonts w:ascii="Times New Roman" w:hAnsi="Times New Roman" w:cs="Times New Roman"/>
          <w:sz w:val="28"/>
          <w:szCs w:val="28"/>
        </w:rPr>
        <w:t>Кузенко</w:t>
      </w:r>
      <w:proofErr w:type="spellEnd"/>
      <w:r w:rsidR="0068177F" w:rsidRPr="00365CE8">
        <w:rPr>
          <w:rFonts w:ascii="Times New Roman" w:hAnsi="Times New Roman" w:cs="Times New Roman"/>
          <w:sz w:val="28"/>
          <w:szCs w:val="28"/>
        </w:rPr>
        <w:t xml:space="preserve">, </w:t>
      </w:r>
      <w:r w:rsidRPr="00365CE8">
        <w:rPr>
          <w:rFonts w:ascii="Times New Roman" w:hAnsi="Times New Roman" w:cs="Times New Roman"/>
          <w:sz w:val="28"/>
          <w:szCs w:val="28"/>
        </w:rPr>
        <w:t xml:space="preserve">Л. Клименко, Є. Солонина, А. </w:t>
      </w:r>
      <w:proofErr w:type="spellStart"/>
      <w:r w:rsidRPr="00365CE8">
        <w:rPr>
          <w:rFonts w:ascii="Times New Roman" w:hAnsi="Times New Roman" w:cs="Times New Roman"/>
          <w:sz w:val="28"/>
          <w:szCs w:val="28"/>
        </w:rPr>
        <w:t>Тро</w:t>
      </w:r>
      <w:r w:rsidR="0068177F" w:rsidRPr="00365CE8">
        <w:rPr>
          <w:rFonts w:ascii="Times New Roman" w:hAnsi="Times New Roman" w:cs="Times New Roman"/>
          <w:sz w:val="28"/>
          <w:szCs w:val="28"/>
        </w:rPr>
        <w:t>фимчук</w:t>
      </w:r>
      <w:proofErr w:type="spellEnd"/>
      <w:r w:rsidRPr="00365CE8">
        <w:rPr>
          <w:rFonts w:ascii="Times New Roman" w:hAnsi="Times New Roman" w:cs="Times New Roman"/>
          <w:sz w:val="28"/>
          <w:szCs w:val="28"/>
        </w:rPr>
        <w:t xml:space="preserve">  та </w:t>
      </w:r>
      <w:proofErr w:type="spellStart"/>
      <w:r w:rsidRPr="00365CE8">
        <w:rPr>
          <w:rFonts w:ascii="Times New Roman" w:hAnsi="Times New Roman" w:cs="Times New Roman"/>
          <w:sz w:val="28"/>
          <w:szCs w:val="28"/>
        </w:rPr>
        <w:t>інш</w:t>
      </w:r>
      <w:proofErr w:type="spellEnd"/>
      <w:r w:rsidR="0068177F" w:rsidRPr="00365CE8">
        <w:rPr>
          <w:rFonts w:ascii="Times New Roman" w:hAnsi="Times New Roman" w:cs="Times New Roman"/>
          <w:sz w:val="28"/>
          <w:szCs w:val="28"/>
        </w:rPr>
        <w:t xml:space="preserve">. </w:t>
      </w:r>
      <w:r w:rsidRPr="00365CE8">
        <w:rPr>
          <w:rFonts w:ascii="Times New Roman" w:hAnsi="Times New Roman" w:cs="Times New Roman"/>
          <w:sz w:val="28"/>
          <w:szCs w:val="28"/>
        </w:rPr>
        <w:t xml:space="preserve">Суттєве значення у взаємодії з іноземними інвесторами відводиться правовому регулюванню зовнішньоекономічних відносин України. Надзвичайно важливий вплив цього правового каркасу на привабливість країни для зовнішніх інвестицій та налагодження ефективних ділових стосунків із міжнародними партнерами стає визначальним фактором в сучасному економічному середовищі. </w:t>
      </w:r>
    </w:p>
    <w:p w14:paraId="0E6B91BE" w14:textId="77777777" w:rsidR="00322E39" w:rsidRPr="00365CE8" w:rsidRDefault="00322E39" w:rsidP="00322E39">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 xml:space="preserve">Однак, навіть короткотривалі негативні впливи можуть раптово знизити привабливість країни для інвесторів. Таким чином, інвестиційна привабливість виступає важливою складовою стратегії сталого економічного розвитку держави. Дослідження цього показника має велике теоретичне та практичне значення, особливо в умовах структурних зрушень національної економіки. </w:t>
      </w:r>
    </w:p>
    <w:p w14:paraId="4FC2D108" w14:textId="77777777" w:rsidR="00AA0CBA" w:rsidRPr="00365CE8" w:rsidRDefault="00AA0CBA" w:rsidP="0028541E">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 xml:space="preserve">Все це робить актуальною обрану тему дослідження стану та </w:t>
      </w:r>
      <w:r w:rsidR="00020B4A" w:rsidRPr="00365CE8">
        <w:rPr>
          <w:rFonts w:ascii="Times New Roman" w:hAnsi="Times New Roman" w:cs="Times New Roman"/>
          <w:sz w:val="28"/>
          <w:szCs w:val="28"/>
        </w:rPr>
        <w:t>перспектив</w:t>
      </w:r>
      <w:r w:rsidRPr="00365CE8">
        <w:rPr>
          <w:rFonts w:ascii="Times New Roman" w:hAnsi="Times New Roman" w:cs="Times New Roman"/>
          <w:sz w:val="28"/>
          <w:szCs w:val="28"/>
        </w:rPr>
        <w:t xml:space="preserve"> розвитку галузі </w:t>
      </w:r>
      <w:r w:rsidR="00C93626" w:rsidRPr="00365CE8">
        <w:rPr>
          <w:rFonts w:ascii="Times New Roman" w:hAnsi="Times New Roman" w:cs="Times New Roman"/>
          <w:sz w:val="28"/>
          <w:szCs w:val="28"/>
        </w:rPr>
        <w:t>видобутку руди в</w:t>
      </w:r>
      <w:r w:rsidRPr="00365CE8">
        <w:rPr>
          <w:rFonts w:ascii="Times New Roman" w:hAnsi="Times New Roman" w:cs="Times New Roman"/>
          <w:sz w:val="28"/>
          <w:szCs w:val="28"/>
        </w:rPr>
        <w:t xml:space="preserve"> Україні.</w:t>
      </w:r>
    </w:p>
    <w:p w14:paraId="7FDA03C8" w14:textId="77777777" w:rsidR="00660E8D" w:rsidRPr="00365CE8" w:rsidRDefault="00AA0CBA" w:rsidP="0028541E">
      <w:pPr>
        <w:widowControl w:val="0"/>
        <w:spacing w:after="0" w:line="240" w:lineRule="auto"/>
        <w:ind w:firstLine="709"/>
        <w:jc w:val="both"/>
        <w:rPr>
          <w:rFonts w:ascii="Times New Roman" w:eastAsia="Calibri" w:hAnsi="Times New Roman" w:cs="Times New Roman"/>
          <w:sz w:val="28"/>
        </w:rPr>
      </w:pPr>
      <w:r w:rsidRPr="00365CE8">
        <w:rPr>
          <w:rFonts w:ascii="Times New Roman" w:eastAsia="Calibri" w:hAnsi="Times New Roman" w:cs="Times New Roman"/>
          <w:b/>
          <w:sz w:val="28"/>
        </w:rPr>
        <w:t>Мета і завдання кваліфікаційної роботи</w:t>
      </w:r>
      <w:r w:rsidRPr="00365CE8">
        <w:rPr>
          <w:rFonts w:ascii="Times New Roman" w:eastAsia="Calibri" w:hAnsi="Times New Roman" w:cs="Times New Roman"/>
          <w:sz w:val="28"/>
        </w:rPr>
        <w:t xml:space="preserve">. Метою </w:t>
      </w:r>
      <w:r w:rsidR="00020B4A" w:rsidRPr="00365CE8">
        <w:rPr>
          <w:rFonts w:ascii="Times New Roman" w:eastAsia="Calibri" w:hAnsi="Times New Roman" w:cs="Times New Roman"/>
          <w:sz w:val="28"/>
        </w:rPr>
        <w:t>магістерської</w:t>
      </w:r>
      <w:r w:rsidRPr="00365CE8">
        <w:rPr>
          <w:rFonts w:ascii="Times New Roman" w:eastAsia="Calibri" w:hAnsi="Times New Roman" w:cs="Times New Roman"/>
          <w:sz w:val="28"/>
        </w:rPr>
        <w:t xml:space="preserve"> кваліфікаційної роботи є </w:t>
      </w:r>
      <w:r w:rsidR="00660E8D" w:rsidRPr="00365CE8">
        <w:rPr>
          <w:rFonts w:ascii="Times New Roman" w:eastAsia="Calibri" w:hAnsi="Times New Roman" w:cs="Times New Roman"/>
          <w:sz w:val="28"/>
        </w:rPr>
        <w:t xml:space="preserve">проведення </w:t>
      </w:r>
      <w:r w:rsidR="00660E8D" w:rsidRPr="00365CE8">
        <w:rPr>
          <w:rFonts w:ascii="Times New Roman" w:hAnsi="Times New Roman" w:cs="Times New Roman"/>
          <w:sz w:val="28"/>
          <w:szCs w:val="28"/>
        </w:rPr>
        <w:t>оцінки та визначення напрямів підвищення інвестиційної привабливості країни.</w:t>
      </w:r>
      <w:r w:rsidR="00660E8D" w:rsidRPr="00365CE8">
        <w:rPr>
          <w:rFonts w:ascii="Times New Roman" w:hAnsi="Times New Roman" w:cs="Times New Roman"/>
          <w:sz w:val="28"/>
          <w:szCs w:val="28"/>
          <w:u w:val="single"/>
        </w:rPr>
        <w:t xml:space="preserve"> </w:t>
      </w:r>
    </w:p>
    <w:p w14:paraId="69D014BA" w14:textId="77777777" w:rsidR="00AA0CBA" w:rsidRPr="00365CE8" w:rsidRDefault="00660E8D" w:rsidP="0028541E">
      <w:pPr>
        <w:widowControl w:val="0"/>
        <w:spacing w:after="0" w:line="240" w:lineRule="auto"/>
        <w:ind w:firstLine="709"/>
        <w:jc w:val="both"/>
        <w:rPr>
          <w:rFonts w:ascii="Times New Roman" w:eastAsia="Calibri" w:hAnsi="Times New Roman" w:cs="Times New Roman"/>
          <w:sz w:val="28"/>
        </w:rPr>
      </w:pPr>
      <w:r w:rsidRPr="00365CE8">
        <w:rPr>
          <w:rFonts w:ascii="Times New Roman" w:eastAsia="Calibri" w:hAnsi="Times New Roman" w:cs="Times New Roman"/>
          <w:sz w:val="28"/>
        </w:rPr>
        <w:t>Процес р</w:t>
      </w:r>
      <w:r w:rsidR="00AA0CBA" w:rsidRPr="00365CE8">
        <w:rPr>
          <w:rFonts w:ascii="Times New Roman" w:eastAsia="Calibri" w:hAnsi="Times New Roman" w:cs="Times New Roman"/>
          <w:sz w:val="28"/>
        </w:rPr>
        <w:t>еалізаці</w:t>
      </w:r>
      <w:r w:rsidRPr="00365CE8">
        <w:rPr>
          <w:rFonts w:ascii="Times New Roman" w:eastAsia="Calibri" w:hAnsi="Times New Roman" w:cs="Times New Roman"/>
          <w:sz w:val="28"/>
        </w:rPr>
        <w:t>ї</w:t>
      </w:r>
      <w:r w:rsidR="00AA0CBA" w:rsidRPr="00365CE8">
        <w:rPr>
          <w:rFonts w:ascii="Times New Roman" w:eastAsia="Calibri" w:hAnsi="Times New Roman" w:cs="Times New Roman"/>
          <w:sz w:val="28"/>
        </w:rPr>
        <w:t xml:space="preserve"> поставленої мети потребує вирішення таких завдань:</w:t>
      </w:r>
    </w:p>
    <w:p w14:paraId="6EB8142F" w14:textId="77777777" w:rsidR="00AA0CBA" w:rsidRPr="00365CE8" w:rsidRDefault="00AA0CBA" w:rsidP="0028541E">
      <w:pPr>
        <w:pStyle w:val="a5"/>
        <w:numPr>
          <w:ilvl w:val="0"/>
          <w:numId w:val="2"/>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lastRenderedPageBreak/>
        <w:t xml:space="preserve">виконати аналіз та узагальнення теоретико-методологічних аспектів </w:t>
      </w:r>
      <w:r w:rsidR="005D5889" w:rsidRPr="00365CE8">
        <w:rPr>
          <w:rFonts w:ascii="Times New Roman" w:hAnsi="Times New Roman" w:cs="Times New Roman"/>
          <w:sz w:val="28"/>
          <w:szCs w:val="28"/>
        </w:rPr>
        <w:t>оцінки інвестиційної привабливості країни</w:t>
      </w:r>
      <w:r w:rsidRPr="00365CE8">
        <w:rPr>
          <w:rFonts w:ascii="Times New Roman" w:hAnsi="Times New Roman" w:cs="Times New Roman"/>
          <w:sz w:val="28"/>
          <w:szCs w:val="28"/>
        </w:rPr>
        <w:t>;</w:t>
      </w:r>
    </w:p>
    <w:p w14:paraId="26EB4F81" w14:textId="77777777" w:rsidR="00AA0CBA" w:rsidRPr="00365CE8" w:rsidRDefault="005D5889" w:rsidP="0028541E">
      <w:pPr>
        <w:pStyle w:val="a5"/>
        <w:numPr>
          <w:ilvl w:val="0"/>
          <w:numId w:val="2"/>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 xml:space="preserve">дослідити динаміку іноземних інвестицій  в </w:t>
      </w:r>
      <w:r w:rsidR="004C1A44" w:rsidRPr="00365CE8">
        <w:rPr>
          <w:rFonts w:ascii="Times New Roman" w:hAnsi="Times New Roman" w:cs="Times New Roman"/>
          <w:sz w:val="28"/>
          <w:szCs w:val="28"/>
        </w:rPr>
        <w:t>Україн</w:t>
      </w:r>
      <w:r w:rsidRPr="00365CE8">
        <w:rPr>
          <w:rFonts w:ascii="Times New Roman" w:hAnsi="Times New Roman" w:cs="Times New Roman"/>
          <w:sz w:val="28"/>
          <w:szCs w:val="28"/>
        </w:rPr>
        <w:t>у</w:t>
      </w:r>
      <w:r w:rsidR="00AA0CBA" w:rsidRPr="00365CE8">
        <w:rPr>
          <w:rFonts w:ascii="Times New Roman" w:hAnsi="Times New Roman" w:cs="Times New Roman"/>
          <w:sz w:val="28"/>
          <w:szCs w:val="28"/>
        </w:rPr>
        <w:t>;</w:t>
      </w:r>
    </w:p>
    <w:p w14:paraId="2C55C83A" w14:textId="77777777" w:rsidR="00AA0CBA" w:rsidRPr="00365CE8" w:rsidRDefault="00AA0CBA" w:rsidP="0028541E">
      <w:pPr>
        <w:pStyle w:val="a5"/>
        <w:numPr>
          <w:ilvl w:val="0"/>
          <w:numId w:val="2"/>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 xml:space="preserve">провести аналіз </w:t>
      </w:r>
      <w:r w:rsidR="005D5889" w:rsidRPr="00365CE8">
        <w:rPr>
          <w:rFonts w:ascii="Times New Roman" w:hAnsi="Times New Roman" w:cs="Times New Roman"/>
          <w:sz w:val="28"/>
          <w:szCs w:val="28"/>
        </w:rPr>
        <w:t>позиції України в міжнародних рейтингах</w:t>
      </w:r>
      <w:r w:rsidRPr="00365CE8">
        <w:rPr>
          <w:rFonts w:ascii="Times New Roman" w:hAnsi="Times New Roman" w:cs="Times New Roman"/>
          <w:sz w:val="28"/>
          <w:szCs w:val="28"/>
        </w:rPr>
        <w:t>;</w:t>
      </w:r>
    </w:p>
    <w:p w14:paraId="71EF3408" w14:textId="77777777" w:rsidR="00AA0CBA" w:rsidRPr="00365CE8" w:rsidRDefault="00AA0CBA" w:rsidP="0028541E">
      <w:pPr>
        <w:pStyle w:val="a5"/>
        <w:numPr>
          <w:ilvl w:val="0"/>
          <w:numId w:val="2"/>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 xml:space="preserve">дослідити </w:t>
      </w:r>
      <w:r w:rsidR="005D5889" w:rsidRPr="00365CE8">
        <w:rPr>
          <w:rFonts w:ascii="Times New Roman" w:hAnsi="Times New Roman" w:cs="Times New Roman"/>
          <w:sz w:val="28"/>
          <w:szCs w:val="28"/>
        </w:rPr>
        <w:t>розподіл іноземних інвестицій за областями України протягом останніх трьох років</w:t>
      </w:r>
      <w:r w:rsidRPr="00365CE8">
        <w:rPr>
          <w:rFonts w:ascii="Times New Roman" w:hAnsi="Times New Roman" w:cs="Times New Roman"/>
          <w:sz w:val="28"/>
          <w:szCs w:val="28"/>
        </w:rPr>
        <w:t>;</w:t>
      </w:r>
    </w:p>
    <w:p w14:paraId="00AC0461" w14:textId="77777777" w:rsidR="005D5889" w:rsidRPr="00365CE8" w:rsidRDefault="005D5889" w:rsidP="0028541E">
      <w:pPr>
        <w:pStyle w:val="a5"/>
        <w:numPr>
          <w:ilvl w:val="0"/>
          <w:numId w:val="2"/>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дослідити розподіл іноземних інвестицій за галузями України протягом останніх трьох років;</w:t>
      </w:r>
    </w:p>
    <w:p w14:paraId="6230BF40" w14:textId="77777777" w:rsidR="005D5889" w:rsidRPr="00365CE8" w:rsidRDefault="00AA0CBA" w:rsidP="0028541E">
      <w:pPr>
        <w:pStyle w:val="a5"/>
        <w:numPr>
          <w:ilvl w:val="0"/>
          <w:numId w:val="2"/>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 xml:space="preserve">дослідити динаміку </w:t>
      </w:r>
      <w:r w:rsidR="005D5889" w:rsidRPr="00365CE8">
        <w:rPr>
          <w:rFonts w:ascii="Times New Roman" w:hAnsi="Times New Roman" w:cs="Times New Roman"/>
          <w:sz w:val="28"/>
          <w:szCs w:val="28"/>
        </w:rPr>
        <w:t>зміни міжнародної інвестиційної позиції України</w:t>
      </w:r>
      <w:r w:rsidR="00226F5F" w:rsidRPr="00365CE8">
        <w:rPr>
          <w:rFonts w:ascii="Times New Roman" w:hAnsi="Times New Roman" w:cs="Times New Roman"/>
          <w:sz w:val="28"/>
          <w:szCs w:val="28"/>
        </w:rPr>
        <w:t>;</w:t>
      </w:r>
    </w:p>
    <w:p w14:paraId="0325D511" w14:textId="77777777" w:rsidR="00AA0CBA" w:rsidRPr="00365CE8" w:rsidRDefault="005D5889" w:rsidP="0028541E">
      <w:pPr>
        <w:pStyle w:val="a5"/>
        <w:numPr>
          <w:ilvl w:val="0"/>
          <w:numId w:val="2"/>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провести аналіз країн-лідерів за вкладенням іноземних інвестицій в Україну</w:t>
      </w:r>
      <w:r w:rsidR="00AA0CBA" w:rsidRPr="00365CE8">
        <w:rPr>
          <w:rFonts w:ascii="Times New Roman" w:hAnsi="Times New Roman" w:cs="Times New Roman"/>
          <w:sz w:val="28"/>
          <w:szCs w:val="28"/>
        </w:rPr>
        <w:t>;</w:t>
      </w:r>
    </w:p>
    <w:p w14:paraId="5D6BB1CF" w14:textId="77777777" w:rsidR="00AA0CBA" w:rsidRPr="00365CE8" w:rsidRDefault="005D5889" w:rsidP="0028541E">
      <w:pPr>
        <w:pStyle w:val="a5"/>
        <w:numPr>
          <w:ilvl w:val="0"/>
          <w:numId w:val="2"/>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визначити напрями підвищення інвестиційної привабливості України</w:t>
      </w:r>
      <w:r w:rsidR="00AA0CBA" w:rsidRPr="00365CE8">
        <w:rPr>
          <w:rFonts w:ascii="Times New Roman" w:hAnsi="Times New Roman" w:cs="Times New Roman"/>
          <w:sz w:val="28"/>
          <w:szCs w:val="28"/>
        </w:rPr>
        <w:t>.</w:t>
      </w:r>
    </w:p>
    <w:p w14:paraId="07913ABB" w14:textId="77777777" w:rsidR="00660E8D" w:rsidRPr="00365CE8" w:rsidRDefault="00AA0CBA" w:rsidP="0028541E">
      <w:pPr>
        <w:widowControl w:val="0"/>
        <w:spacing w:after="0" w:line="240" w:lineRule="auto"/>
        <w:ind w:firstLine="709"/>
        <w:jc w:val="both"/>
        <w:rPr>
          <w:rFonts w:ascii="Times New Roman" w:hAnsi="Times New Roman" w:cs="Times New Roman"/>
          <w:sz w:val="28"/>
          <w:szCs w:val="28"/>
        </w:rPr>
      </w:pPr>
      <w:r w:rsidRPr="00365CE8">
        <w:rPr>
          <w:rFonts w:ascii="Times New Roman" w:eastAsia="Calibri" w:hAnsi="Times New Roman" w:cs="Times New Roman"/>
          <w:b/>
          <w:sz w:val="28"/>
        </w:rPr>
        <w:t>Об’єктом кваліфікаційної роботи</w:t>
      </w:r>
      <w:r w:rsidRPr="00365CE8">
        <w:rPr>
          <w:rFonts w:ascii="Times New Roman" w:eastAsia="Calibri" w:hAnsi="Times New Roman" w:cs="Times New Roman"/>
          <w:sz w:val="28"/>
        </w:rPr>
        <w:t xml:space="preserve"> є </w:t>
      </w:r>
      <w:r w:rsidR="00660E8D" w:rsidRPr="00365CE8">
        <w:rPr>
          <w:rFonts w:ascii="Times New Roman" w:hAnsi="Times New Roman" w:cs="Times New Roman"/>
          <w:sz w:val="28"/>
          <w:szCs w:val="28"/>
        </w:rPr>
        <w:t>оцінка та напрями підвищення інвестиційної привабливості країни.</w:t>
      </w:r>
    </w:p>
    <w:p w14:paraId="6986CAF5" w14:textId="77777777" w:rsidR="00AA0CBA" w:rsidRPr="00365CE8" w:rsidRDefault="00AA0CBA" w:rsidP="0028541E">
      <w:pPr>
        <w:widowControl w:val="0"/>
        <w:spacing w:after="0" w:line="240" w:lineRule="auto"/>
        <w:ind w:firstLine="709"/>
        <w:jc w:val="both"/>
        <w:rPr>
          <w:rFonts w:ascii="Times New Roman" w:eastAsia="Calibri" w:hAnsi="Times New Roman" w:cs="Times New Roman"/>
          <w:sz w:val="28"/>
        </w:rPr>
      </w:pPr>
      <w:r w:rsidRPr="00365CE8">
        <w:rPr>
          <w:rFonts w:ascii="Times New Roman" w:eastAsia="Calibri" w:hAnsi="Times New Roman" w:cs="Times New Roman"/>
          <w:b/>
          <w:sz w:val="28"/>
        </w:rPr>
        <w:t>Предметом кваліфікаційної роботи</w:t>
      </w:r>
      <w:r w:rsidRPr="00365CE8">
        <w:rPr>
          <w:rFonts w:ascii="Times New Roman" w:eastAsia="Calibri" w:hAnsi="Times New Roman" w:cs="Times New Roman"/>
          <w:sz w:val="28"/>
        </w:rPr>
        <w:t xml:space="preserve"> </w:t>
      </w:r>
      <w:r w:rsidR="00660E8D" w:rsidRPr="00365CE8">
        <w:rPr>
          <w:rFonts w:ascii="Times New Roman" w:eastAsia="Calibri" w:hAnsi="Times New Roman" w:cs="Times New Roman"/>
          <w:sz w:val="28"/>
        </w:rPr>
        <w:t>є сутність, складові, системи показників та напрями підвищення інвестиційної привабливості країни</w:t>
      </w:r>
      <w:r w:rsidRPr="00365CE8">
        <w:rPr>
          <w:rFonts w:ascii="Times New Roman" w:hAnsi="Times New Roman" w:cs="Times New Roman"/>
          <w:sz w:val="28"/>
          <w:szCs w:val="28"/>
        </w:rPr>
        <w:t>.</w:t>
      </w:r>
    </w:p>
    <w:p w14:paraId="73250D97" w14:textId="77777777" w:rsidR="00AA0CBA" w:rsidRPr="00365CE8" w:rsidRDefault="00AA0CBA" w:rsidP="0028541E">
      <w:pPr>
        <w:widowControl w:val="0"/>
        <w:spacing w:after="0" w:line="240" w:lineRule="auto"/>
        <w:ind w:firstLine="709"/>
        <w:jc w:val="both"/>
        <w:rPr>
          <w:rFonts w:ascii="Times New Roman" w:eastAsia="Calibri" w:hAnsi="Times New Roman" w:cs="Times New Roman"/>
          <w:sz w:val="28"/>
        </w:rPr>
      </w:pPr>
      <w:r w:rsidRPr="00365CE8">
        <w:rPr>
          <w:rFonts w:ascii="Times New Roman" w:eastAsia="Calibri" w:hAnsi="Times New Roman" w:cs="Times New Roman"/>
          <w:b/>
          <w:sz w:val="28"/>
        </w:rPr>
        <w:t>Методи дослідження</w:t>
      </w:r>
      <w:r w:rsidRPr="00365CE8">
        <w:rPr>
          <w:rFonts w:ascii="Times New Roman" w:eastAsia="Calibri" w:hAnsi="Times New Roman" w:cs="Times New Roman"/>
          <w:sz w:val="28"/>
        </w:rPr>
        <w:t xml:space="preserve">. </w:t>
      </w:r>
      <w:r w:rsidRPr="00365CE8">
        <w:rPr>
          <w:rFonts w:ascii="Times New Roman" w:hAnsi="Times New Roman" w:cs="Times New Roman"/>
          <w:sz w:val="28"/>
          <w:szCs w:val="28"/>
        </w:rPr>
        <w:t>У роботі було використано загальнонаукові та спеціальні методи дослідження: дедукцію,</w:t>
      </w:r>
      <w:r w:rsidR="00395CDA" w:rsidRPr="00365CE8">
        <w:rPr>
          <w:rFonts w:ascii="Times New Roman" w:hAnsi="Times New Roman" w:cs="Times New Roman"/>
          <w:sz w:val="28"/>
          <w:szCs w:val="28"/>
        </w:rPr>
        <w:t xml:space="preserve"> </w:t>
      </w:r>
      <w:r w:rsidRPr="00365CE8">
        <w:rPr>
          <w:rFonts w:ascii="Times New Roman" w:hAnsi="Times New Roman" w:cs="Times New Roman"/>
          <w:sz w:val="28"/>
          <w:szCs w:val="28"/>
        </w:rPr>
        <w:t>індукцію,</w:t>
      </w:r>
      <w:r w:rsidR="00395CDA" w:rsidRPr="00365CE8">
        <w:rPr>
          <w:rFonts w:ascii="Times New Roman" w:hAnsi="Times New Roman" w:cs="Times New Roman"/>
          <w:sz w:val="28"/>
          <w:szCs w:val="28"/>
        </w:rPr>
        <w:t xml:space="preserve"> </w:t>
      </w:r>
      <w:r w:rsidR="00322E39" w:rsidRPr="00365CE8">
        <w:rPr>
          <w:rFonts w:ascii="Times New Roman" w:hAnsi="Times New Roman" w:cs="Times New Roman"/>
          <w:sz w:val="28"/>
          <w:szCs w:val="28"/>
        </w:rPr>
        <w:t xml:space="preserve">порівняння, </w:t>
      </w:r>
      <w:r w:rsidRPr="00365CE8">
        <w:rPr>
          <w:rFonts w:ascii="Times New Roman" w:hAnsi="Times New Roman" w:cs="Times New Roman"/>
          <w:sz w:val="28"/>
          <w:szCs w:val="28"/>
        </w:rPr>
        <w:t xml:space="preserve">аналіз, синтез, </w:t>
      </w:r>
      <w:r w:rsidR="00322E39" w:rsidRPr="00365CE8">
        <w:rPr>
          <w:rFonts w:ascii="Times New Roman" w:hAnsi="Times New Roman" w:cs="Times New Roman"/>
          <w:sz w:val="28"/>
          <w:szCs w:val="28"/>
        </w:rPr>
        <w:t xml:space="preserve">методи графічного аналізу, методи рейтингового аналізу, </w:t>
      </w:r>
      <w:r w:rsidRPr="00365CE8">
        <w:rPr>
          <w:rFonts w:ascii="Times New Roman" w:hAnsi="Times New Roman" w:cs="Times New Roman"/>
          <w:sz w:val="28"/>
          <w:szCs w:val="28"/>
        </w:rPr>
        <w:t>математичні методи прогнозування економічних показників</w:t>
      </w:r>
      <w:r w:rsidR="00322E39" w:rsidRPr="00365CE8">
        <w:rPr>
          <w:rFonts w:ascii="Times New Roman" w:hAnsi="Times New Roman" w:cs="Times New Roman"/>
          <w:sz w:val="28"/>
          <w:szCs w:val="28"/>
        </w:rPr>
        <w:t>.</w:t>
      </w:r>
    </w:p>
    <w:p w14:paraId="6F874BF8" w14:textId="77777777" w:rsidR="00AA0CBA" w:rsidRPr="00365CE8" w:rsidRDefault="00AA0CBA" w:rsidP="0028541E">
      <w:pPr>
        <w:widowControl w:val="0"/>
        <w:spacing w:after="0" w:line="240" w:lineRule="auto"/>
        <w:ind w:firstLine="709"/>
        <w:jc w:val="both"/>
        <w:rPr>
          <w:rFonts w:ascii="Times New Roman" w:eastAsia="Calibri" w:hAnsi="Times New Roman" w:cs="Times New Roman"/>
          <w:sz w:val="28"/>
        </w:rPr>
      </w:pPr>
      <w:r w:rsidRPr="00365CE8">
        <w:rPr>
          <w:rFonts w:ascii="Times New Roman" w:eastAsia="Calibri" w:hAnsi="Times New Roman" w:cs="Times New Roman"/>
          <w:b/>
          <w:sz w:val="28"/>
        </w:rPr>
        <w:t>Інформаційну базу дослідження</w:t>
      </w:r>
      <w:r w:rsidRPr="00365CE8">
        <w:rPr>
          <w:rFonts w:ascii="Times New Roman" w:eastAsia="Calibri" w:hAnsi="Times New Roman" w:cs="Times New Roman"/>
          <w:sz w:val="28"/>
        </w:rPr>
        <w:t xml:space="preserve"> склали основні положення законів України, указів Президента України, постанов Верховної Ради України, постанов Кабінету Міністрів України з питань </w:t>
      </w:r>
      <w:r w:rsidR="00322E39" w:rsidRPr="00365CE8">
        <w:rPr>
          <w:rFonts w:ascii="Times New Roman" w:hAnsi="Times New Roman" w:cs="Times New Roman"/>
          <w:sz w:val="28"/>
          <w:szCs w:val="28"/>
        </w:rPr>
        <w:t>оцінки та визначення напрямів підвищення  інвестиційної привабливості країни</w:t>
      </w:r>
      <w:r w:rsidRPr="00365CE8">
        <w:rPr>
          <w:rFonts w:ascii="Times New Roman" w:eastAsia="Calibri" w:hAnsi="Times New Roman" w:cs="Times New Roman"/>
          <w:sz w:val="28"/>
        </w:rPr>
        <w:t xml:space="preserve">, статистичні та аналітичні матеріали Державного комітету статистики </w:t>
      </w:r>
      <w:r w:rsidR="0060697B" w:rsidRPr="00365CE8">
        <w:rPr>
          <w:rFonts w:ascii="Times New Roman" w:eastAsia="Calibri" w:hAnsi="Times New Roman" w:cs="Times New Roman"/>
          <w:sz w:val="28"/>
        </w:rPr>
        <w:t xml:space="preserve">та Національного Банку </w:t>
      </w:r>
      <w:r w:rsidRPr="00365CE8">
        <w:rPr>
          <w:rFonts w:ascii="Times New Roman" w:eastAsia="Calibri" w:hAnsi="Times New Roman" w:cs="Times New Roman"/>
          <w:sz w:val="28"/>
        </w:rPr>
        <w:t xml:space="preserve">України, монографічні дослідження, наукові статті вітчизняних та зарубіжних вчених, публіцистичні огляди та статті. </w:t>
      </w:r>
    </w:p>
    <w:p w14:paraId="347A5B83" w14:textId="77777777" w:rsidR="00AA0CBA" w:rsidRPr="00365CE8" w:rsidRDefault="00AA0CBA" w:rsidP="0028541E">
      <w:pPr>
        <w:widowControl w:val="0"/>
        <w:spacing w:after="0" w:line="240" w:lineRule="auto"/>
        <w:ind w:firstLine="709"/>
        <w:jc w:val="both"/>
        <w:rPr>
          <w:rFonts w:ascii="Times New Roman" w:hAnsi="Times New Roman" w:cs="Times New Roman"/>
          <w:sz w:val="28"/>
          <w:szCs w:val="28"/>
        </w:rPr>
      </w:pPr>
      <w:r w:rsidRPr="00365CE8">
        <w:rPr>
          <w:rFonts w:ascii="Times New Roman" w:eastAsia="Calibri" w:hAnsi="Times New Roman" w:cs="Times New Roman"/>
          <w:b/>
          <w:sz w:val="28"/>
        </w:rPr>
        <w:t xml:space="preserve">Наукова новизна отриманих результатів </w:t>
      </w:r>
      <w:r w:rsidRPr="00365CE8">
        <w:rPr>
          <w:rFonts w:ascii="Times New Roman" w:eastAsia="Calibri" w:hAnsi="Times New Roman" w:cs="Times New Roman"/>
          <w:sz w:val="28"/>
        </w:rPr>
        <w:t xml:space="preserve">полягає </w:t>
      </w:r>
      <w:r w:rsidRPr="00365CE8">
        <w:rPr>
          <w:rFonts w:ascii="Times New Roman" w:hAnsi="Times New Roman" w:cs="Times New Roman"/>
          <w:sz w:val="28"/>
          <w:szCs w:val="28"/>
        </w:rPr>
        <w:t xml:space="preserve">у проведеному аналізі та узагальнення теоретико-практичних аспектів </w:t>
      </w:r>
      <w:r w:rsidR="0060697B" w:rsidRPr="00365CE8">
        <w:rPr>
          <w:rFonts w:ascii="Times New Roman" w:hAnsi="Times New Roman" w:cs="Times New Roman"/>
          <w:sz w:val="28"/>
          <w:szCs w:val="28"/>
        </w:rPr>
        <w:t xml:space="preserve">оцінки напрямів підвищення  інвестиційної привабливості країни </w:t>
      </w:r>
      <w:r w:rsidRPr="00365CE8">
        <w:rPr>
          <w:rFonts w:ascii="Times New Roman" w:hAnsi="Times New Roman" w:cs="Times New Roman"/>
          <w:sz w:val="28"/>
          <w:szCs w:val="28"/>
        </w:rPr>
        <w:t xml:space="preserve">та </w:t>
      </w:r>
      <w:r w:rsidR="00EB3DD2" w:rsidRPr="00365CE8">
        <w:rPr>
          <w:rFonts w:ascii="Times New Roman" w:hAnsi="Times New Roman" w:cs="Times New Roman"/>
          <w:sz w:val="28"/>
          <w:szCs w:val="28"/>
        </w:rPr>
        <w:t xml:space="preserve">визначення </w:t>
      </w:r>
      <w:r w:rsidRPr="00365CE8">
        <w:rPr>
          <w:rFonts w:ascii="Times New Roman" w:hAnsi="Times New Roman" w:cs="Times New Roman"/>
          <w:sz w:val="28"/>
          <w:szCs w:val="28"/>
        </w:rPr>
        <w:t xml:space="preserve">напрямків </w:t>
      </w:r>
      <w:r w:rsidR="0060697B" w:rsidRPr="00365CE8">
        <w:rPr>
          <w:rFonts w:ascii="Times New Roman" w:hAnsi="Times New Roman" w:cs="Times New Roman"/>
          <w:sz w:val="28"/>
          <w:szCs w:val="28"/>
        </w:rPr>
        <w:t>підвищення  інвестиційної привабливості України</w:t>
      </w:r>
      <w:r w:rsidRPr="00365CE8">
        <w:rPr>
          <w:rFonts w:ascii="Times New Roman" w:hAnsi="Times New Roman" w:cs="Times New Roman"/>
          <w:sz w:val="28"/>
          <w:szCs w:val="28"/>
        </w:rPr>
        <w:t>.</w:t>
      </w:r>
    </w:p>
    <w:p w14:paraId="55157227" w14:textId="77777777" w:rsidR="00AA0CBA" w:rsidRPr="00365CE8" w:rsidRDefault="00AA0CBA" w:rsidP="0028541E">
      <w:pPr>
        <w:widowControl w:val="0"/>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Основні результати кваліфікаційної роботи, що характеризують наукову новизну, полягають у такому:</w:t>
      </w:r>
    </w:p>
    <w:p w14:paraId="32C91989" w14:textId="77777777" w:rsidR="00AA0CBA" w:rsidRPr="00365CE8" w:rsidRDefault="004C1A44" w:rsidP="0028541E">
      <w:pPr>
        <w:pStyle w:val="a5"/>
        <w:widowControl w:val="0"/>
        <w:numPr>
          <w:ilvl w:val="0"/>
          <w:numId w:val="1"/>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запропоновано уточне</w:t>
      </w:r>
      <w:r w:rsidR="00F33C68" w:rsidRPr="00365CE8">
        <w:rPr>
          <w:rFonts w:ascii="Times New Roman" w:hAnsi="Times New Roman" w:cs="Times New Roman"/>
          <w:sz w:val="28"/>
          <w:szCs w:val="28"/>
        </w:rPr>
        <w:t>ну</w:t>
      </w:r>
      <w:r w:rsidR="00AA0CBA" w:rsidRPr="00365CE8">
        <w:rPr>
          <w:rFonts w:ascii="Times New Roman" w:hAnsi="Times New Roman" w:cs="Times New Roman"/>
          <w:sz w:val="28"/>
          <w:szCs w:val="28"/>
        </w:rPr>
        <w:t xml:space="preserve"> </w:t>
      </w:r>
      <w:r w:rsidR="00F33C68" w:rsidRPr="00365CE8">
        <w:rPr>
          <w:rFonts w:ascii="Times New Roman" w:hAnsi="Times New Roman" w:cs="Times New Roman"/>
          <w:sz w:val="28"/>
          <w:szCs w:val="28"/>
        </w:rPr>
        <w:t>схему функції та інструменти державного регулювання інвестиційної привабливості країни</w:t>
      </w:r>
      <w:r w:rsidR="00AA0CBA" w:rsidRPr="00365CE8">
        <w:rPr>
          <w:rFonts w:ascii="Times New Roman" w:hAnsi="Times New Roman" w:cs="Times New Roman"/>
          <w:sz w:val="28"/>
          <w:szCs w:val="28"/>
        </w:rPr>
        <w:t>;</w:t>
      </w:r>
    </w:p>
    <w:p w14:paraId="67E56EAA" w14:textId="77777777" w:rsidR="00F33C68" w:rsidRPr="00365CE8" w:rsidRDefault="00AA0CBA" w:rsidP="0028541E">
      <w:pPr>
        <w:pStyle w:val="a5"/>
        <w:widowControl w:val="0"/>
        <w:numPr>
          <w:ilvl w:val="0"/>
          <w:numId w:val="1"/>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 xml:space="preserve">проведено </w:t>
      </w:r>
      <w:r w:rsidR="004C1A44" w:rsidRPr="00365CE8">
        <w:rPr>
          <w:rFonts w:ascii="Times New Roman" w:hAnsi="Times New Roman" w:cs="Times New Roman"/>
          <w:sz w:val="28"/>
          <w:szCs w:val="28"/>
        </w:rPr>
        <w:t xml:space="preserve">аналіз динаміки </w:t>
      </w:r>
      <w:r w:rsidR="00F33C68" w:rsidRPr="00365CE8">
        <w:rPr>
          <w:rFonts w:ascii="Times New Roman" w:hAnsi="Times New Roman" w:cs="Times New Roman"/>
          <w:sz w:val="28"/>
          <w:szCs w:val="28"/>
        </w:rPr>
        <w:t>іноземних інвестицій в Україну та виконано ранжування в межах пріоритетних галузей і областей вкладення інвестицій, а також за країнами-лідерами по обсягам вкладень;</w:t>
      </w:r>
    </w:p>
    <w:p w14:paraId="67D35E0D" w14:textId="77777777" w:rsidR="00AA0CBA" w:rsidRPr="00365CE8" w:rsidRDefault="004C1A44" w:rsidP="0028541E">
      <w:pPr>
        <w:pStyle w:val="a5"/>
        <w:widowControl w:val="0"/>
        <w:numPr>
          <w:ilvl w:val="0"/>
          <w:numId w:val="1"/>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 xml:space="preserve">визначено основні </w:t>
      </w:r>
      <w:r w:rsidR="00F33C68" w:rsidRPr="00365CE8">
        <w:rPr>
          <w:rFonts w:ascii="Times New Roman" w:hAnsi="Times New Roman" w:cs="Times New Roman"/>
          <w:sz w:val="28"/>
          <w:szCs w:val="28"/>
        </w:rPr>
        <w:t xml:space="preserve">особливості та проблему </w:t>
      </w:r>
      <w:r w:rsidRPr="00365CE8">
        <w:rPr>
          <w:rFonts w:ascii="Times New Roman" w:hAnsi="Times New Roman" w:cs="Times New Roman"/>
          <w:sz w:val="28"/>
          <w:szCs w:val="28"/>
        </w:rPr>
        <w:t xml:space="preserve">проблеми </w:t>
      </w:r>
      <w:r w:rsidR="00F33C68" w:rsidRPr="00365CE8">
        <w:rPr>
          <w:rFonts w:ascii="Times New Roman" w:hAnsi="Times New Roman" w:cs="Times New Roman"/>
          <w:sz w:val="28"/>
          <w:szCs w:val="28"/>
        </w:rPr>
        <w:t xml:space="preserve">формування інвестиційної привабливості країни </w:t>
      </w:r>
      <w:r w:rsidRPr="00365CE8">
        <w:rPr>
          <w:rFonts w:ascii="Times New Roman" w:hAnsi="Times New Roman" w:cs="Times New Roman"/>
          <w:sz w:val="28"/>
          <w:szCs w:val="28"/>
        </w:rPr>
        <w:t xml:space="preserve"> в умовах військової агресії;</w:t>
      </w:r>
    </w:p>
    <w:p w14:paraId="32CC00F3" w14:textId="77777777" w:rsidR="00D4624A" w:rsidRPr="00365CE8" w:rsidRDefault="00F33C68" w:rsidP="0028541E">
      <w:pPr>
        <w:pStyle w:val="a5"/>
        <w:widowControl w:val="0"/>
        <w:numPr>
          <w:ilvl w:val="0"/>
          <w:numId w:val="1"/>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проаналізовано динаміку показників чистої міжнародної інвестиційної позиції та динаміку показників іноземних інвестицій в Україну із визначенням прогнозного тренду на два наступних роки для кожного показника</w:t>
      </w:r>
      <w:r w:rsidR="00AA0CBA" w:rsidRPr="00365CE8">
        <w:rPr>
          <w:rFonts w:ascii="Times New Roman" w:hAnsi="Times New Roman" w:cs="Times New Roman"/>
          <w:sz w:val="28"/>
          <w:szCs w:val="28"/>
        </w:rPr>
        <w:t xml:space="preserve">. </w:t>
      </w:r>
    </w:p>
    <w:p w14:paraId="574D3727" w14:textId="77777777" w:rsidR="00AA0CBA" w:rsidRPr="00365CE8" w:rsidRDefault="00AA0CBA" w:rsidP="0028541E">
      <w:pPr>
        <w:widowControl w:val="0"/>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br w:type="page"/>
      </w:r>
    </w:p>
    <w:p w14:paraId="4849BAF2" w14:textId="77777777" w:rsidR="00AA0CBA" w:rsidRPr="00365CE8" w:rsidRDefault="00AA0CBA" w:rsidP="0028541E">
      <w:pPr>
        <w:spacing w:after="0" w:line="240" w:lineRule="auto"/>
        <w:jc w:val="center"/>
        <w:rPr>
          <w:rFonts w:ascii="Times New Roman" w:hAnsi="Times New Roman" w:cs="Times New Roman"/>
          <w:b/>
          <w:sz w:val="28"/>
          <w:szCs w:val="28"/>
        </w:rPr>
      </w:pPr>
      <w:r w:rsidRPr="00365CE8">
        <w:rPr>
          <w:rFonts w:ascii="Times New Roman" w:hAnsi="Times New Roman" w:cs="Times New Roman"/>
          <w:b/>
          <w:sz w:val="28"/>
          <w:szCs w:val="28"/>
        </w:rPr>
        <w:lastRenderedPageBreak/>
        <w:t>ОСНОВНА ЧАСТИНА</w:t>
      </w:r>
    </w:p>
    <w:p w14:paraId="4F959F58" w14:textId="77777777" w:rsidR="0060697B" w:rsidRPr="00365CE8" w:rsidRDefault="0060697B" w:rsidP="0028541E">
      <w:pPr>
        <w:widowControl w:val="0"/>
        <w:spacing w:after="0" w:line="240" w:lineRule="auto"/>
        <w:ind w:firstLine="709"/>
        <w:jc w:val="both"/>
        <w:rPr>
          <w:rFonts w:ascii="Times New Roman" w:hAnsi="Times New Roman" w:cs="Times New Roman"/>
          <w:sz w:val="28"/>
          <w:szCs w:val="28"/>
        </w:rPr>
      </w:pPr>
    </w:p>
    <w:p w14:paraId="3A0ECD1C" w14:textId="77777777" w:rsidR="0060697B" w:rsidRPr="00365CE8" w:rsidRDefault="0060697B" w:rsidP="0060697B">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Розглядаючи різноманітні дослідження з інвестиційної активності та формування привабливості національної економіки, теоретичний базис цього питання залишається предметом дискусій через суперечності та неоднозначності в його практичній реалізації. Однією з причин цих невирішених питань є ототожнення термінів "інвестиційна привабливість" та "інвестиційний клімат". У зв'язку з цим, детальний розгляд та розробка практичних заходів для залучення інвестицій стають важливим завданням для науковців у визначенні відмінностей і </w:t>
      </w:r>
      <w:proofErr w:type="spellStart"/>
      <w:r w:rsidRPr="00365CE8">
        <w:rPr>
          <w:rFonts w:ascii="Times New Roman" w:hAnsi="Times New Roman" w:cs="Times New Roman"/>
          <w:sz w:val="28"/>
          <w:szCs w:val="28"/>
        </w:rPr>
        <w:t>схожостей</w:t>
      </w:r>
      <w:proofErr w:type="spellEnd"/>
      <w:r w:rsidRPr="00365CE8">
        <w:rPr>
          <w:rFonts w:ascii="Times New Roman" w:hAnsi="Times New Roman" w:cs="Times New Roman"/>
          <w:sz w:val="28"/>
          <w:szCs w:val="28"/>
        </w:rPr>
        <w:t xml:space="preserve"> цих понять.</w:t>
      </w:r>
    </w:p>
    <w:p w14:paraId="64DF725A" w14:textId="77777777" w:rsidR="0060697B" w:rsidRPr="00365CE8" w:rsidRDefault="0060697B" w:rsidP="0060697B">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Згідно із </w:t>
      </w:r>
      <w:r w:rsidR="002C323E" w:rsidRPr="00365CE8">
        <w:rPr>
          <w:rFonts w:ascii="Times New Roman" w:hAnsi="Times New Roman" w:cs="Times New Roman"/>
          <w:sz w:val="28"/>
          <w:szCs w:val="28"/>
        </w:rPr>
        <w:t>І. І.</w:t>
      </w:r>
      <w:r w:rsidRPr="00365CE8">
        <w:rPr>
          <w:rFonts w:ascii="Times New Roman" w:hAnsi="Times New Roman" w:cs="Times New Roman"/>
          <w:sz w:val="28"/>
          <w:szCs w:val="28"/>
        </w:rPr>
        <w:t xml:space="preserve"> </w:t>
      </w:r>
      <w:proofErr w:type="spellStart"/>
      <w:r w:rsidR="002C323E" w:rsidRPr="00365CE8">
        <w:rPr>
          <w:rFonts w:ascii="Times New Roman" w:hAnsi="Times New Roman" w:cs="Times New Roman"/>
          <w:sz w:val="28"/>
          <w:szCs w:val="28"/>
        </w:rPr>
        <w:t>Вербіцькою</w:t>
      </w:r>
      <w:proofErr w:type="spellEnd"/>
      <w:r w:rsidRPr="00365CE8">
        <w:rPr>
          <w:rFonts w:ascii="Times New Roman" w:hAnsi="Times New Roman" w:cs="Times New Roman"/>
          <w:sz w:val="28"/>
          <w:szCs w:val="28"/>
        </w:rPr>
        <w:t xml:space="preserve">, інвестиційна привабливість - це комплекс характеристик, який дозволяє потенційному інвестору оцінити привабливість конкретного об'єкта для вкладення коштів порівняно з іншими. Ступінь інвестиційної привабливості визначає активність інвестиційної діяльності та є ключовою умовою для ефективного соціально-економічного розвитку регіональної економіки [8]. </w:t>
      </w:r>
    </w:p>
    <w:p w14:paraId="6B32D5F6" w14:textId="77777777" w:rsidR="0060697B" w:rsidRPr="00365CE8" w:rsidRDefault="002C323E" w:rsidP="0060697B">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За думкою К.М. </w:t>
      </w:r>
      <w:proofErr w:type="spellStart"/>
      <w:r w:rsidRPr="00365CE8">
        <w:rPr>
          <w:rFonts w:ascii="Times New Roman" w:hAnsi="Times New Roman" w:cs="Times New Roman"/>
          <w:sz w:val="28"/>
          <w:szCs w:val="28"/>
        </w:rPr>
        <w:t>Конакової</w:t>
      </w:r>
      <w:proofErr w:type="spellEnd"/>
      <w:r w:rsidRPr="00365CE8">
        <w:rPr>
          <w:rFonts w:ascii="Times New Roman" w:hAnsi="Times New Roman" w:cs="Times New Roman"/>
          <w:sz w:val="28"/>
          <w:szCs w:val="28"/>
        </w:rPr>
        <w:t>, інвестиційна привабливість є подвійним поняттям, відображаючи як інвестиційну привабливість регіону в цілому, так і привабливість конкретних об'єктів інвестування. При вивченні привабливості об'єкта інвестування аналіз зосереджується на ключових показниках ефективності інвестиційних проектів. Для оцінювання загального рівня інвестиційної привабливості важливим є розгляд основних компонентів: інвестиційного потенціалу та інвестиційного ризику [17].</w:t>
      </w:r>
    </w:p>
    <w:p w14:paraId="18473475" w14:textId="77777777" w:rsidR="002C323E" w:rsidRPr="00365CE8" w:rsidRDefault="002C323E" w:rsidP="002C323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О. В. </w:t>
      </w:r>
      <w:proofErr w:type="spellStart"/>
      <w:r w:rsidRPr="00365CE8">
        <w:rPr>
          <w:rFonts w:ascii="Times New Roman" w:hAnsi="Times New Roman" w:cs="Times New Roman"/>
          <w:sz w:val="28"/>
          <w:szCs w:val="28"/>
        </w:rPr>
        <w:t>Товстенюк</w:t>
      </w:r>
      <w:proofErr w:type="spellEnd"/>
      <w:r w:rsidRPr="00365CE8">
        <w:rPr>
          <w:rFonts w:ascii="Times New Roman" w:hAnsi="Times New Roman" w:cs="Times New Roman"/>
          <w:sz w:val="28"/>
          <w:szCs w:val="28"/>
        </w:rPr>
        <w:t xml:space="preserve"> розглядає інвестиційну привабливість як складний набір об'єктивних і суб'єктивних умов, які впливають на процес інвестування в національну економіку на різних рівнях: макроекономічному, </w:t>
      </w:r>
      <w:proofErr w:type="spellStart"/>
      <w:r w:rsidRPr="00365CE8">
        <w:rPr>
          <w:rFonts w:ascii="Times New Roman" w:hAnsi="Times New Roman" w:cs="Times New Roman"/>
          <w:sz w:val="28"/>
          <w:szCs w:val="28"/>
        </w:rPr>
        <w:t>мезоекономічному</w:t>
      </w:r>
      <w:proofErr w:type="spellEnd"/>
      <w:r w:rsidRPr="00365CE8">
        <w:rPr>
          <w:rFonts w:ascii="Times New Roman" w:hAnsi="Times New Roman" w:cs="Times New Roman"/>
          <w:sz w:val="28"/>
          <w:szCs w:val="28"/>
        </w:rPr>
        <w:t xml:space="preserve"> і мікроекономічному. На його думку, це поняття охоплює різноманітні фактори, які можуть бути виміряні чи оцінені, такі як стан законодавчого середовища, економічна стабільність, доступність ресурсів та інфраструктури. Водночас, враховується також суб'єктивний аспект, пов'язаний з уявленням інвесторів про економічний клімат та рівень довіри до бізнес-середовища. На макрорівні, ці умови визначають загальний контекст для інвестування в економіку країни. На </w:t>
      </w:r>
      <w:proofErr w:type="spellStart"/>
      <w:r w:rsidRPr="00365CE8">
        <w:rPr>
          <w:rFonts w:ascii="Times New Roman" w:hAnsi="Times New Roman" w:cs="Times New Roman"/>
          <w:sz w:val="28"/>
          <w:szCs w:val="28"/>
        </w:rPr>
        <w:t>мезорівні</w:t>
      </w:r>
      <w:proofErr w:type="spellEnd"/>
      <w:r w:rsidRPr="00365CE8">
        <w:rPr>
          <w:rFonts w:ascii="Times New Roman" w:hAnsi="Times New Roman" w:cs="Times New Roman"/>
          <w:sz w:val="28"/>
          <w:szCs w:val="28"/>
        </w:rPr>
        <w:t>, вони можуть включати аспекти галузевого розвитку та регіональної специфіки. На мікрорівні, інвестиційна привабливість може бути пов'язана з конкретними характеристиками окремих підприємств чи проектів [34].</w:t>
      </w:r>
    </w:p>
    <w:p w14:paraId="7EB42A2B" w14:textId="77777777" w:rsidR="002C323E" w:rsidRPr="00365CE8" w:rsidRDefault="002C323E" w:rsidP="002C323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Отже, інвестиційна привабливість охоплює широкий спектр аспектів, що враховуються на різних рівнях економічної системи та визначають готовність інвесторів робити вкладення в національну економіку. Інвестиційна привабливість України є однією з ключових тем, що має теоретичний та практичний аспекти, оскільки вона суттєво впливає на темпи розвитку країни та напрямок її економічного росту. В умовах жорсткої конкуренції між країнами за інвестиційні ресурси, різноманітні заходи вживаються для підвищення привабливості України для інвесторів. Кожна країна має свої унікальні вихідні позиції, обумовлені географічним положенням та наявністю природних та </w:t>
      </w:r>
      <w:r w:rsidRPr="00365CE8">
        <w:rPr>
          <w:rFonts w:ascii="Times New Roman" w:hAnsi="Times New Roman" w:cs="Times New Roman"/>
          <w:sz w:val="28"/>
          <w:szCs w:val="28"/>
        </w:rPr>
        <w:lastRenderedPageBreak/>
        <w:t>людських ресурсів. Таким чином, завданням України є розумне використання набору факторів, які визначають її конкурентоспроможність та привабливість для інвестицій.</w:t>
      </w:r>
    </w:p>
    <w:p w14:paraId="60C2A044" w14:textId="77777777" w:rsidR="002C323E" w:rsidRPr="00365CE8" w:rsidRDefault="002C323E" w:rsidP="002C323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У таблиці 1 наведено сучасні методики та показники оцінки інвестиційної привабливості країни.</w:t>
      </w:r>
    </w:p>
    <w:p w14:paraId="258B393B" w14:textId="77777777" w:rsidR="0060697B" w:rsidRPr="00365CE8" w:rsidRDefault="0060697B" w:rsidP="0060697B">
      <w:pPr>
        <w:spacing w:after="0" w:line="240" w:lineRule="auto"/>
        <w:ind w:firstLine="708"/>
        <w:jc w:val="both"/>
        <w:rPr>
          <w:rFonts w:ascii="Times New Roman" w:hAnsi="Times New Roman" w:cs="Times New Roman"/>
          <w:sz w:val="28"/>
          <w:szCs w:val="28"/>
        </w:rPr>
      </w:pPr>
    </w:p>
    <w:p w14:paraId="691F4ED1" w14:textId="77777777" w:rsidR="0060697B" w:rsidRPr="00365CE8" w:rsidRDefault="0060697B" w:rsidP="002C323E">
      <w:pPr>
        <w:widowControl w:val="0"/>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Таблиця 1 - Сучасні методики та показники оцінки інвестиційної привабливості країни</w:t>
      </w:r>
    </w:p>
    <w:p w14:paraId="711FA594" w14:textId="77777777" w:rsidR="007D2A7C" w:rsidRPr="00365CE8" w:rsidRDefault="0060697B" w:rsidP="0028541E">
      <w:pPr>
        <w:spacing w:after="0" w:line="240" w:lineRule="auto"/>
        <w:jc w:val="both"/>
        <w:rPr>
          <w:rFonts w:ascii="Times New Roman" w:hAnsi="Times New Roman" w:cs="Times New Roman"/>
          <w:sz w:val="28"/>
          <w:szCs w:val="28"/>
        </w:rPr>
      </w:pPr>
      <w:r w:rsidRPr="00365CE8">
        <w:rPr>
          <w:rFonts w:ascii="Times New Roman" w:hAnsi="Times New Roman" w:cs="Times New Roman"/>
          <w:noProof/>
          <w:sz w:val="28"/>
          <w:szCs w:val="28"/>
          <w:lang w:eastAsia="uk-UA"/>
        </w:rPr>
        <w:drawing>
          <wp:inline distT="0" distB="0" distL="0" distR="0" wp14:anchorId="032B8BF3" wp14:editId="38A4A5AC">
            <wp:extent cx="6115685" cy="663829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BEBA8EAE-BF5A-486C-A8C5-ECC9F3942E4B}">
                          <a14:imgProps xmlns:a14="http://schemas.microsoft.com/office/drawing/2010/main">
                            <a14:imgLayer r:embed="rId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6638290"/>
                    </a:xfrm>
                    <a:prstGeom prst="rect">
                      <a:avLst/>
                    </a:prstGeom>
                    <a:noFill/>
                    <a:ln>
                      <a:noFill/>
                    </a:ln>
                  </pic:spPr>
                </pic:pic>
              </a:graphicData>
            </a:graphic>
          </wp:inline>
        </w:drawing>
      </w:r>
    </w:p>
    <w:p w14:paraId="6620100E" w14:textId="77777777" w:rsidR="0060697B" w:rsidRPr="00365CE8" w:rsidRDefault="0060697B" w:rsidP="0060697B">
      <w:pPr>
        <w:spacing w:after="0" w:line="240" w:lineRule="auto"/>
        <w:ind w:firstLine="708"/>
        <w:rPr>
          <w:rFonts w:ascii="Times New Roman" w:hAnsi="Times New Roman" w:cs="Times New Roman"/>
          <w:i/>
          <w:sz w:val="24"/>
          <w:szCs w:val="24"/>
        </w:rPr>
      </w:pPr>
      <w:r w:rsidRPr="00365CE8">
        <w:rPr>
          <w:rFonts w:ascii="Times New Roman" w:hAnsi="Times New Roman" w:cs="Times New Roman"/>
          <w:i/>
          <w:sz w:val="24"/>
          <w:szCs w:val="24"/>
        </w:rPr>
        <w:t>Джерело: узагальнено автором на основі [9-13, 31-34]</w:t>
      </w:r>
    </w:p>
    <w:p w14:paraId="7714DB80" w14:textId="77777777" w:rsidR="00660E8D" w:rsidRPr="00365CE8" w:rsidRDefault="00660E8D" w:rsidP="0028541E">
      <w:pPr>
        <w:spacing w:after="0" w:line="240" w:lineRule="auto"/>
        <w:jc w:val="both"/>
        <w:rPr>
          <w:rFonts w:ascii="Times New Roman" w:hAnsi="Times New Roman" w:cs="Times New Roman"/>
          <w:sz w:val="28"/>
          <w:szCs w:val="28"/>
        </w:rPr>
      </w:pPr>
    </w:p>
    <w:p w14:paraId="7635A559" w14:textId="77777777" w:rsidR="002C323E" w:rsidRPr="00365CE8" w:rsidRDefault="002C323E" w:rsidP="002C323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Проведений аналіз наукових праць свідчить, що інвестиційна привабливість розглядається як комплекс чинників економічного, політичного, </w:t>
      </w:r>
      <w:r w:rsidRPr="00365CE8">
        <w:rPr>
          <w:rFonts w:ascii="Times New Roman" w:hAnsi="Times New Roman" w:cs="Times New Roman"/>
          <w:sz w:val="28"/>
          <w:szCs w:val="28"/>
        </w:rPr>
        <w:lastRenderedPageBreak/>
        <w:t>правового та соціального характеру. Цей комплекс враховується інвесторами при прийнятті рішень щодо вкладення коштів в певну країну. Зазначено, що існують різні підходи та системи показників у сучасних методиках оцінки інвестиційної привабливості країни, що вказує на широкий спектр розуміння цього поняття вченими</w:t>
      </w:r>
      <w:r w:rsidR="009A7E0E" w:rsidRPr="00365CE8">
        <w:rPr>
          <w:rFonts w:ascii="Times New Roman" w:hAnsi="Times New Roman" w:cs="Times New Roman"/>
          <w:sz w:val="28"/>
          <w:szCs w:val="28"/>
        </w:rPr>
        <w:t>.</w:t>
      </w:r>
    </w:p>
    <w:p w14:paraId="03153E3F" w14:textId="77777777" w:rsidR="009A7E0E" w:rsidRPr="00365CE8" w:rsidRDefault="009A7E0E" w:rsidP="009A7E0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Інвестиційна привабливість визначається знаходженням балансу між інтересами інвестора та реципієнта інвестицій, оцінкою доцільності вкладення коштів у конкретних умовах та прийняттям рішень щодо інвестування. Важливість оцінки доцільності вкладень стає вирішальною для інвестора, а для реципієнта значення має обсяг і умови залучення інвестицій. Інвестиційна привабливість відображає компроміс між інтересами учасників інвестиційного процесу та, з позицій національної економіки, є результатом компромісу між бажанням інвестора отримати максимальний прибуток і загальнонаціональними інтересами розвитку країни (рис 1).</w:t>
      </w:r>
    </w:p>
    <w:p w14:paraId="6101B48D" w14:textId="77777777" w:rsidR="009A7E0E" w:rsidRPr="00365CE8" w:rsidRDefault="009A7E0E" w:rsidP="002C323E">
      <w:pPr>
        <w:spacing w:after="0" w:line="240" w:lineRule="auto"/>
        <w:ind w:firstLine="708"/>
        <w:jc w:val="both"/>
        <w:rPr>
          <w:rFonts w:ascii="Times New Roman" w:hAnsi="Times New Roman" w:cs="Times New Roman"/>
          <w:sz w:val="28"/>
          <w:szCs w:val="28"/>
        </w:rPr>
      </w:pPr>
    </w:p>
    <w:p w14:paraId="197871E0" w14:textId="77777777" w:rsidR="00660E8D" w:rsidRPr="00365CE8" w:rsidRDefault="00660E8D" w:rsidP="0028541E">
      <w:pPr>
        <w:spacing w:after="0" w:line="240" w:lineRule="auto"/>
        <w:jc w:val="both"/>
        <w:rPr>
          <w:rFonts w:ascii="Times New Roman" w:hAnsi="Times New Roman" w:cs="Times New Roman"/>
          <w:sz w:val="28"/>
          <w:szCs w:val="28"/>
        </w:rPr>
      </w:pPr>
      <w:r w:rsidRPr="00365CE8">
        <w:rPr>
          <w:rFonts w:ascii="Times New Roman" w:hAnsi="Times New Roman" w:cs="Times New Roman"/>
          <w:noProof/>
          <w:sz w:val="28"/>
          <w:szCs w:val="28"/>
          <w:lang w:eastAsia="uk-UA"/>
        </w:rPr>
        <w:drawing>
          <wp:inline distT="0" distB="0" distL="0" distR="0" wp14:anchorId="1F747A66" wp14:editId="52886D66">
            <wp:extent cx="6115685" cy="4334510"/>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4334510"/>
                    </a:xfrm>
                    <a:prstGeom prst="rect">
                      <a:avLst/>
                    </a:prstGeom>
                    <a:noFill/>
                    <a:ln>
                      <a:noFill/>
                    </a:ln>
                  </pic:spPr>
                </pic:pic>
              </a:graphicData>
            </a:graphic>
          </wp:inline>
        </w:drawing>
      </w:r>
    </w:p>
    <w:p w14:paraId="3CB55107" w14:textId="77777777" w:rsidR="00660E8D" w:rsidRPr="00365CE8" w:rsidRDefault="00660E8D" w:rsidP="0028541E">
      <w:pPr>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Рисунок 1 - Схема взаємозв’язків структурних компонент поняття «інвестиційної привабливості країни» [12]</w:t>
      </w:r>
    </w:p>
    <w:p w14:paraId="12F24B4B" w14:textId="77777777" w:rsidR="00660E8D" w:rsidRPr="00365CE8" w:rsidRDefault="00660E8D" w:rsidP="0028541E">
      <w:pPr>
        <w:spacing w:after="0" w:line="240" w:lineRule="auto"/>
        <w:jc w:val="both"/>
        <w:rPr>
          <w:rFonts w:ascii="Times New Roman" w:hAnsi="Times New Roman" w:cs="Times New Roman"/>
          <w:sz w:val="28"/>
          <w:szCs w:val="28"/>
        </w:rPr>
      </w:pPr>
    </w:p>
    <w:p w14:paraId="743F363D" w14:textId="77777777" w:rsidR="009A7E0E" w:rsidRPr="00365CE8" w:rsidRDefault="009A7E0E" w:rsidP="009A7E0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Інвестиційна привабливість країни представляє собою інтегровану систему, утворену різними компонентами, які взаємодіють між собою. Рівень цієї привабливості визначається в єдності базових та придбаних компонентів. Якщо країна спирається виключно на власні базові елементи, вона не досягне успіху в залученні інвестицій. Лише комплексний підхід у державній інвестиційній стратегії може привести до бажаного результату. Оцінка рівня </w:t>
      </w:r>
      <w:r w:rsidRPr="00365CE8">
        <w:rPr>
          <w:rFonts w:ascii="Times New Roman" w:hAnsi="Times New Roman" w:cs="Times New Roman"/>
          <w:sz w:val="28"/>
          <w:szCs w:val="28"/>
        </w:rPr>
        <w:lastRenderedPageBreak/>
        <w:t>інвестиційної привабливості країни ґрунтується на розумінні цієї категорії як сукупності різноманітних факторів, що визначають вигідність вкладення капіталу в конкретну державу [1].</w:t>
      </w:r>
    </w:p>
    <w:p w14:paraId="3810B2A1" w14:textId="77777777" w:rsidR="00D3047A" w:rsidRPr="00365CE8" w:rsidRDefault="009A7E0E" w:rsidP="00D3047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В умовах сучасного господарювання, де конкурентна боротьба надзвичайно загострена, важливим стає здатність суб'єкта залучати інвестиції, що визначається його рівнем інвестиційної привабливості. Ця привабливість в значній мірі залежить від стабільності як зовнішнього, так і внутрішнього середовища, ефективності економічної діяльності та пріоритетів вирішуваних завдань.</w:t>
      </w:r>
      <w:r w:rsidR="00D3047A" w:rsidRPr="00365CE8">
        <w:rPr>
          <w:rFonts w:ascii="Times New Roman" w:hAnsi="Times New Roman" w:cs="Times New Roman"/>
          <w:sz w:val="28"/>
          <w:szCs w:val="28"/>
        </w:rPr>
        <w:t xml:space="preserve"> </w:t>
      </w:r>
    </w:p>
    <w:p w14:paraId="73A196B0" w14:textId="77777777" w:rsidR="00823AA6" w:rsidRPr="00365CE8" w:rsidRDefault="009A7E0E" w:rsidP="00D3047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Аналіз статистичної інформації свідчить про трансформаційні зрушення, але умови пандемії призвели до обмеженої позитивної динаміки чи навіть її відсутності. Оцінка розвитку інвестиційного ринку є ключовою для комплексного аналізу інвестиційної привабливості суб'єктів господарювання.</w:t>
      </w:r>
      <w:r w:rsidR="00D3047A" w:rsidRPr="00365CE8">
        <w:rPr>
          <w:rFonts w:ascii="Times New Roman" w:hAnsi="Times New Roman" w:cs="Times New Roman"/>
          <w:sz w:val="28"/>
          <w:szCs w:val="28"/>
        </w:rPr>
        <w:t xml:space="preserve"> </w:t>
      </w:r>
      <w:r w:rsidRPr="00365CE8">
        <w:rPr>
          <w:rFonts w:ascii="Times New Roman" w:hAnsi="Times New Roman" w:cs="Times New Roman"/>
          <w:sz w:val="28"/>
          <w:szCs w:val="28"/>
        </w:rPr>
        <w:t>Інвестиційний ринок охоплює всі форми об'єктів інвестування, враховуючи умови проведення інвестиційної діяльності на різних етапах розвитку підприємства, галузі економіки, регіону та країни</w:t>
      </w:r>
      <w:r w:rsidR="00D3047A" w:rsidRPr="00365CE8">
        <w:rPr>
          <w:rFonts w:ascii="Times New Roman" w:hAnsi="Times New Roman" w:cs="Times New Roman"/>
          <w:sz w:val="28"/>
          <w:szCs w:val="28"/>
        </w:rPr>
        <w:t xml:space="preserve"> [2]</w:t>
      </w:r>
      <w:r w:rsidRPr="00365CE8">
        <w:rPr>
          <w:rFonts w:ascii="Times New Roman" w:hAnsi="Times New Roman" w:cs="Times New Roman"/>
          <w:sz w:val="28"/>
          <w:szCs w:val="28"/>
        </w:rPr>
        <w:t>.</w:t>
      </w:r>
    </w:p>
    <w:p w14:paraId="191ED3BA" w14:textId="77777777" w:rsidR="0060697B" w:rsidRPr="00365CE8" w:rsidRDefault="009A7E0E" w:rsidP="0028541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На рис. 2 наведена графічна інтерпретація параметрів інвестиційної привабливості країни.</w:t>
      </w:r>
    </w:p>
    <w:p w14:paraId="4EAD4EBA" w14:textId="77777777" w:rsidR="00507237" w:rsidRPr="00365CE8" w:rsidRDefault="00507237" w:rsidP="0028541E">
      <w:pPr>
        <w:spacing w:after="0" w:line="240" w:lineRule="auto"/>
        <w:jc w:val="both"/>
        <w:rPr>
          <w:rFonts w:ascii="Times New Roman" w:hAnsi="Times New Roman" w:cs="Times New Roman"/>
          <w:sz w:val="28"/>
          <w:szCs w:val="28"/>
        </w:rPr>
      </w:pPr>
    </w:p>
    <w:p w14:paraId="69B20C56" w14:textId="77777777" w:rsidR="00507237" w:rsidRPr="00365CE8" w:rsidRDefault="00507237" w:rsidP="0028541E">
      <w:pPr>
        <w:spacing w:after="0" w:line="240" w:lineRule="auto"/>
        <w:jc w:val="both"/>
        <w:rPr>
          <w:rFonts w:ascii="Times New Roman" w:hAnsi="Times New Roman" w:cs="Times New Roman"/>
          <w:sz w:val="28"/>
          <w:szCs w:val="28"/>
        </w:rPr>
      </w:pPr>
      <w:r w:rsidRPr="00365CE8">
        <w:rPr>
          <w:rFonts w:ascii="Times New Roman" w:hAnsi="Times New Roman" w:cs="Times New Roman"/>
          <w:noProof/>
          <w:sz w:val="28"/>
          <w:szCs w:val="28"/>
          <w:lang w:eastAsia="uk-UA"/>
        </w:rPr>
        <w:drawing>
          <wp:inline distT="0" distB="0" distL="0" distR="0" wp14:anchorId="56D9D3CB" wp14:editId="7D9F089B">
            <wp:extent cx="6115050" cy="30575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3057525"/>
                    </a:xfrm>
                    <a:prstGeom prst="rect">
                      <a:avLst/>
                    </a:prstGeom>
                    <a:noFill/>
                    <a:ln>
                      <a:noFill/>
                    </a:ln>
                  </pic:spPr>
                </pic:pic>
              </a:graphicData>
            </a:graphic>
          </wp:inline>
        </w:drawing>
      </w:r>
    </w:p>
    <w:p w14:paraId="6E90261E" w14:textId="77777777" w:rsidR="00507237" w:rsidRPr="00365CE8" w:rsidRDefault="00507237" w:rsidP="0028541E">
      <w:pPr>
        <w:spacing w:after="0" w:line="240" w:lineRule="auto"/>
        <w:ind w:firstLine="708"/>
        <w:jc w:val="center"/>
        <w:rPr>
          <w:rFonts w:ascii="Times New Roman" w:hAnsi="Times New Roman" w:cs="Times New Roman"/>
          <w:sz w:val="28"/>
          <w:szCs w:val="28"/>
        </w:rPr>
      </w:pPr>
      <w:r w:rsidRPr="00365CE8">
        <w:rPr>
          <w:rFonts w:ascii="Times New Roman" w:hAnsi="Times New Roman" w:cs="Times New Roman"/>
          <w:sz w:val="28"/>
          <w:szCs w:val="28"/>
        </w:rPr>
        <w:t>Рисунок 2 - Графічна інтерпретація параметрів інвестиційної привабливості країни [14]</w:t>
      </w:r>
    </w:p>
    <w:p w14:paraId="2B1335CD" w14:textId="77777777" w:rsidR="00507237" w:rsidRPr="00365CE8" w:rsidRDefault="00507237" w:rsidP="0028541E">
      <w:pPr>
        <w:spacing w:after="0" w:line="240" w:lineRule="auto"/>
        <w:jc w:val="both"/>
        <w:rPr>
          <w:rFonts w:ascii="Times New Roman" w:hAnsi="Times New Roman" w:cs="Times New Roman"/>
          <w:sz w:val="28"/>
          <w:szCs w:val="28"/>
        </w:rPr>
      </w:pPr>
    </w:p>
    <w:p w14:paraId="1B03B857" w14:textId="77777777" w:rsidR="008A3EBC" w:rsidRPr="00365CE8" w:rsidRDefault="009A7E0E" w:rsidP="009A7E0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Отже, о</w:t>
      </w:r>
      <w:r w:rsidR="008A3EBC" w:rsidRPr="00365CE8">
        <w:rPr>
          <w:rFonts w:ascii="Times New Roman" w:hAnsi="Times New Roman" w:cs="Times New Roman"/>
          <w:sz w:val="28"/>
          <w:szCs w:val="28"/>
        </w:rPr>
        <w:t>сновні вихідні фактори, як правило, залежать від географічного положення, кліматичних умов, наявності природних та трудових ресурсів в країні, визначаючи її об'єктивну інвестиційну привабливість. Країна має завдання забезпечити ефективне використання цих базових параметрів, які визначають її позиції в залученні інвестицій</w:t>
      </w:r>
      <w:r w:rsidRPr="00365CE8">
        <w:rPr>
          <w:rFonts w:ascii="Times New Roman" w:hAnsi="Times New Roman" w:cs="Times New Roman"/>
          <w:sz w:val="28"/>
          <w:szCs w:val="28"/>
        </w:rPr>
        <w:t xml:space="preserve"> [14]</w:t>
      </w:r>
      <w:r w:rsidR="008A3EBC" w:rsidRPr="00365CE8">
        <w:rPr>
          <w:rFonts w:ascii="Times New Roman" w:hAnsi="Times New Roman" w:cs="Times New Roman"/>
          <w:sz w:val="28"/>
          <w:szCs w:val="28"/>
        </w:rPr>
        <w:t>.</w:t>
      </w:r>
    </w:p>
    <w:p w14:paraId="78C3A44A" w14:textId="77777777" w:rsidR="008A3EBC" w:rsidRPr="00365CE8" w:rsidRDefault="008A3EBC" w:rsidP="009A7E0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Дії державних та приватних інститутів, прийняття рішень та впровадження заходів, впливають на інвестиційну привабливість на суб'єктивному рівні. Таким чином, інвестиційна привабливість національної </w:t>
      </w:r>
      <w:r w:rsidRPr="00365CE8">
        <w:rPr>
          <w:rFonts w:ascii="Times New Roman" w:hAnsi="Times New Roman" w:cs="Times New Roman"/>
          <w:sz w:val="28"/>
          <w:szCs w:val="28"/>
        </w:rPr>
        <w:lastRenderedPageBreak/>
        <w:t>економіки формується під впливом об'єктивних та суб'єктивних факторів. Базові параметри визначаються об'єктивно, тоді як інші формуються в процесі діяльності основних інститутів країни, що створює дуалізм у її сприйнятті.</w:t>
      </w:r>
    </w:p>
    <w:p w14:paraId="04829E0D" w14:textId="77777777" w:rsidR="00D3047A" w:rsidRPr="00365CE8" w:rsidRDefault="00D3047A" w:rsidP="009A7E0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На рис. 3 наведено функції та інструменти державного регулювання інвестиційної привабливості країни.</w:t>
      </w:r>
    </w:p>
    <w:p w14:paraId="21F6133E" w14:textId="77777777" w:rsidR="008A3EBC" w:rsidRPr="00365CE8" w:rsidRDefault="008A3EBC" w:rsidP="0028541E">
      <w:pPr>
        <w:spacing w:after="0" w:line="240" w:lineRule="auto"/>
        <w:jc w:val="both"/>
        <w:rPr>
          <w:rFonts w:ascii="Times New Roman" w:hAnsi="Times New Roman" w:cs="Times New Roman"/>
          <w:sz w:val="28"/>
          <w:szCs w:val="28"/>
        </w:rPr>
      </w:pPr>
    </w:p>
    <w:p w14:paraId="784D060A" w14:textId="77777777" w:rsidR="00D02090" w:rsidRPr="00365CE8" w:rsidRDefault="00D02090" w:rsidP="0028541E">
      <w:pPr>
        <w:spacing w:after="0" w:line="240" w:lineRule="auto"/>
        <w:jc w:val="both"/>
        <w:rPr>
          <w:rFonts w:ascii="Times New Roman" w:hAnsi="Times New Roman" w:cs="Times New Roman"/>
          <w:sz w:val="28"/>
          <w:szCs w:val="28"/>
        </w:rPr>
      </w:pPr>
      <w:r w:rsidRPr="00365CE8">
        <w:rPr>
          <w:rFonts w:ascii="Times New Roman" w:hAnsi="Times New Roman" w:cs="Times New Roman"/>
          <w:noProof/>
          <w:sz w:val="28"/>
          <w:szCs w:val="28"/>
          <w:lang w:eastAsia="uk-UA"/>
        </w:rPr>
        <w:drawing>
          <wp:inline distT="0" distB="0" distL="0" distR="0" wp14:anchorId="591A17CC" wp14:editId="590FBFC1">
            <wp:extent cx="6115685" cy="5842635"/>
            <wp:effectExtent l="0" t="0" r="0" b="571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5842635"/>
                    </a:xfrm>
                    <a:prstGeom prst="rect">
                      <a:avLst/>
                    </a:prstGeom>
                    <a:noFill/>
                    <a:ln>
                      <a:noFill/>
                    </a:ln>
                  </pic:spPr>
                </pic:pic>
              </a:graphicData>
            </a:graphic>
          </wp:inline>
        </w:drawing>
      </w:r>
    </w:p>
    <w:p w14:paraId="3DEDA9A4" w14:textId="77777777" w:rsidR="00507237" w:rsidRPr="00365CE8" w:rsidRDefault="00D3047A" w:rsidP="0028541E">
      <w:pPr>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Рисунок 3</w:t>
      </w:r>
      <w:r w:rsidR="00507237" w:rsidRPr="00365CE8">
        <w:rPr>
          <w:rFonts w:ascii="Times New Roman" w:hAnsi="Times New Roman" w:cs="Times New Roman"/>
          <w:sz w:val="28"/>
          <w:szCs w:val="28"/>
        </w:rPr>
        <w:t xml:space="preserve"> </w:t>
      </w:r>
      <w:r w:rsidR="00E80622" w:rsidRPr="00365CE8">
        <w:rPr>
          <w:rFonts w:ascii="Times New Roman" w:hAnsi="Times New Roman" w:cs="Times New Roman"/>
          <w:sz w:val="28"/>
          <w:szCs w:val="28"/>
        </w:rPr>
        <w:t>-</w:t>
      </w:r>
      <w:r w:rsidR="00507237" w:rsidRPr="00365CE8">
        <w:rPr>
          <w:rFonts w:ascii="Times New Roman" w:hAnsi="Times New Roman" w:cs="Times New Roman"/>
          <w:sz w:val="28"/>
          <w:szCs w:val="28"/>
        </w:rPr>
        <w:t xml:space="preserve"> Функції та інструменти державного регулювання інвестиційної привабливості країни </w:t>
      </w:r>
    </w:p>
    <w:p w14:paraId="6191C3BB" w14:textId="77777777" w:rsidR="00507237" w:rsidRPr="00365CE8" w:rsidRDefault="00507237" w:rsidP="0028541E">
      <w:pPr>
        <w:spacing w:after="0" w:line="240" w:lineRule="auto"/>
        <w:ind w:firstLine="708"/>
        <w:rPr>
          <w:rFonts w:ascii="Times New Roman" w:hAnsi="Times New Roman" w:cs="Times New Roman"/>
          <w:i/>
          <w:sz w:val="24"/>
          <w:szCs w:val="24"/>
        </w:rPr>
      </w:pPr>
      <w:r w:rsidRPr="00365CE8">
        <w:rPr>
          <w:rFonts w:ascii="Times New Roman" w:hAnsi="Times New Roman" w:cs="Times New Roman"/>
          <w:i/>
          <w:sz w:val="24"/>
          <w:szCs w:val="24"/>
        </w:rPr>
        <w:t>Джерело: узагальнено автором на основі [15-17]</w:t>
      </w:r>
    </w:p>
    <w:p w14:paraId="300EBDE4" w14:textId="77777777" w:rsidR="00507237" w:rsidRPr="00365CE8" w:rsidRDefault="00507237" w:rsidP="0028541E">
      <w:pPr>
        <w:spacing w:after="0" w:line="240" w:lineRule="auto"/>
        <w:jc w:val="both"/>
        <w:rPr>
          <w:rFonts w:ascii="Times New Roman" w:hAnsi="Times New Roman" w:cs="Times New Roman"/>
          <w:sz w:val="28"/>
          <w:szCs w:val="28"/>
        </w:rPr>
      </w:pPr>
    </w:p>
    <w:p w14:paraId="4097AF51" w14:textId="77777777" w:rsidR="008A3EBC" w:rsidRPr="00365CE8" w:rsidRDefault="00D3047A" w:rsidP="00D3047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Отже, п</w:t>
      </w:r>
      <w:r w:rsidR="009A7E0E" w:rsidRPr="00365CE8">
        <w:rPr>
          <w:rFonts w:ascii="Times New Roman" w:hAnsi="Times New Roman" w:cs="Times New Roman"/>
          <w:sz w:val="28"/>
          <w:szCs w:val="28"/>
        </w:rPr>
        <w:t>ідвищення рівня інвестиційної привабливості створює передумови для покращення бізнес-середовища в Україні. І навпаки, покращення бізнес-середовища в Україні підвищує рівень інвестиційної привабливості та конкурентоздатності національної економіки</w:t>
      </w:r>
    </w:p>
    <w:p w14:paraId="162D87F3" w14:textId="77777777" w:rsidR="00D3047A" w:rsidRPr="00365CE8" w:rsidRDefault="00D3047A" w:rsidP="00D3047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Зменшення політичної та економічної нестабільності може позитивно вплинути на інвестиційну привабливість України. Поліпшення соціального </w:t>
      </w:r>
      <w:r w:rsidRPr="00365CE8">
        <w:rPr>
          <w:rFonts w:ascii="Times New Roman" w:hAnsi="Times New Roman" w:cs="Times New Roman"/>
          <w:sz w:val="28"/>
          <w:szCs w:val="28"/>
        </w:rPr>
        <w:lastRenderedPageBreak/>
        <w:t>консенсусу між рівнями влади, політичними силами та релігійними конфесіями також сприятиме підвищенню інвестиційної привабливості. Макроекономічна стабільність, зокрема подолання інфляції, може стати важливим елементом, сприяючи капітальному будівництву підприємств за рахунок власних та залучених коштів [3].</w:t>
      </w:r>
    </w:p>
    <w:p w14:paraId="6BC540BA" w14:textId="77777777" w:rsidR="00D3047A" w:rsidRPr="00365CE8" w:rsidRDefault="00D3047A" w:rsidP="00D3047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Виявлено, що інституційні фактори, такі як низький рівень захисту прав власності, хабарництво та слабкий захист інтелектуальної власності, негативно впливають на інвестиційний потенціал України. Для подолання цих проблем рекомендується застосування інструментів інституційного впливу, таких як посилення захисту прав власності, систематична боротьба з хабарництвом та підтримка захисту різних форм власності. Використання адміністративно-економічної форми регулювання, яка визначається прийняттям нормативних документів, що впливають на інвестиційний процес, також може сприяти поліпшенню інвестиційного клімату [10].</w:t>
      </w:r>
    </w:p>
    <w:p w14:paraId="09511C68" w14:textId="77777777" w:rsidR="009A7E0E" w:rsidRPr="00365CE8" w:rsidRDefault="00D3047A" w:rsidP="00D3047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Стимулювання збільшення обсягів інвестування, диверсифікація джерел інвестування, а також ресурсне та інноваційне забезпечення інвестиційного процесу можуть призвести до зростання виробництва продукції з високим рівнем доданої вартості в різних галузях економіки. Це, в свою чергу, сприятиме підвищенню пропозиції вітчизняних товарів. Збільшення інвестиційної привабливості та позитивна динаміка обсягів інвестицій можуть також сприяти зростанню доходів населення України.</w:t>
      </w:r>
    </w:p>
    <w:p w14:paraId="07BB6693" w14:textId="77777777" w:rsidR="00D3047A" w:rsidRPr="00365CE8" w:rsidRDefault="00927356" w:rsidP="0092735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На рис. 4 наведена схема взаємозв’язків між рівнями інвестиційної привабливості.</w:t>
      </w:r>
    </w:p>
    <w:p w14:paraId="3B5ACFFF" w14:textId="77777777" w:rsidR="00927356" w:rsidRPr="00365CE8" w:rsidRDefault="00927356" w:rsidP="00927356">
      <w:pPr>
        <w:spacing w:after="0" w:line="240" w:lineRule="auto"/>
        <w:jc w:val="center"/>
        <w:rPr>
          <w:rFonts w:ascii="Times New Roman" w:hAnsi="Times New Roman" w:cs="Times New Roman"/>
          <w:sz w:val="28"/>
          <w:szCs w:val="28"/>
        </w:rPr>
      </w:pPr>
      <w:r w:rsidRPr="00365CE8">
        <w:rPr>
          <w:rFonts w:ascii="Times New Roman" w:hAnsi="Times New Roman" w:cs="Times New Roman"/>
          <w:noProof/>
          <w:sz w:val="28"/>
          <w:szCs w:val="28"/>
          <w:lang w:eastAsia="uk-UA"/>
        </w:rPr>
        <w:drawing>
          <wp:inline distT="0" distB="0" distL="0" distR="0" wp14:anchorId="4C3C365D" wp14:editId="3CFE732A">
            <wp:extent cx="4156363" cy="3153951"/>
            <wp:effectExtent l="0" t="0" r="0" b="889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BEBA8EAE-BF5A-486C-A8C5-ECC9F3942E4B}">
                          <a14:imgProps xmlns:a14="http://schemas.microsoft.com/office/drawing/2010/main">
                            <a14:imgLayer r:embed="rId1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156363" cy="3153951"/>
                    </a:xfrm>
                    <a:prstGeom prst="rect">
                      <a:avLst/>
                    </a:prstGeom>
                    <a:noFill/>
                    <a:ln>
                      <a:noFill/>
                    </a:ln>
                  </pic:spPr>
                </pic:pic>
              </a:graphicData>
            </a:graphic>
          </wp:inline>
        </w:drawing>
      </w:r>
    </w:p>
    <w:p w14:paraId="25EA4520" w14:textId="77777777" w:rsidR="00927356" w:rsidRPr="00365CE8" w:rsidRDefault="00927356" w:rsidP="00927356">
      <w:pPr>
        <w:spacing w:after="0" w:line="240" w:lineRule="auto"/>
        <w:ind w:firstLine="708"/>
        <w:jc w:val="center"/>
        <w:rPr>
          <w:rFonts w:ascii="Times New Roman" w:hAnsi="Times New Roman" w:cs="Times New Roman"/>
          <w:sz w:val="28"/>
          <w:szCs w:val="28"/>
        </w:rPr>
      </w:pPr>
      <w:r w:rsidRPr="00365CE8">
        <w:rPr>
          <w:rFonts w:ascii="Times New Roman" w:hAnsi="Times New Roman" w:cs="Times New Roman"/>
          <w:sz w:val="28"/>
          <w:szCs w:val="28"/>
        </w:rPr>
        <w:t>Рисунок 4 - Схема взаємозв’язків між рівнями інвестиційної привабливості [33]</w:t>
      </w:r>
    </w:p>
    <w:p w14:paraId="276AAE26" w14:textId="77777777" w:rsidR="00927356" w:rsidRPr="00365CE8" w:rsidRDefault="00927356" w:rsidP="00927356">
      <w:pPr>
        <w:spacing w:after="0" w:line="240" w:lineRule="auto"/>
        <w:jc w:val="center"/>
        <w:rPr>
          <w:rFonts w:ascii="Times New Roman" w:hAnsi="Times New Roman" w:cs="Times New Roman"/>
          <w:sz w:val="28"/>
          <w:szCs w:val="28"/>
        </w:rPr>
      </w:pPr>
    </w:p>
    <w:p w14:paraId="42A7B342" w14:textId="77777777" w:rsidR="00927356" w:rsidRPr="00365CE8" w:rsidRDefault="00927356" w:rsidP="00D3047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За рис. 4 бачимо що, інвестиційна привабливість базується на пошуку компромісу між інтересами інвестора та реципієнта інвестицій, основою чого є оцінка доцільності інвестицій. Цей процес визначається узгодженням інтересів </w:t>
      </w:r>
      <w:r w:rsidRPr="00365CE8">
        <w:rPr>
          <w:rFonts w:ascii="Times New Roman" w:hAnsi="Times New Roman" w:cs="Times New Roman"/>
          <w:sz w:val="28"/>
          <w:szCs w:val="28"/>
        </w:rPr>
        <w:lastRenderedPageBreak/>
        <w:t xml:space="preserve">сторін та є результатом аналізу інвестором обсягу інвестицій та умов вкладення. Інвестиційна привабливість, крім комплексної оцінки, виражається у згоді учасників інвестиційного процесу. Інвестор, враховуючи інтереси та умови вкладення, аналізує доцільність інвестування в конкретній країні, переваги імовірних вигід, а також можливості для подальшої діяльності на різних рівнях економіки: </w:t>
      </w:r>
      <w:proofErr w:type="spellStart"/>
      <w:r w:rsidRPr="00365CE8">
        <w:rPr>
          <w:rFonts w:ascii="Times New Roman" w:hAnsi="Times New Roman" w:cs="Times New Roman"/>
          <w:sz w:val="28"/>
          <w:szCs w:val="28"/>
        </w:rPr>
        <w:t>макро</w:t>
      </w:r>
      <w:proofErr w:type="spellEnd"/>
      <w:r w:rsidRPr="00365CE8">
        <w:rPr>
          <w:rFonts w:ascii="Times New Roman" w:hAnsi="Times New Roman" w:cs="Times New Roman"/>
          <w:sz w:val="28"/>
          <w:szCs w:val="28"/>
        </w:rPr>
        <w:t xml:space="preserve">-, </w:t>
      </w:r>
      <w:proofErr w:type="spellStart"/>
      <w:r w:rsidRPr="00365CE8">
        <w:rPr>
          <w:rFonts w:ascii="Times New Roman" w:hAnsi="Times New Roman" w:cs="Times New Roman"/>
          <w:sz w:val="28"/>
          <w:szCs w:val="28"/>
        </w:rPr>
        <w:t>мезо</w:t>
      </w:r>
      <w:proofErr w:type="spellEnd"/>
      <w:r w:rsidRPr="00365CE8">
        <w:rPr>
          <w:rFonts w:ascii="Times New Roman" w:hAnsi="Times New Roman" w:cs="Times New Roman"/>
          <w:sz w:val="28"/>
          <w:szCs w:val="28"/>
        </w:rPr>
        <w:t>- і мікрорівнях.</w:t>
      </w:r>
    </w:p>
    <w:p w14:paraId="3694C172" w14:textId="77777777" w:rsidR="00D3047A" w:rsidRPr="00365CE8" w:rsidRDefault="00D3047A" w:rsidP="00D3047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Керування інвестиційною привабливістю є складним та </w:t>
      </w:r>
      <w:r w:rsidR="00DF5356" w:rsidRPr="00365CE8">
        <w:rPr>
          <w:rFonts w:ascii="Times New Roman" w:hAnsi="Times New Roman" w:cs="Times New Roman"/>
          <w:sz w:val="28"/>
          <w:szCs w:val="28"/>
        </w:rPr>
        <w:t>багато</w:t>
      </w:r>
      <w:r w:rsidRPr="00365CE8">
        <w:rPr>
          <w:rFonts w:ascii="Times New Roman" w:hAnsi="Times New Roman" w:cs="Times New Roman"/>
          <w:sz w:val="28"/>
          <w:szCs w:val="28"/>
        </w:rPr>
        <w:t>плановим процесом, що передбачає використання різноманітних форм, методів та інструментів впливу. Ключовим аспектом цього процесу є аналіз і оцінка інвестиційної привабливості, зокрема за допомогою світових рейтингів. Однак, ефективність можливих заходів впливу визначається, насамперед, забезпеченням політичної та економічної стабільності, а також відновленням довіри населення та підприємств до держави та фінансово-банківських структур [13].</w:t>
      </w:r>
    </w:p>
    <w:p w14:paraId="03CDFD6C" w14:textId="77777777" w:rsidR="00D3047A" w:rsidRPr="00365CE8" w:rsidRDefault="00D3047A" w:rsidP="00D3047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Забезпечення ефективного управління інвестиційною привабливістю вимагає комплексного підходу, включаючи проведення систематичних оцінок рівня привабливості та врахування великої кількості факторів. Результати оцінок, зокрема на основі світових рейтингів, стають основою для формулювання стратегій та прийняття рішень. Однак, для ефективності впливових заходів необхідно приділяти особливу увагу відновленню довіри громадян та підприємств, що базується на забезпеченні їхньої безпеки та впевненості в стабільності економічної та політичної ситуації [16].</w:t>
      </w:r>
    </w:p>
    <w:p w14:paraId="107FC4E5" w14:textId="77777777" w:rsidR="00DF5356" w:rsidRPr="00365CE8" w:rsidRDefault="00DF5356" w:rsidP="00DF535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Інвестиційна привабливість об'єкта інвестування формується через взаємодію різних внутрішніх та зовнішніх чинників та ризиків. Ці фактори та ризики виступають важливими детермінантами, що визначають конкурентні переваги підприємства в залученні інвестиційних ресурсів порівняно з іншими учасниками ринку. Необхідно враховувати якісні та кількісні аспекти, пов'язані з фінансовим станом, ринковим оточенням та корпоративним управлінням. Кількісні фактори, такі як фінансові показники, можуть визначати фінансову стійкість підприємства [20]. </w:t>
      </w:r>
    </w:p>
    <w:p w14:paraId="10B14290" w14:textId="77777777" w:rsidR="00D3047A" w:rsidRPr="00365CE8" w:rsidRDefault="00DF5356" w:rsidP="00DF535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З іншого боку, якісні аспекти, такі як ефективність корпоративного управління та стратегічне розташування на ринку, впливають на здатність підприємства забезпечувати стійкі конкурентні переваги. Отже, </w:t>
      </w:r>
      <w:proofErr w:type="spellStart"/>
      <w:r w:rsidRPr="00365CE8">
        <w:rPr>
          <w:rFonts w:ascii="Times New Roman" w:hAnsi="Times New Roman" w:cs="Times New Roman"/>
          <w:sz w:val="28"/>
          <w:szCs w:val="28"/>
        </w:rPr>
        <w:t>іінвестиційна</w:t>
      </w:r>
      <w:proofErr w:type="spellEnd"/>
      <w:r w:rsidRPr="00365CE8">
        <w:rPr>
          <w:rFonts w:ascii="Times New Roman" w:hAnsi="Times New Roman" w:cs="Times New Roman"/>
          <w:sz w:val="28"/>
          <w:szCs w:val="28"/>
        </w:rPr>
        <w:t xml:space="preserve"> діяльність підприємства формується під впливом взаємодії цих факторів, створюючи привабливі умови для інвесторів та забезпечуючи підприємству конкурентні переваги в інвестиційному середовищі.</w:t>
      </w:r>
    </w:p>
    <w:p w14:paraId="7B5338B8" w14:textId="77777777" w:rsidR="00DF5356" w:rsidRPr="00365CE8" w:rsidRDefault="00927356" w:rsidP="009A7E0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При прийнятті рішення щодо обрання об’єкта інвестування, інвестор утворює комплексне уявлення про його інвестиційну привабливість на всіх етапах розробки проекту. Інвестиційна привабливість, зокрема національної економіки, вимагає переосмислення в умовах обмежених фінансових ресурсів та здержаної інвестиційної поведінки іноземних інвесторів. Важливо спрямовувати ресурси національних інвесторів на масштабні напрями розвитку та доповнювати їх інвестиціями зовнішнього походження для досягнення ефективного використання інвестицій та забезпечення економічного зростання. Інвестиційна привабливість країни є важливим індикатором успіху </w:t>
      </w:r>
      <w:r w:rsidRPr="00365CE8">
        <w:rPr>
          <w:rFonts w:ascii="Times New Roman" w:hAnsi="Times New Roman" w:cs="Times New Roman"/>
          <w:sz w:val="28"/>
          <w:szCs w:val="28"/>
        </w:rPr>
        <w:lastRenderedPageBreak/>
        <w:t>трансформаційних процесів та реалізації економічних політик на різних рівнях розвитку економічної системи, відображаючи вплив багатьох факторів [29].</w:t>
      </w:r>
    </w:p>
    <w:p w14:paraId="42B3E3B4" w14:textId="77777777" w:rsidR="00927356" w:rsidRPr="00365CE8" w:rsidRDefault="00927356" w:rsidP="0092735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Таким чином, інвестиційна привабливість стає ключовим показником ефективності економічного розвитку країни, і її формування залежить від взаємодії державних та приватних структур. Динаміка та складність загальнонаціонального соціально-економічного середовища впливають на інвестиційну привабливість, і зміни в будь-якому елементі можуть призвести до позитивних чи негативних зрушень. Таким чином, інвестиційну привабливість слід розглядати як важливу частину загальноекономічної політики, особливо в умовах структурних змін у національній економіці.</w:t>
      </w:r>
    </w:p>
    <w:p w14:paraId="0A3349C9" w14:textId="77777777" w:rsidR="00927356" w:rsidRPr="00365CE8" w:rsidRDefault="00524496" w:rsidP="0092735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Отже, а</w:t>
      </w:r>
      <w:r w:rsidR="00927356" w:rsidRPr="00365CE8">
        <w:rPr>
          <w:rFonts w:ascii="Times New Roman" w:hAnsi="Times New Roman" w:cs="Times New Roman"/>
          <w:sz w:val="28"/>
          <w:szCs w:val="28"/>
        </w:rPr>
        <w:t>налізуючи питання інвестиційної привабливості з точки зору її визначальних чинників, доцільно розглядати її схожість з загальним бізнес-середовищем національної економіки. Це підкреслює важливість інвестиційної привабливості як показника розвитку економіки, особливо в умовах структурних змін.</w:t>
      </w:r>
    </w:p>
    <w:p w14:paraId="6CA24BE1" w14:textId="77777777" w:rsidR="008A3EBC" w:rsidRPr="00365CE8" w:rsidRDefault="009A7E0E" w:rsidP="009A7E0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Стан країни у світових економічних рейтингах, щодо конкурентоспроможності, інвестиційної привабливості, та економічної свободи, є ключовим показником економічного положення. Аналіз динаміки цих показників у міжнародних рейтингах визначає актуальні проблеми країни, служить інформаційним ресурсом для пошуку оптимальних стратегій їх вирішення. Позиція України в рейтингах інвестиційної привабливості вказує на її привабливість для інвесторів та орієнтацію руху в цьому напрямі. Ці рейтинги формуються авторитетними міжнародними установами та аналітичними компаніями, і включають індекс інвестиційної привабливості Європейської Бізнес-Асоціації, рейтинг </w:t>
      </w:r>
      <w:proofErr w:type="spellStart"/>
      <w:r w:rsidRPr="00365CE8">
        <w:rPr>
          <w:rFonts w:ascii="Times New Roman" w:hAnsi="Times New Roman" w:cs="Times New Roman"/>
          <w:sz w:val="28"/>
          <w:szCs w:val="28"/>
        </w:rPr>
        <w:t>Doing</w:t>
      </w:r>
      <w:proofErr w:type="spellEnd"/>
      <w:r w:rsidRPr="00365CE8">
        <w:rPr>
          <w:rFonts w:ascii="Times New Roman" w:hAnsi="Times New Roman" w:cs="Times New Roman"/>
          <w:sz w:val="28"/>
          <w:szCs w:val="28"/>
        </w:rPr>
        <w:t xml:space="preserve"> </w:t>
      </w:r>
      <w:proofErr w:type="spellStart"/>
      <w:r w:rsidRPr="00365CE8">
        <w:rPr>
          <w:rFonts w:ascii="Times New Roman" w:hAnsi="Times New Roman" w:cs="Times New Roman"/>
          <w:sz w:val="28"/>
          <w:szCs w:val="28"/>
        </w:rPr>
        <w:t>Business</w:t>
      </w:r>
      <w:proofErr w:type="spellEnd"/>
      <w:r w:rsidRPr="00365CE8">
        <w:rPr>
          <w:rFonts w:ascii="Times New Roman" w:hAnsi="Times New Roman" w:cs="Times New Roman"/>
          <w:sz w:val="28"/>
          <w:szCs w:val="28"/>
        </w:rPr>
        <w:t>, індекс економічної свободи та глобальний індекс конкурентоспроможності економічного форуму</w:t>
      </w:r>
      <w:r w:rsidR="00D3047A" w:rsidRPr="00365CE8">
        <w:rPr>
          <w:rFonts w:ascii="Times New Roman" w:hAnsi="Times New Roman" w:cs="Times New Roman"/>
          <w:sz w:val="28"/>
          <w:szCs w:val="28"/>
        </w:rPr>
        <w:t> </w:t>
      </w:r>
      <w:r w:rsidRPr="00365CE8">
        <w:rPr>
          <w:rFonts w:ascii="Times New Roman" w:hAnsi="Times New Roman" w:cs="Times New Roman"/>
          <w:sz w:val="28"/>
          <w:szCs w:val="28"/>
        </w:rPr>
        <w:t>[28].</w:t>
      </w:r>
    </w:p>
    <w:p w14:paraId="2945E8DB" w14:textId="77777777" w:rsidR="009A7E0E" w:rsidRPr="00365CE8" w:rsidRDefault="009A7E0E" w:rsidP="009A7E0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Таким чином, до основних міжнародних рейтингів, які описують інвестиційну привабливість країни можна віднести:</w:t>
      </w:r>
    </w:p>
    <w:p w14:paraId="7A02E59C" w14:textId="77777777" w:rsidR="009A7E0E" w:rsidRPr="00365CE8" w:rsidRDefault="009A7E0E" w:rsidP="009A7E0E">
      <w:pPr>
        <w:pStyle w:val="a5"/>
        <w:numPr>
          <w:ilvl w:val="1"/>
          <w:numId w:val="15"/>
        </w:numPr>
        <w:spacing w:after="0" w:line="240" w:lineRule="auto"/>
        <w:ind w:left="851" w:hanging="425"/>
        <w:jc w:val="both"/>
        <w:rPr>
          <w:rFonts w:ascii="Times New Roman" w:hAnsi="Times New Roman" w:cs="Times New Roman"/>
          <w:sz w:val="28"/>
          <w:szCs w:val="28"/>
        </w:rPr>
      </w:pPr>
      <w:r w:rsidRPr="00365CE8">
        <w:rPr>
          <w:rFonts w:ascii="Times New Roman" w:hAnsi="Times New Roman" w:cs="Times New Roman"/>
          <w:sz w:val="28"/>
          <w:szCs w:val="28"/>
        </w:rPr>
        <w:t>Рейтинг "</w:t>
      </w:r>
      <w:proofErr w:type="spellStart"/>
      <w:r w:rsidRPr="00365CE8">
        <w:rPr>
          <w:rFonts w:ascii="Times New Roman" w:hAnsi="Times New Roman" w:cs="Times New Roman"/>
          <w:sz w:val="28"/>
          <w:szCs w:val="28"/>
        </w:rPr>
        <w:t>Doing</w:t>
      </w:r>
      <w:proofErr w:type="spellEnd"/>
      <w:r w:rsidRPr="00365CE8">
        <w:rPr>
          <w:rFonts w:ascii="Times New Roman" w:hAnsi="Times New Roman" w:cs="Times New Roman"/>
          <w:sz w:val="28"/>
          <w:szCs w:val="28"/>
        </w:rPr>
        <w:t xml:space="preserve"> </w:t>
      </w:r>
      <w:proofErr w:type="spellStart"/>
      <w:r w:rsidRPr="00365CE8">
        <w:rPr>
          <w:rFonts w:ascii="Times New Roman" w:hAnsi="Times New Roman" w:cs="Times New Roman"/>
          <w:sz w:val="28"/>
          <w:szCs w:val="28"/>
        </w:rPr>
        <w:t>Business</w:t>
      </w:r>
      <w:proofErr w:type="spellEnd"/>
      <w:r w:rsidRPr="00365CE8">
        <w:rPr>
          <w:rFonts w:ascii="Times New Roman" w:hAnsi="Times New Roman" w:cs="Times New Roman"/>
          <w:sz w:val="28"/>
          <w:szCs w:val="28"/>
        </w:rPr>
        <w:t>", розроблений Світовим банком, оцінює простоту підприємницької діяльності у 190 країнах за 10 індикаторами. У 2018 році Україна піднялась на 4 позиції, зайнявши 76 місце. Поліпшення обумовлене зменшенням ставки єдиного соціального внеску, спрощенням отримання будівельних дозволів та покращенням захисту прав інвесторів. Один пункт у рейтингу може призвести до залучення до 600 млн. доларів інвестицій.</w:t>
      </w:r>
    </w:p>
    <w:p w14:paraId="5C2F7985" w14:textId="77777777" w:rsidR="009A7E0E" w:rsidRPr="00365CE8" w:rsidRDefault="009A7E0E" w:rsidP="009A7E0E">
      <w:pPr>
        <w:pStyle w:val="a5"/>
        <w:numPr>
          <w:ilvl w:val="1"/>
          <w:numId w:val="15"/>
        </w:numPr>
        <w:spacing w:after="0" w:line="240" w:lineRule="auto"/>
        <w:ind w:left="851" w:hanging="425"/>
        <w:jc w:val="both"/>
        <w:rPr>
          <w:rFonts w:ascii="Times New Roman" w:hAnsi="Times New Roman" w:cs="Times New Roman"/>
          <w:sz w:val="28"/>
          <w:szCs w:val="28"/>
        </w:rPr>
      </w:pPr>
      <w:r w:rsidRPr="00365CE8">
        <w:rPr>
          <w:rFonts w:ascii="Times New Roman" w:hAnsi="Times New Roman" w:cs="Times New Roman"/>
          <w:sz w:val="28"/>
          <w:szCs w:val="28"/>
        </w:rPr>
        <w:t xml:space="preserve">Агентство </w:t>
      </w:r>
      <w:proofErr w:type="spellStart"/>
      <w:r w:rsidRPr="00365CE8">
        <w:rPr>
          <w:rFonts w:ascii="Times New Roman" w:hAnsi="Times New Roman" w:cs="Times New Roman"/>
          <w:sz w:val="28"/>
          <w:szCs w:val="28"/>
        </w:rPr>
        <w:t>Moody’s</w:t>
      </w:r>
      <w:proofErr w:type="spellEnd"/>
      <w:r w:rsidRPr="00365CE8">
        <w:rPr>
          <w:rFonts w:ascii="Times New Roman" w:hAnsi="Times New Roman" w:cs="Times New Roman"/>
          <w:sz w:val="28"/>
          <w:szCs w:val="28"/>
        </w:rPr>
        <w:t xml:space="preserve"> </w:t>
      </w:r>
      <w:proofErr w:type="spellStart"/>
      <w:r w:rsidRPr="00365CE8">
        <w:rPr>
          <w:rFonts w:ascii="Times New Roman" w:hAnsi="Times New Roman" w:cs="Times New Roman"/>
          <w:sz w:val="28"/>
          <w:szCs w:val="28"/>
        </w:rPr>
        <w:t>Investors</w:t>
      </w:r>
      <w:proofErr w:type="spellEnd"/>
      <w:r w:rsidRPr="00365CE8">
        <w:rPr>
          <w:rFonts w:ascii="Times New Roman" w:hAnsi="Times New Roman" w:cs="Times New Roman"/>
          <w:sz w:val="28"/>
          <w:szCs w:val="28"/>
        </w:rPr>
        <w:t xml:space="preserve"> </w:t>
      </w:r>
      <w:proofErr w:type="spellStart"/>
      <w:r w:rsidRPr="00365CE8">
        <w:rPr>
          <w:rFonts w:ascii="Times New Roman" w:hAnsi="Times New Roman" w:cs="Times New Roman"/>
          <w:sz w:val="28"/>
          <w:szCs w:val="28"/>
        </w:rPr>
        <w:t>Service</w:t>
      </w:r>
      <w:proofErr w:type="spellEnd"/>
      <w:r w:rsidRPr="00365CE8">
        <w:rPr>
          <w:rFonts w:ascii="Times New Roman" w:hAnsi="Times New Roman" w:cs="Times New Roman"/>
          <w:sz w:val="28"/>
          <w:szCs w:val="28"/>
        </w:rPr>
        <w:t xml:space="preserve">, яке діє з 1909 року, має 32 рейтингові системи та присвоює рейтинги більше ніж 40 країнам. У 2017 році </w:t>
      </w:r>
      <w:proofErr w:type="spellStart"/>
      <w:r w:rsidRPr="00365CE8">
        <w:rPr>
          <w:rFonts w:ascii="Times New Roman" w:hAnsi="Times New Roman" w:cs="Times New Roman"/>
          <w:sz w:val="28"/>
          <w:szCs w:val="28"/>
        </w:rPr>
        <w:t>Moody’s</w:t>
      </w:r>
      <w:proofErr w:type="spellEnd"/>
      <w:r w:rsidRPr="00365CE8">
        <w:rPr>
          <w:rFonts w:ascii="Times New Roman" w:hAnsi="Times New Roman" w:cs="Times New Roman"/>
          <w:sz w:val="28"/>
          <w:szCs w:val="28"/>
        </w:rPr>
        <w:t xml:space="preserve"> підняло кредитний рейтинг України на один щабель, а прогноз змінило на "позитивний". Поліпшення пов’язане з реформами та покращенням позиції України на міжнародних ринках."</w:t>
      </w:r>
    </w:p>
    <w:p w14:paraId="2455DA3B" w14:textId="77777777" w:rsidR="009A7E0E" w:rsidRPr="00365CE8" w:rsidRDefault="009A7E0E" w:rsidP="009A7E0E">
      <w:pPr>
        <w:pStyle w:val="a5"/>
        <w:numPr>
          <w:ilvl w:val="1"/>
          <w:numId w:val="15"/>
        </w:numPr>
        <w:spacing w:after="0" w:line="240" w:lineRule="auto"/>
        <w:ind w:left="851" w:hanging="425"/>
        <w:jc w:val="both"/>
        <w:rPr>
          <w:rFonts w:ascii="Times New Roman" w:hAnsi="Times New Roman" w:cs="Times New Roman"/>
          <w:sz w:val="28"/>
          <w:szCs w:val="28"/>
        </w:rPr>
      </w:pPr>
      <w:r w:rsidRPr="00365CE8">
        <w:rPr>
          <w:rFonts w:ascii="Times New Roman" w:hAnsi="Times New Roman" w:cs="Times New Roman"/>
          <w:sz w:val="28"/>
          <w:szCs w:val="28"/>
        </w:rPr>
        <w:t xml:space="preserve">Рейтинг глобальної конкурентоспроможності, що публікує Всесвітній економічний форум, складається з 12 показників, оцінюючи понад 100 змінних. Ці показники групуються в трьох основних категоріях. Рейтинг </w:t>
      </w:r>
      <w:r w:rsidRPr="00365CE8">
        <w:rPr>
          <w:rFonts w:ascii="Times New Roman" w:hAnsi="Times New Roman" w:cs="Times New Roman"/>
          <w:sz w:val="28"/>
          <w:szCs w:val="28"/>
        </w:rPr>
        <w:lastRenderedPageBreak/>
        <w:t>вказує на готовність країни до конкуренції та оцінює її інноваційний потенціал.</w:t>
      </w:r>
    </w:p>
    <w:p w14:paraId="0CA1C707" w14:textId="77777777" w:rsidR="009A7E0E" w:rsidRPr="00365CE8" w:rsidRDefault="009A7E0E" w:rsidP="009A7E0E">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Дослідимо динаміку зміни оцінки України в</w:t>
      </w:r>
      <w:r w:rsidR="00DF5356" w:rsidRPr="00365CE8">
        <w:rPr>
          <w:rFonts w:ascii="Times New Roman" w:hAnsi="Times New Roman" w:cs="Times New Roman"/>
          <w:sz w:val="28"/>
          <w:szCs w:val="28"/>
        </w:rPr>
        <w:t xml:space="preserve"> </w:t>
      </w:r>
      <w:r w:rsidRPr="00365CE8">
        <w:rPr>
          <w:rFonts w:ascii="Times New Roman" w:hAnsi="Times New Roman" w:cs="Times New Roman"/>
          <w:sz w:val="28"/>
          <w:szCs w:val="28"/>
        </w:rPr>
        <w:t xml:space="preserve">основних впливових рейтингах. На рис. </w:t>
      </w:r>
      <w:r w:rsidR="00927356" w:rsidRPr="00365CE8">
        <w:rPr>
          <w:rFonts w:ascii="Times New Roman" w:hAnsi="Times New Roman" w:cs="Times New Roman"/>
          <w:sz w:val="28"/>
          <w:szCs w:val="28"/>
        </w:rPr>
        <w:t>5</w:t>
      </w:r>
      <w:r w:rsidRPr="00365CE8">
        <w:rPr>
          <w:rFonts w:ascii="Times New Roman" w:hAnsi="Times New Roman" w:cs="Times New Roman"/>
          <w:sz w:val="28"/>
          <w:szCs w:val="28"/>
        </w:rPr>
        <w:t xml:space="preserve"> наведено зведені рейтинги позиції України в рейтингах міжнародних організацій.</w:t>
      </w:r>
    </w:p>
    <w:p w14:paraId="355D16DC" w14:textId="77777777" w:rsidR="009A7E0E" w:rsidRPr="00365CE8" w:rsidRDefault="009A7E0E" w:rsidP="009A7E0E">
      <w:pPr>
        <w:spacing w:after="0" w:line="240" w:lineRule="auto"/>
        <w:ind w:firstLine="708"/>
        <w:jc w:val="both"/>
        <w:rPr>
          <w:rFonts w:ascii="Times New Roman" w:hAnsi="Times New Roman" w:cs="Times New Roman"/>
          <w:sz w:val="28"/>
          <w:szCs w:val="28"/>
        </w:rPr>
      </w:pPr>
    </w:p>
    <w:p w14:paraId="4F42BC0E" w14:textId="77777777" w:rsidR="008A3EBC" w:rsidRPr="00365CE8" w:rsidRDefault="008A3EBC" w:rsidP="0028541E">
      <w:pPr>
        <w:spacing w:after="0" w:line="240" w:lineRule="auto"/>
        <w:jc w:val="both"/>
        <w:rPr>
          <w:rFonts w:ascii="Times New Roman" w:hAnsi="Times New Roman" w:cs="Times New Roman"/>
          <w:sz w:val="28"/>
          <w:szCs w:val="28"/>
        </w:rPr>
      </w:pPr>
      <w:r w:rsidRPr="00365CE8">
        <w:rPr>
          <w:rFonts w:ascii="Times New Roman" w:hAnsi="Times New Roman" w:cs="Times New Roman"/>
          <w:noProof/>
          <w:sz w:val="28"/>
          <w:szCs w:val="28"/>
          <w:lang w:eastAsia="uk-UA"/>
        </w:rPr>
        <w:drawing>
          <wp:inline distT="0" distB="0" distL="0" distR="0" wp14:anchorId="0894E2E2" wp14:editId="52D0BCA9">
            <wp:extent cx="6115792" cy="4963775"/>
            <wp:effectExtent l="0" t="0" r="0"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t="4566"/>
                    <a:stretch/>
                  </pic:blipFill>
                  <pic:spPr bwMode="auto">
                    <a:xfrm>
                      <a:off x="0" y="0"/>
                      <a:ext cx="6115050" cy="4963173"/>
                    </a:xfrm>
                    <a:prstGeom prst="rect">
                      <a:avLst/>
                    </a:prstGeom>
                    <a:noFill/>
                    <a:ln>
                      <a:noFill/>
                    </a:ln>
                    <a:extLst>
                      <a:ext uri="{53640926-AAD7-44D8-BBD7-CCE9431645EC}">
                        <a14:shadowObscured xmlns:a14="http://schemas.microsoft.com/office/drawing/2010/main"/>
                      </a:ext>
                    </a:extLst>
                  </pic:spPr>
                </pic:pic>
              </a:graphicData>
            </a:graphic>
          </wp:inline>
        </w:drawing>
      </w:r>
    </w:p>
    <w:p w14:paraId="4E353F86" w14:textId="77777777" w:rsidR="008A3EBC" w:rsidRPr="00365CE8" w:rsidRDefault="008A3EBC" w:rsidP="0028541E">
      <w:pPr>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 xml:space="preserve">Рисунок </w:t>
      </w:r>
      <w:r w:rsidR="00927356" w:rsidRPr="00365CE8">
        <w:rPr>
          <w:rFonts w:ascii="Times New Roman" w:hAnsi="Times New Roman" w:cs="Times New Roman"/>
          <w:sz w:val="28"/>
          <w:szCs w:val="28"/>
        </w:rPr>
        <w:t>5</w:t>
      </w:r>
      <w:r w:rsidRPr="00365CE8">
        <w:rPr>
          <w:rFonts w:ascii="Times New Roman" w:hAnsi="Times New Roman" w:cs="Times New Roman"/>
          <w:sz w:val="28"/>
          <w:szCs w:val="28"/>
        </w:rPr>
        <w:t xml:space="preserve"> </w:t>
      </w:r>
      <w:r w:rsidR="00E80622" w:rsidRPr="00365CE8">
        <w:rPr>
          <w:rFonts w:ascii="Times New Roman" w:hAnsi="Times New Roman" w:cs="Times New Roman"/>
          <w:sz w:val="28"/>
          <w:szCs w:val="28"/>
        </w:rPr>
        <w:t>-</w:t>
      </w:r>
      <w:r w:rsidRPr="00365CE8">
        <w:rPr>
          <w:rFonts w:ascii="Times New Roman" w:hAnsi="Times New Roman" w:cs="Times New Roman"/>
          <w:sz w:val="28"/>
          <w:szCs w:val="28"/>
        </w:rPr>
        <w:t xml:space="preserve"> Зведені рейтинги позиції України в рейтингах міжнародних організацій</w:t>
      </w:r>
    </w:p>
    <w:p w14:paraId="6BD2DABC" w14:textId="77777777" w:rsidR="008A3EBC" w:rsidRPr="00365CE8" w:rsidRDefault="008A3EBC" w:rsidP="0028541E">
      <w:pPr>
        <w:spacing w:after="0" w:line="240" w:lineRule="auto"/>
        <w:ind w:firstLine="708"/>
        <w:rPr>
          <w:rFonts w:ascii="Times New Roman" w:hAnsi="Times New Roman" w:cs="Times New Roman"/>
          <w:i/>
          <w:sz w:val="24"/>
          <w:szCs w:val="24"/>
        </w:rPr>
      </w:pPr>
      <w:r w:rsidRPr="00365CE8">
        <w:rPr>
          <w:rFonts w:ascii="Times New Roman" w:hAnsi="Times New Roman" w:cs="Times New Roman"/>
          <w:i/>
          <w:sz w:val="24"/>
          <w:szCs w:val="24"/>
        </w:rPr>
        <w:t>Джерело: узагальнено автором на основі [21-28]</w:t>
      </w:r>
    </w:p>
    <w:p w14:paraId="131E3D16" w14:textId="77777777" w:rsidR="008A3EBC" w:rsidRPr="00365CE8" w:rsidRDefault="008A3EBC" w:rsidP="0028541E">
      <w:pPr>
        <w:spacing w:after="0" w:line="240" w:lineRule="auto"/>
        <w:jc w:val="both"/>
        <w:rPr>
          <w:rFonts w:ascii="Times New Roman" w:hAnsi="Times New Roman" w:cs="Times New Roman"/>
          <w:sz w:val="28"/>
          <w:szCs w:val="28"/>
        </w:rPr>
      </w:pPr>
    </w:p>
    <w:p w14:paraId="0A1A1FEE" w14:textId="77777777" w:rsidR="00524496" w:rsidRPr="00365CE8" w:rsidRDefault="00524496" w:rsidP="0052449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Згідно із рейтингом конкурентоспроможності, що був опублікований Інститутом розвитку менеджменту, Україна відзначала негативний тренд у період з 2013 по 2021 роки. Однак загальна динаміка свідчить про відновлення її конкурентоспроможних показників на світовому ринку до кінця 2021 року. Аналіз рейтингу економічної свободи розкриває вражаючі результати, хоча визнається, що є ще чимало завдань, які належить вирішити в цьому аспекті. Маючи на увазі ці виклики, слід визнати, що підняття Україною з 31 позиції на початку вивченого періоду до кінця 2021 року є помітним досягненням, вказівкою на те, що країна рухається вперед у напрямку покращення своєї інвестиційної привабливості.</w:t>
      </w:r>
    </w:p>
    <w:p w14:paraId="2747A403" w14:textId="77777777" w:rsidR="00DF5356" w:rsidRPr="00365CE8" w:rsidRDefault="00524496" w:rsidP="0052449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lastRenderedPageBreak/>
        <w:t>Незважаючи на ці позитивні тенденції, необхідно визначити області, де можна подальше вдосконалення. Зокрема, важливо зосередитися на заходах, спрямованих на покращення економічної свободи та інших аспектів, що визначають конкурентоспроможність. Досягнення в цих сферах може значно підвищити позиції України в світовому економічному вимірі. Загалом, результати свідчать про певний прогрес, але важливо продовжувати роботу над удосконаленням конкурентоспроможності для стабільного розвитку країни в майбутньому.</w:t>
      </w:r>
    </w:p>
    <w:p w14:paraId="026BC390" w14:textId="77777777" w:rsidR="00DF5356" w:rsidRPr="00365CE8" w:rsidRDefault="00DF5356" w:rsidP="00E800F4">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На рис. </w:t>
      </w:r>
      <w:r w:rsidR="00927356" w:rsidRPr="00365CE8">
        <w:rPr>
          <w:rFonts w:ascii="Times New Roman" w:hAnsi="Times New Roman" w:cs="Times New Roman"/>
          <w:sz w:val="28"/>
          <w:szCs w:val="28"/>
        </w:rPr>
        <w:t>6</w:t>
      </w:r>
      <w:r w:rsidRPr="00365CE8">
        <w:rPr>
          <w:rFonts w:ascii="Times New Roman" w:hAnsi="Times New Roman" w:cs="Times New Roman"/>
          <w:sz w:val="28"/>
          <w:szCs w:val="28"/>
        </w:rPr>
        <w:t xml:space="preserve"> відображено результати проведеного SWOT-аналізу інвестиційної привабливості України для іноземних інвесторів</w:t>
      </w:r>
      <w:r w:rsidR="00524496" w:rsidRPr="00365CE8">
        <w:rPr>
          <w:rFonts w:ascii="Times New Roman" w:hAnsi="Times New Roman" w:cs="Times New Roman"/>
          <w:sz w:val="28"/>
          <w:szCs w:val="28"/>
        </w:rPr>
        <w:t>.</w:t>
      </w:r>
    </w:p>
    <w:p w14:paraId="7B3A0ED3" w14:textId="77777777" w:rsidR="00524496" w:rsidRPr="00365CE8" w:rsidRDefault="00524496" w:rsidP="00E800F4">
      <w:pPr>
        <w:spacing w:after="0" w:line="240" w:lineRule="auto"/>
        <w:ind w:firstLine="708"/>
        <w:jc w:val="both"/>
        <w:rPr>
          <w:rFonts w:ascii="Times New Roman" w:hAnsi="Times New Roman" w:cs="Times New Roman"/>
          <w:sz w:val="28"/>
          <w:szCs w:val="28"/>
        </w:rPr>
      </w:pPr>
    </w:p>
    <w:p w14:paraId="7D57B89A" w14:textId="77777777" w:rsidR="008A3EBC" w:rsidRPr="00365CE8" w:rsidRDefault="008A3EBC" w:rsidP="0028541E">
      <w:pPr>
        <w:spacing w:after="0" w:line="240" w:lineRule="auto"/>
        <w:jc w:val="both"/>
        <w:rPr>
          <w:rFonts w:ascii="Times New Roman" w:hAnsi="Times New Roman" w:cs="Times New Roman"/>
          <w:sz w:val="28"/>
          <w:szCs w:val="28"/>
        </w:rPr>
      </w:pPr>
      <w:r w:rsidRPr="00365CE8">
        <w:rPr>
          <w:rFonts w:ascii="Times New Roman" w:hAnsi="Times New Roman" w:cs="Times New Roman"/>
          <w:noProof/>
          <w:sz w:val="28"/>
          <w:szCs w:val="28"/>
          <w:lang w:eastAsia="uk-UA"/>
        </w:rPr>
        <w:drawing>
          <wp:inline distT="0" distB="0" distL="0" distR="0" wp14:anchorId="2CE280F4" wp14:editId="0879D727">
            <wp:extent cx="6115685" cy="45720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15685" cy="4572000"/>
                    </a:xfrm>
                    <a:prstGeom prst="rect">
                      <a:avLst/>
                    </a:prstGeom>
                    <a:noFill/>
                    <a:ln>
                      <a:noFill/>
                    </a:ln>
                  </pic:spPr>
                </pic:pic>
              </a:graphicData>
            </a:graphic>
          </wp:inline>
        </w:drawing>
      </w:r>
    </w:p>
    <w:p w14:paraId="2951D7C5" w14:textId="77777777" w:rsidR="008A3EBC" w:rsidRPr="00365CE8" w:rsidRDefault="00927356" w:rsidP="0028541E">
      <w:pPr>
        <w:spacing w:after="0" w:line="240" w:lineRule="auto"/>
        <w:jc w:val="center"/>
        <w:rPr>
          <w:rFonts w:ascii="Times New Roman" w:hAnsi="Times New Roman" w:cs="Times New Roman"/>
          <w:sz w:val="28"/>
          <w:szCs w:val="28"/>
        </w:rPr>
      </w:pPr>
      <w:r w:rsidRPr="00365CE8">
        <w:rPr>
          <w:rFonts w:ascii="Times New Roman" w:hAnsi="Times New Roman" w:cs="Times New Roman"/>
          <w:sz w:val="28"/>
          <w:szCs w:val="28"/>
        </w:rPr>
        <w:t>Рисунок 6</w:t>
      </w:r>
      <w:r w:rsidR="008A3EBC" w:rsidRPr="00365CE8">
        <w:rPr>
          <w:rFonts w:ascii="Times New Roman" w:hAnsi="Times New Roman" w:cs="Times New Roman"/>
          <w:sz w:val="28"/>
          <w:szCs w:val="28"/>
        </w:rPr>
        <w:t xml:space="preserve"> </w:t>
      </w:r>
      <w:r w:rsidR="00E80622" w:rsidRPr="00365CE8">
        <w:rPr>
          <w:rFonts w:ascii="Times New Roman" w:hAnsi="Times New Roman" w:cs="Times New Roman"/>
          <w:sz w:val="28"/>
          <w:szCs w:val="28"/>
        </w:rPr>
        <w:t>-</w:t>
      </w:r>
      <w:r w:rsidR="008A3EBC" w:rsidRPr="00365CE8">
        <w:rPr>
          <w:rFonts w:ascii="Times New Roman" w:hAnsi="Times New Roman" w:cs="Times New Roman"/>
          <w:sz w:val="28"/>
          <w:szCs w:val="28"/>
        </w:rPr>
        <w:t xml:space="preserve"> SWOT-аналіз інвестиційної привабливості України для іноземних інвесторів</w:t>
      </w:r>
    </w:p>
    <w:p w14:paraId="43CF62BA" w14:textId="77777777" w:rsidR="008A3EBC" w:rsidRPr="00365CE8" w:rsidRDefault="008A3EBC" w:rsidP="0028541E">
      <w:pPr>
        <w:spacing w:after="0" w:line="240" w:lineRule="auto"/>
        <w:ind w:firstLine="708"/>
        <w:rPr>
          <w:rFonts w:ascii="Times New Roman" w:hAnsi="Times New Roman" w:cs="Times New Roman"/>
          <w:i/>
          <w:sz w:val="24"/>
          <w:szCs w:val="24"/>
        </w:rPr>
      </w:pPr>
      <w:r w:rsidRPr="00365CE8">
        <w:rPr>
          <w:rFonts w:ascii="Times New Roman" w:hAnsi="Times New Roman" w:cs="Times New Roman"/>
          <w:i/>
          <w:sz w:val="24"/>
          <w:szCs w:val="24"/>
        </w:rPr>
        <w:t>Джерело: узагальнено автором на основі [30-32]</w:t>
      </w:r>
    </w:p>
    <w:p w14:paraId="060B6253" w14:textId="77777777" w:rsidR="008A3EBC" w:rsidRPr="00365CE8" w:rsidRDefault="008A3EBC" w:rsidP="0028541E">
      <w:pPr>
        <w:spacing w:after="0" w:line="240" w:lineRule="auto"/>
        <w:jc w:val="center"/>
        <w:rPr>
          <w:rFonts w:ascii="Times New Roman" w:hAnsi="Times New Roman" w:cs="Times New Roman"/>
          <w:sz w:val="28"/>
          <w:szCs w:val="28"/>
        </w:rPr>
      </w:pPr>
    </w:p>
    <w:p w14:paraId="7DC7BB14" w14:textId="77777777" w:rsidR="008A3EBC" w:rsidRPr="00365CE8" w:rsidRDefault="008A3EBC" w:rsidP="00E800F4">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Результати </w:t>
      </w:r>
      <w:r w:rsidR="00DF5356" w:rsidRPr="00365CE8">
        <w:rPr>
          <w:rFonts w:ascii="Times New Roman" w:hAnsi="Times New Roman" w:cs="Times New Roman"/>
          <w:sz w:val="28"/>
          <w:szCs w:val="28"/>
        </w:rPr>
        <w:t xml:space="preserve">проведеного SWOT-аналізу </w:t>
      </w:r>
      <w:r w:rsidRPr="00365CE8">
        <w:rPr>
          <w:rFonts w:ascii="Times New Roman" w:hAnsi="Times New Roman" w:cs="Times New Roman"/>
          <w:sz w:val="28"/>
          <w:szCs w:val="28"/>
        </w:rPr>
        <w:t>свідчать про обмежену кількість сильних сторін країни, однак реалізація можливостей може сприяти підвищенню інвестиційної привабливості у майбутньому. У той же час існує значна кількість загроз та слабких сторін. Мінімізація ризиків важлива, оскільки вони можуть поглибити проблеми та негативно вплинути на інвестиційний клімат.</w:t>
      </w:r>
    </w:p>
    <w:p w14:paraId="7260DF8E" w14:textId="77777777" w:rsidR="008A3EBC" w:rsidRPr="00365CE8" w:rsidRDefault="008A3EBC" w:rsidP="00E800F4">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SWOT-аналіз підкреслив потребу вдосконалення інвестиційного клімату України. Через реформи в економічній та адміністративній системах, боротьбу </w:t>
      </w:r>
      <w:r w:rsidRPr="00365CE8">
        <w:rPr>
          <w:rFonts w:ascii="Times New Roman" w:hAnsi="Times New Roman" w:cs="Times New Roman"/>
          <w:sz w:val="28"/>
          <w:szCs w:val="28"/>
        </w:rPr>
        <w:lastRenderedPageBreak/>
        <w:t xml:space="preserve">з </w:t>
      </w:r>
      <w:proofErr w:type="spellStart"/>
      <w:r w:rsidRPr="00365CE8">
        <w:rPr>
          <w:rFonts w:ascii="Times New Roman" w:hAnsi="Times New Roman" w:cs="Times New Roman"/>
          <w:sz w:val="28"/>
          <w:szCs w:val="28"/>
        </w:rPr>
        <w:t>тінізацією</w:t>
      </w:r>
      <w:proofErr w:type="spellEnd"/>
      <w:r w:rsidRPr="00365CE8">
        <w:rPr>
          <w:rFonts w:ascii="Times New Roman" w:hAnsi="Times New Roman" w:cs="Times New Roman"/>
          <w:sz w:val="28"/>
          <w:szCs w:val="28"/>
        </w:rPr>
        <w:t xml:space="preserve"> бізнесу та корупцією, покращення законодавства та практичного правопорядку та привертання іноземних інвесторів, Україна може стати привабливішою для іноземних інвестицій, що сприятиме її розвитку та зміцненню зовнішньоекономічних відносин.</w:t>
      </w:r>
    </w:p>
    <w:p w14:paraId="096D3D01" w14:textId="77777777" w:rsidR="00524496" w:rsidRPr="00365CE8" w:rsidRDefault="00524496" w:rsidP="0052449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Проте повномасштабне воєнне вторгнення критично погіршує попередній досягнутий прогрес щодо підвищення інвестиційної привабливості України. Повномасштабне вторгнення призвело до загострення політичної та економічної нестабільності в країні. Це створює  невизначеність та ризики для інвесторів, які зазвичай уникають регіонів з нестабільним політичним та економічним кліматом.</w:t>
      </w:r>
      <w:r w:rsidR="00466E22" w:rsidRPr="00365CE8">
        <w:rPr>
          <w:rFonts w:ascii="Times New Roman" w:hAnsi="Times New Roman" w:cs="Times New Roman"/>
          <w:sz w:val="28"/>
          <w:szCs w:val="28"/>
        </w:rPr>
        <w:t xml:space="preserve"> </w:t>
      </w:r>
      <w:r w:rsidRPr="00365CE8">
        <w:rPr>
          <w:rFonts w:ascii="Times New Roman" w:hAnsi="Times New Roman" w:cs="Times New Roman"/>
          <w:sz w:val="28"/>
          <w:szCs w:val="28"/>
        </w:rPr>
        <w:t>Воєнні дії призводять до серйозних збоїв у функціонуванні економіки, що включає знищення інфраструктури, зменшення виробництва та загострення економічних труднощів. Це впливає на виробничі показники та знизити інвестиційний інтерес.</w:t>
      </w:r>
    </w:p>
    <w:p w14:paraId="3ECA10ED" w14:textId="77777777" w:rsidR="00524496" w:rsidRPr="00365CE8" w:rsidRDefault="00524496" w:rsidP="0052449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Повномасштабне воєнне вторгнення створює атмосферу невпевненості та страху серед бізнес-спільноти. Інвестори, які раніше виявляли інтерес до України, можуть втратити довіру і вагатися в непередбачуваності інвестиційного середовища. Військові конфлікти супроводжуються великими людськими та фінансовими втратами. Знищення ресурсів, що могли б бути використані для розвитку та приваблення інвестицій, може ускладнити відновлення економіки.</w:t>
      </w:r>
    </w:p>
    <w:p w14:paraId="68F82B76" w14:textId="77777777" w:rsidR="00524496" w:rsidRPr="00365CE8" w:rsidRDefault="00524496" w:rsidP="00524496">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Враховуючи ці чинники, можна визначити, що повномасштабне воєнне вторгнення суттєво підірвало попередні зусилля України щодо створення сприятливого інвестиційного клімату, а також викликало серйозні виклики для подальшого залучення інвестицій та розвитку економіки України.</w:t>
      </w:r>
    </w:p>
    <w:p w14:paraId="13A84621" w14:textId="77777777" w:rsidR="00524496" w:rsidRPr="00365CE8" w:rsidRDefault="00524496" w:rsidP="00E800F4">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На рис. 7 наведена динаміка прямих іноземних інвестицій</w:t>
      </w:r>
      <w:r w:rsidR="00466E22" w:rsidRPr="00365CE8">
        <w:rPr>
          <w:rFonts w:ascii="Times New Roman" w:hAnsi="Times New Roman" w:cs="Times New Roman"/>
          <w:sz w:val="28"/>
          <w:szCs w:val="28"/>
        </w:rPr>
        <w:t xml:space="preserve"> в Україну.</w:t>
      </w:r>
    </w:p>
    <w:p w14:paraId="399727EC" w14:textId="77777777" w:rsidR="00823AA6" w:rsidRPr="00365CE8" w:rsidRDefault="00823AA6" w:rsidP="0028541E">
      <w:pPr>
        <w:spacing w:after="0" w:line="240" w:lineRule="auto"/>
        <w:jc w:val="both"/>
        <w:rPr>
          <w:rFonts w:ascii="Times New Roman" w:hAnsi="Times New Roman" w:cs="Times New Roman"/>
          <w:sz w:val="28"/>
          <w:szCs w:val="28"/>
        </w:rPr>
      </w:pPr>
      <w:r w:rsidRPr="00365CE8">
        <w:rPr>
          <w:rFonts w:ascii="Times New Roman" w:hAnsi="Times New Roman" w:cs="Times New Roman"/>
          <w:noProof/>
          <w:sz w:val="28"/>
          <w:szCs w:val="28"/>
          <w:lang w:eastAsia="uk-UA"/>
        </w:rPr>
        <w:drawing>
          <wp:inline distT="0" distB="0" distL="0" distR="0" wp14:anchorId="453FA3B9" wp14:editId="3578BEA8">
            <wp:extent cx="6115685" cy="35623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BEBA8EAE-BF5A-486C-A8C5-ECC9F3942E4B}">
                          <a14:imgProps xmlns:a14="http://schemas.microsoft.com/office/drawing/2010/main">
                            <a14:imgLayer r:embed="rId21">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115685" cy="3562350"/>
                    </a:xfrm>
                    <a:prstGeom prst="rect">
                      <a:avLst/>
                    </a:prstGeom>
                    <a:noFill/>
                    <a:ln>
                      <a:noFill/>
                    </a:ln>
                  </pic:spPr>
                </pic:pic>
              </a:graphicData>
            </a:graphic>
          </wp:inline>
        </w:drawing>
      </w:r>
    </w:p>
    <w:p w14:paraId="76E34A98" w14:textId="77777777" w:rsidR="00823AA6" w:rsidRPr="00365CE8" w:rsidRDefault="00823AA6" w:rsidP="00524496">
      <w:pPr>
        <w:spacing w:after="0" w:line="240" w:lineRule="auto"/>
        <w:rPr>
          <w:rFonts w:ascii="Times New Roman" w:hAnsi="Times New Roman" w:cs="Times New Roman"/>
          <w:sz w:val="28"/>
          <w:szCs w:val="28"/>
        </w:rPr>
      </w:pPr>
      <w:r w:rsidRPr="00365CE8">
        <w:rPr>
          <w:rFonts w:ascii="Times New Roman" w:hAnsi="Times New Roman" w:cs="Times New Roman"/>
          <w:sz w:val="28"/>
          <w:szCs w:val="28"/>
        </w:rPr>
        <w:t xml:space="preserve">Рисунок </w:t>
      </w:r>
      <w:r w:rsidR="00927356" w:rsidRPr="00365CE8">
        <w:rPr>
          <w:rFonts w:ascii="Times New Roman" w:hAnsi="Times New Roman" w:cs="Times New Roman"/>
          <w:sz w:val="28"/>
          <w:szCs w:val="28"/>
        </w:rPr>
        <w:t>7</w:t>
      </w:r>
      <w:r w:rsidR="00182DE4" w:rsidRPr="00365CE8">
        <w:rPr>
          <w:rFonts w:ascii="Times New Roman" w:hAnsi="Times New Roman" w:cs="Times New Roman"/>
          <w:sz w:val="28"/>
          <w:szCs w:val="28"/>
        </w:rPr>
        <w:t xml:space="preserve"> -</w:t>
      </w:r>
      <w:r w:rsidRPr="00365CE8">
        <w:rPr>
          <w:rFonts w:ascii="Times New Roman" w:hAnsi="Times New Roman" w:cs="Times New Roman"/>
          <w:sz w:val="28"/>
          <w:szCs w:val="28"/>
        </w:rPr>
        <w:t xml:space="preserve"> </w:t>
      </w:r>
      <w:r w:rsidR="00524496" w:rsidRPr="00365CE8">
        <w:rPr>
          <w:rFonts w:ascii="Times New Roman" w:hAnsi="Times New Roman" w:cs="Times New Roman"/>
          <w:sz w:val="28"/>
          <w:szCs w:val="28"/>
        </w:rPr>
        <w:t>Динаміка п</w:t>
      </w:r>
      <w:r w:rsidRPr="00365CE8">
        <w:rPr>
          <w:rFonts w:ascii="Times New Roman" w:hAnsi="Times New Roman" w:cs="Times New Roman"/>
          <w:sz w:val="28"/>
          <w:szCs w:val="28"/>
        </w:rPr>
        <w:t>рям</w:t>
      </w:r>
      <w:r w:rsidR="00524496" w:rsidRPr="00365CE8">
        <w:rPr>
          <w:rFonts w:ascii="Times New Roman" w:hAnsi="Times New Roman" w:cs="Times New Roman"/>
          <w:sz w:val="28"/>
          <w:szCs w:val="28"/>
        </w:rPr>
        <w:t>их</w:t>
      </w:r>
      <w:r w:rsidRPr="00365CE8">
        <w:rPr>
          <w:rFonts w:ascii="Times New Roman" w:hAnsi="Times New Roman" w:cs="Times New Roman"/>
          <w:sz w:val="28"/>
          <w:szCs w:val="28"/>
        </w:rPr>
        <w:t xml:space="preserve"> іноземн</w:t>
      </w:r>
      <w:r w:rsidR="00524496" w:rsidRPr="00365CE8">
        <w:rPr>
          <w:rFonts w:ascii="Times New Roman" w:hAnsi="Times New Roman" w:cs="Times New Roman"/>
          <w:sz w:val="28"/>
          <w:szCs w:val="28"/>
        </w:rPr>
        <w:t>их</w:t>
      </w:r>
      <w:r w:rsidRPr="00365CE8">
        <w:rPr>
          <w:rFonts w:ascii="Times New Roman" w:hAnsi="Times New Roman" w:cs="Times New Roman"/>
          <w:sz w:val="28"/>
          <w:szCs w:val="28"/>
        </w:rPr>
        <w:t xml:space="preserve"> інвестиці</w:t>
      </w:r>
      <w:r w:rsidR="00524496" w:rsidRPr="00365CE8">
        <w:rPr>
          <w:rFonts w:ascii="Times New Roman" w:hAnsi="Times New Roman" w:cs="Times New Roman"/>
          <w:sz w:val="28"/>
          <w:szCs w:val="28"/>
        </w:rPr>
        <w:t>й</w:t>
      </w:r>
      <w:r w:rsidRPr="00365CE8">
        <w:rPr>
          <w:rFonts w:ascii="Times New Roman" w:hAnsi="Times New Roman" w:cs="Times New Roman"/>
          <w:sz w:val="28"/>
          <w:szCs w:val="28"/>
        </w:rPr>
        <w:t xml:space="preserve"> в Україну,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08B19C76" w14:textId="77777777" w:rsidR="00823AA6" w:rsidRPr="00365CE8" w:rsidRDefault="00823AA6" w:rsidP="0028541E">
      <w:pPr>
        <w:spacing w:after="0" w:line="240" w:lineRule="auto"/>
        <w:ind w:firstLine="709"/>
        <w:rPr>
          <w:rFonts w:ascii="Times New Roman" w:hAnsi="Times New Roman" w:cs="Times New Roman"/>
          <w:i/>
          <w:sz w:val="24"/>
          <w:szCs w:val="24"/>
        </w:rPr>
      </w:pPr>
      <w:r w:rsidRPr="00365CE8">
        <w:rPr>
          <w:rFonts w:ascii="Times New Roman" w:hAnsi="Times New Roman" w:cs="Times New Roman"/>
          <w:i/>
          <w:sz w:val="24"/>
          <w:szCs w:val="24"/>
        </w:rPr>
        <w:t>Джерело: побудовано за даними НБУ [5]</w:t>
      </w:r>
    </w:p>
    <w:p w14:paraId="20CC1C6F" w14:textId="77777777" w:rsidR="00466E22" w:rsidRPr="00365CE8" w:rsidRDefault="00466E22" w:rsidP="00466E22">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lastRenderedPageBreak/>
        <w:t>Протягом періоду з 2002 по 2004 роки прямі іноземні інвестиції (ПІІ) в Україну залишались на дуже низькому рівні. Однак після цього відбувся різкий зріст, відзначаючи етап значних коливань. У 2007 році ПІІ зросли на третину, але вже в 2009 році впали майже вполовину. Подібний спад повторився у 2013 році. Незважаючи на ці коливання, відзначився дуже високий обсяг прямих іноземних інвестицій, який став максимальним за всю сучасну історію України, перевищуючи показники 2002-2004 років в 3-6 разів.</w:t>
      </w:r>
    </w:p>
    <w:p w14:paraId="516B7F54" w14:textId="77777777" w:rsidR="00466E22" w:rsidRPr="00365CE8" w:rsidRDefault="00466E22" w:rsidP="00466E22">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 xml:space="preserve">Найбільш критичні для іноземного інвестування в Україні стали 2014-2015 роки, 2020 рік та 2022 рік, пов’язані із військовою агресією </w:t>
      </w:r>
      <w:proofErr w:type="spellStart"/>
      <w:r w:rsidRPr="00365CE8">
        <w:rPr>
          <w:rFonts w:ascii="Times New Roman" w:eastAsia="Times New Roman" w:hAnsi="Times New Roman" w:cs="Times New Roman"/>
          <w:bCs/>
          <w:sz w:val="28"/>
          <w:szCs w:val="28"/>
          <w:lang w:eastAsia="uk-UA"/>
        </w:rPr>
        <w:t>росії</w:t>
      </w:r>
      <w:proofErr w:type="spellEnd"/>
      <w:r w:rsidRPr="00365CE8">
        <w:rPr>
          <w:rFonts w:ascii="Times New Roman" w:eastAsia="Times New Roman" w:hAnsi="Times New Roman" w:cs="Times New Roman"/>
          <w:bCs/>
          <w:sz w:val="28"/>
          <w:szCs w:val="28"/>
          <w:lang w:eastAsia="uk-UA"/>
        </w:rPr>
        <w:t xml:space="preserve"> та пандемією COVID-19. У 2014 році обсяг ПІІ впав майже до нульової відмітки, а в 2015 році набув від'ємних значень через масовий відтік інвестиційного капіталу з України.</w:t>
      </w:r>
    </w:p>
    <w:p w14:paraId="24008B6A" w14:textId="77777777" w:rsidR="00466E22" w:rsidRPr="00365CE8" w:rsidRDefault="00466E22" w:rsidP="00466E22">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 xml:space="preserve">З 2016 року ситуація помітно покращилась, обсяг ПІІ майже повернувся до рівня передкризового 2013 року та в подальшому мав незначну динаміку зростання, за винятком кризового </w:t>
      </w:r>
      <w:proofErr w:type="spellStart"/>
      <w:r w:rsidRPr="00365CE8">
        <w:rPr>
          <w:rFonts w:ascii="Times New Roman" w:eastAsia="Times New Roman" w:hAnsi="Times New Roman" w:cs="Times New Roman"/>
          <w:bCs/>
          <w:sz w:val="28"/>
          <w:szCs w:val="28"/>
          <w:lang w:eastAsia="uk-UA"/>
        </w:rPr>
        <w:t>пандемійного</w:t>
      </w:r>
      <w:proofErr w:type="spellEnd"/>
      <w:r w:rsidRPr="00365CE8">
        <w:rPr>
          <w:rFonts w:ascii="Times New Roman" w:eastAsia="Times New Roman" w:hAnsi="Times New Roman" w:cs="Times New Roman"/>
          <w:bCs/>
          <w:sz w:val="28"/>
          <w:szCs w:val="28"/>
          <w:lang w:eastAsia="uk-UA"/>
        </w:rPr>
        <w:t xml:space="preserve"> 2020 року. Однак у 2022 році спостерігається повторний різкий обвал кількості ПІІ, що визначається початком повномасштабного вторгнення </w:t>
      </w:r>
      <w:proofErr w:type="spellStart"/>
      <w:r w:rsidRPr="00365CE8">
        <w:rPr>
          <w:rFonts w:ascii="Times New Roman" w:eastAsia="Times New Roman" w:hAnsi="Times New Roman" w:cs="Times New Roman"/>
          <w:bCs/>
          <w:sz w:val="28"/>
          <w:szCs w:val="28"/>
          <w:lang w:eastAsia="uk-UA"/>
        </w:rPr>
        <w:t>росії</w:t>
      </w:r>
      <w:proofErr w:type="spellEnd"/>
      <w:r w:rsidRPr="00365CE8">
        <w:rPr>
          <w:rFonts w:ascii="Times New Roman" w:eastAsia="Times New Roman" w:hAnsi="Times New Roman" w:cs="Times New Roman"/>
          <w:bCs/>
          <w:sz w:val="28"/>
          <w:szCs w:val="28"/>
          <w:lang w:eastAsia="uk-UA"/>
        </w:rPr>
        <w:t xml:space="preserve">. Це не тільки ставить під загрозу інвестиційні перспективи країни, але й може мати серйозні віддзеркалення на загальному економічному становищі України в контексті глобального інвестиційного співтовариства. </w:t>
      </w:r>
    </w:p>
    <w:p w14:paraId="43F12970" w14:textId="77777777" w:rsidR="009D4BB3" w:rsidRPr="00365CE8" w:rsidRDefault="009D4BB3" w:rsidP="009D4BB3">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 xml:space="preserve">Виконаємо більш докладний аналіз інвестиційної </w:t>
      </w:r>
      <w:proofErr w:type="spellStart"/>
      <w:r w:rsidRPr="00365CE8">
        <w:rPr>
          <w:rFonts w:ascii="Times New Roman" w:eastAsia="Times New Roman" w:hAnsi="Times New Roman" w:cs="Times New Roman"/>
          <w:bCs/>
          <w:sz w:val="28"/>
          <w:szCs w:val="28"/>
          <w:lang w:eastAsia="uk-UA"/>
        </w:rPr>
        <w:t>привабливісті</w:t>
      </w:r>
      <w:proofErr w:type="spellEnd"/>
      <w:r w:rsidRPr="00365CE8">
        <w:rPr>
          <w:rFonts w:ascii="Times New Roman" w:eastAsia="Times New Roman" w:hAnsi="Times New Roman" w:cs="Times New Roman"/>
          <w:bCs/>
          <w:sz w:val="28"/>
          <w:szCs w:val="28"/>
          <w:lang w:eastAsia="uk-UA"/>
        </w:rPr>
        <w:t xml:space="preserve"> України для міжнародних інвесторів, зосередившись на таких показниках, як обсяги, темпи та структура залучених іноземних інвестицій. На перший погляд, розглянемо обсяги прямих іноземних інвестицій в українську економіку за період з 2010 по 2021 роки, з використанням даних Національного банку України.</w:t>
      </w:r>
    </w:p>
    <w:p w14:paraId="15CF95EA" w14:textId="77777777" w:rsidR="009D4BB3" w:rsidRPr="00365CE8" w:rsidRDefault="009D4BB3" w:rsidP="009D4BB3">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 xml:space="preserve">Згідно з цими даними, обсяги прямих іноземних інвестицій в Україну в період з 2010 по 2021 рр. становили приблизно 11,1 млрд. </w:t>
      </w:r>
      <w:proofErr w:type="spellStart"/>
      <w:r w:rsidRPr="00365CE8">
        <w:rPr>
          <w:rFonts w:ascii="Times New Roman" w:eastAsia="Times New Roman" w:hAnsi="Times New Roman" w:cs="Times New Roman"/>
          <w:bCs/>
          <w:sz w:val="28"/>
          <w:szCs w:val="28"/>
          <w:lang w:eastAsia="uk-UA"/>
        </w:rPr>
        <w:t>дол</w:t>
      </w:r>
      <w:proofErr w:type="spellEnd"/>
      <w:r w:rsidRPr="00365CE8">
        <w:rPr>
          <w:rFonts w:ascii="Times New Roman" w:eastAsia="Times New Roman" w:hAnsi="Times New Roman" w:cs="Times New Roman"/>
          <w:bCs/>
          <w:sz w:val="28"/>
          <w:szCs w:val="28"/>
          <w:lang w:eastAsia="uk-UA"/>
        </w:rPr>
        <w:t>. США. Іноземні інвестиції, які поверталися в країну від резидентів, досягли піку у 2010-2013 роках, складаючи у середньому 32,7% від загального обсягу. Із цих інвестицій більше 89% спрямовані були на розвиток підприємств реального сектору.</w:t>
      </w:r>
    </w:p>
    <w:p w14:paraId="57B6FEE2" w14:textId="77777777" w:rsidR="009D4BB3" w:rsidRPr="00365CE8" w:rsidRDefault="009D4BB3" w:rsidP="009D4BB3">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У 2014-2015 роках, внаслідок політичної кризи та подій на Сході України, спостерігався відтік інвестицій. Однак після стабілізації в українському правовому секторі та покращень на Сході країни у 2016-2020 рр. відзначився поступовий позитивний тренд у напрямку зростання інвестиційних потоків в Україну. Слід відзначити, що обсяги чистого притоку інвестицій були меншими, ніж у попередньому періоді.</w:t>
      </w:r>
    </w:p>
    <w:p w14:paraId="225D0BE1" w14:textId="77777777" w:rsidR="009D4BB3" w:rsidRPr="00365CE8" w:rsidRDefault="009D4BB3" w:rsidP="009D4BB3">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 xml:space="preserve">Ширший часовий рамок дослідження прямих іноземних інвестицій вказує на нестабільну динаміку їхнього надходження. За даними Міністерства фінансів України, прямі іноземні інвестиції в період з 2002 року по 2022 рік тричі зазнавали від'ємних значень (див. рисунок 1), що відзначається як найбільш за бажаний вид капіталовкладень для </w:t>
      </w:r>
      <w:proofErr w:type="spellStart"/>
      <w:r w:rsidRPr="00365CE8">
        <w:rPr>
          <w:rFonts w:ascii="Times New Roman" w:eastAsia="Times New Roman" w:hAnsi="Times New Roman" w:cs="Times New Roman"/>
          <w:bCs/>
          <w:sz w:val="28"/>
          <w:szCs w:val="28"/>
          <w:lang w:eastAsia="uk-UA"/>
        </w:rPr>
        <w:t>розвиваючихся</w:t>
      </w:r>
      <w:proofErr w:type="spellEnd"/>
      <w:r w:rsidRPr="00365CE8">
        <w:rPr>
          <w:rFonts w:ascii="Times New Roman" w:eastAsia="Times New Roman" w:hAnsi="Times New Roman" w:cs="Times New Roman"/>
          <w:bCs/>
          <w:sz w:val="28"/>
          <w:szCs w:val="28"/>
          <w:lang w:eastAsia="uk-UA"/>
        </w:rPr>
        <w:t xml:space="preserve"> економік. Найвищі обсяги інвестицій в Україну були зафіксовані у 2007 та 2008 роках.</w:t>
      </w:r>
    </w:p>
    <w:p w14:paraId="669D802A" w14:textId="77777777" w:rsidR="00466E22" w:rsidRPr="00365CE8" w:rsidRDefault="00466E22" w:rsidP="00466E22">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 xml:space="preserve">На рис. </w:t>
      </w:r>
      <w:r w:rsidR="00182DE4" w:rsidRPr="00365CE8">
        <w:rPr>
          <w:rFonts w:ascii="Times New Roman" w:eastAsia="Times New Roman" w:hAnsi="Times New Roman" w:cs="Times New Roman"/>
          <w:bCs/>
          <w:sz w:val="28"/>
          <w:szCs w:val="28"/>
          <w:lang w:eastAsia="uk-UA"/>
        </w:rPr>
        <w:t>8</w:t>
      </w:r>
      <w:r w:rsidRPr="00365CE8">
        <w:rPr>
          <w:rFonts w:ascii="Times New Roman" w:eastAsia="Times New Roman" w:hAnsi="Times New Roman" w:cs="Times New Roman"/>
          <w:bCs/>
          <w:sz w:val="28"/>
          <w:szCs w:val="28"/>
          <w:lang w:eastAsia="uk-UA"/>
        </w:rPr>
        <w:t xml:space="preserve"> наведена гістограма г</w:t>
      </w:r>
      <w:r w:rsidRPr="00365CE8">
        <w:rPr>
          <w:rFonts w:ascii="Times New Roman" w:hAnsi="Times New Roman" w:cs="Times New Roman"/>
          <w:sz w:val="28"/>
          <w:szCs w:val="28"/>
        </w:rPr>
        <w:t>алузей України з найбільшим інвестиційним потенціалом.</w:t>
      </w:r>
    </w:p>
    <w:p w14:paraId="434ACBC3" w14:textId="77777777" w:rsidR="00524496" w:rsidRPr="00365CE8" w:rsidRDefault="00524496" w:rsidP="00524496">
      <w:pPr>
        <w:spacing w:after="0" w:line="240" w:lineRule="auto"/>
        <w:rPr>
          <w:rFonts w:ascii="Times New Roman" w:hAnsi="Times New Roman" w:cs="Times New Roman"/>
          <w:i/>
          <w:sz w:val="28"/>
          <w:szCs w:val="28"/>
        </w:rPr>
      </w:pPr>
      <w:r w:rsidRPr="00365CE8">
        <w:rPr>
          <w:rFonts w:ascii="Times New Roman" w:hAnsi="Times New Roman" w:cs="Times New Roman"/>
          <w:noProof/>
          <w:lang w:eastAsia="uk-UA"/>
        </w:rPr>
        <w:lastRenderedPageBreak/>
        <w:drawing>
          <wp:inline distT="0" distB="0" distL="0" distR="0" wp14:anchorId="743713B0" wp14:editId="7FFB2CE9">
            <wp:extent cx="6119495" cy="3016488"/>
            <wp:effectExtent l="0" t="0" r="14605" b="1270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77BF06" w14:textId="77777777" w:rsidR="00524496" w:rsidRPr="00365CE8" w:rsidRDefault="00524496" w:rsidP="00466E22">
      <w:pPr>
        <w:spacing w:after="0" w:line="240" w:lineRule="auto"/>
        <w:ind w:firstLine="708"/>
        <w:jc w:val="center"/>
        <w:rPr>
          <w:rFonts w:ascii="Times New Roman" w:hAnsi="Times New Roman" w:cs="Times New Roman"/>
          <w:sz w:val="28"/>
          <w:szCs w:val="28"/>
        </w:rPr>
      </w:pPr>
      <w:r w:rsidRPr="00365CE8">
        <w:rPr>
          <w:rFonts w:ascii="Times New Roman" w:hAnsi="Times New Roman" w:cs="Times New Roman"/>
          <w:sz w:val="28"/>
          <w:szCs w:val="28"/>
        </w:rPr>
        <w:t xml:space="preserve">Рисунок </w:t>
      </w:r>
      <w:r w:rsidR="00182DE4" w:rsidRPr="00365CE8">
        <w:rPr>
          <w:rFonts w:ascii="Times New Roman" w:hAnsi="Times New Roman" w:cs="Times New Roman"/>
          <w:sz w:val="28"/>
          <w:szCs w:val="28"/>
        </w:rPr>
        <w:t>8 -</w:t>
      </w:r>
      <w:r w:rsidRPr="00365CE8">
        <w:rPr>
          <w:rFonts w:ascii="Times New Roman" w:hAnsi="Times New Roman" w:cs="Times New Roman"/>
          <w:sz w:val="28"/>
          <w:szCs w:val="28"/>
        </w:rPr>
        <w:t xml:space="preserve"> Галузі України з найбільшим інвестиційним потенціалом,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37E81216" w14:textId="77777777" w:rsidR="00524496" w:rsidRPr="00365CE8" w:rsidRDefault="00524496" w:rsidP="00466E22">
      <w:pPr>
        <w:spacing w:after="0" w:line="240" w:lineRule="auto"/>
        <w:ind w:firstLine="708"/>
        <w:rPr>
          <w:rFonts w:ascii="Times New Roman" w:hAnsi="Times New Roman" w:cs="Times New Roman"/>
          <w:i/>
          <w:sz w:val="24"/>
          <w:szCs w:val="24"/>
        </w:rPr>
      </w:pPr>
      <w:r w:rsidRPr="00365CE8">
        <w:rPr>
          <w:rFonts w:ascii="Times New Roman" w:hAnsi="Times New Roman" w:cs="Times New Roman"/>
          <w:i/>
          <w:iCs/>
          <w:sz w:val="24"/>
          <w:szCs w:val="24"/>
        </w:rPr>
        <w:t>Джерело: побудовано за даними НБУ [5]</w:t>
      </w:r>
    </w:p>
    <w:p w14:paraId="5D0AA5B7" w14:textId="77777777" w:rsidR="00524496" w:rsidRPr="00365CE8" w:rsidRDefault="00524496" w:rsidP="00524496">
      <w:pPr>
        <w:spacing w:after="0" w:line="240" w:lineRule="auto"/>
        <w:rPr>
          <w:rFonts w:ascii="Times New Roman" w:hAnsi="Times New Roman" w:cs="Times New Roman"/>
          <w:i/>
          <w:sz w:val="28"/>
          <w:szCs w:val="28"/>
        </w:rPr>
      </w:pPr>
    </w:p>
    <w:p w14:paraId="7C844182" w14:textId="77777777" w:rsidR="009D4BB3" w:rsidRPr="00365CE8" w:rsidRDefault="009D4BB3" w:rsidP="009D4BB3">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За даними рис. 8 серед галузей економіки найпривабливішими для інвесторів є енергетика, логістика та інфраструктура.</w:t>
      </w:r>
      <w:r w:rsidR="0050288A" w:rsidRPr="00365CE8">
        <w:rPr>
          <w:rFonts w:ascii="Times New Roman" w:eastAsia="Times New Roman" w:hAnsi="Times New Roman" w:cs="Times New Roman"/>
          <w:bCs/>
          <w:sz w:val="28"/>
          <w:szCs w:val="28"/>
          <w:lang w:eastAsia="uk-UA"/>
        </w:rPr>
        <w:t xml:space="preserve"> </w:t>
      </w:r>
      <w:r w:rsidRPr="00365CE8">
        <w:rPr>
          <w:rFonts w:ascii="Times New Roman" w:eastAsia="Times New Roman" w:hAnsi="Times New Roman" w:cs="Times New Roman"/>
          <w:bCs/>
          <w:sz w:val="28"/>
          <w:szCs w:val="28"/>
          <w:lang w:eastAsia="uk-UA"/>
        </w:rPr>
        <w:t>Енергетичний сектор визначається як один із найбільш важливих і великих секторів, де інновації та вдосконалення можуть значно підвищити його ефективність та стійкість. Логістичні системи та інфраструктурні проекти також відіграють важливу роль у привабливості країни для інвесторів, забезпечуючи оптимальний рух товарів та послуг.</w:t>
      </w:r>
    </w:p>
    <w:p w14:paraId="78D204DF" w14:textId="77777777" w:rsidR="009D4BB3" w:rsidRPr="00365CE8" w:rsidRDefault="009D4BB3" w:rsidP="009D4BB3">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Додатково, агропромисловий комплекс, з урахуванням потреб світового ринку, представляє значний потенціал для інвестицій. Оборонно-промисловий комплекс важливий з точки зору національної безпеки, а також може бути привабливим для інвесторів, які цінують високу технологічність та інноваційні рішення.</w:t>
      </w:r>
    </w:p>
    <w:p w14:paraId="2C11C78A" w14:textId="77777777" w:rsidR="009D4BB3" w:rsidRPr="00365CE8" w:rsidRDefault="009D4BB3" w:rsidP="009D4BB3">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Нарешті, металургія та фармацевтика, як галузі з високою доданою вартістю та конкурентоспроможністю, не лише привертають інвестиції, а й сприяють розвитку технологічних інновацій, що підтримує високий рівень ефективності та конкурентоспроможності країни.</w:t>
      </w:r>
    </w:p>
    <w:p w14:paraId="4120BB98" w14:textId="77777777" w:rsidR="009D4BB3" w:rsidRPr="00365CE8" w:rsidRDefault="009D4BB3" w:rsidP="009D4BB3">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Отримані висновки стосовно інвестиційного потенціалу України вказують на різноманітні галузі, які можуть служити каталізаторами для сталого розвитку та привертання інвестиційних коштів. Залучення інвесторів у ці стратегічно важливі сфери сприятиме не лише зростанню економіки, але й підвищенню конкурентоспроможності України на світовому ринку.</w:t>
      </w:r>
    </w:p>
    <w:p w14:paraId="1FC9947B" w14:textId="77777777" w:rsidR="009D4BB3" w:rsidRPr="00365CE8" w:rsidRDefault="009D4BB3" w:rsidP="009D4BB3">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Тобто можна зазначити, що саме  галузі із високою доданою вартістю та конкурентоспроможною продукцією вирізняються своєю привабливістю для інвестування. Однак, на жаль, існують певні бар'єри, які ускладнюють іноземним інвесторам розширення інвестиційних потоків в українську економіку та знижують загальний рівень інвестиційної привабливості країни.</w:t>
      </w:r>
    </w:p>
    <w:p w14:paraId="1351F97E" w14:textId="77777777" w:rsidR="009D4BB3" w:rsidRPr="00365CE8" w:rsidRDefault="009D4BB3" w:rsidP="009D4BB3">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lastRenderedPageBreak/>
        <w:t>Ці перспективні галузі визначаються їхньою здатністю генерувати продукцію, яка відповідає високим міжнародним стандартам, та створювати значну додану вартість. Однак, не дивлячись на їхню потужність, існують виклики і бар'єри, які обмежують іноземних інвесторів у розгляді можливостей для збільшення інвестицій у українську економіку. Ці бар'єри можуть включати адміністративні обмеження, податкові або правові перешкоди, а також нестабільність на рівні бізнес-середовища. Подолання цих викликів та зменшення таких бар'єрів є ключовим завданням для підвищення інвестиційної привабливості України та забезпечення стійкого розвитку в перспективі.</w:t>
      </w:r>
    </w:p>
    <w:p w14:paraId="4ADD2333" w14:textId="77777777" w:rsidR="009D4BB3" w:rsidRPr="00365CE8" w:rsidRDefault="009D4BB3" w:rsidP="009D4BB3">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На рис. 9 наведено рейтинг регіонів України за обсягом ПІІ у 2020р.</w:t>
      </w:r>
    </w:p>
    <w:p w14:paraId="209C3FDC" w14:textId="77777777" w:rsidR="004719E5" w:rsidRPr="00365CE8" w:rsidRDefault="004719E5" w:rsidP="00524496">
      <w:pPr>
        <w:spacing w:after="0" w:line="240" w:lineRule="auto"/>
        <w:rPr>
          <w:rFonts w:ascii="Times New Roman" w:hAnsi="Times New Roman" w:cs="Times New Roman"/>
          <w:i/>
          <w:sz w:val="28"/>
          <w:szCs w:val="28"/>
        </w:rPr>
      </w:pPr>
    </w:p>
    <w:p w14:paraId="254A96B7" w14:textId="77777777" w:rsidR="00524496" w:rsidRPr="00365CE8" w:rsidRDefault="00182DE4" w:rsidP="00524496">
      <w:pPr>
        <w:spacing w:after="0" w:line="240" w:lineRule="auto"/>
        <w:rPr>
          <w:rFonts w:ascii="Times New Roman" w:hAnsi="Times New Roman" w:cs="Times New Roman"/>
          <w:i/>
          <w:sz w:val="28"/>
          <w:szCs w:val="28"/>
        </w:rPr>
      </w:pPr>
      <w:r w:rsidRPr="00365CE8">
        <w:rPr>
          <w:rFonts w:ascii="Times New Roman" w:hAnsi="Times New Roman" w:cs="Times New Roman"/>
          <w:noProof/>
          <w:lang w:eastAsia="uk-UA"/>
        </w:rPr>
        <w:drawing>
          <wp:inline distT="0" distB="0" distL="0" distR="0" wp14:anchorId="61F6EF16" wp14:editId="593F165A">
            <wp:extent cx="6020789" cy="5023263"/>
            <wp:effectExtent l="0" t="0" r="18415" b="2540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984C25F" w14:textId="77777777" w:rsidR="00335C00" w:rsidRPr="00365CE8" w:rsidRDefault="00335C00" w:rsidP="00182DE4">
      <w:pPr>
        <w:spacing w:after="0" w:line="240" w:lineRule="auto"/>
        <w:rPr>
          <w:rFonts w:ascii="Times New Roman" w:hAnsi="Times New Roman" w:cs="Times New Roman"/>
          <w:sz w:val="28"/>
          <w:szCs w:val="28"/>
        </w:rPr>
      </w:pPr>
      <w:r w:rsidRPr="00365CE8">
        <w:rPr>
          <w:rFonts w:ascii="Times New Roman" w:hAnsi="Times New Roman" w:cs="Times New Roman"/>
          <w:sz w:val="28"/>
          <w:szCs w:val="28"/>
        </w:rPr>
        <w:t xml:space="preserve">Рисунок </w:t>
      </w:r>
      <w:r w:rsidR="00182DE4" w:rsidRPr="00365CE8">
        <w:rPr>
          <w:rFonts w:ascii="Times New Roman" w:hAnsi="Times New Roman" w:cs="Times New Roman"/>
          <w:sz w:val="28"/>
          <w:szCs w:val="28"/>
        </w:rPr>
        <w:t>9 -</w:t>
      </w:r>
      <w:r w:rsidRPr="00365CE8">
        <w:rPr>
          <w:rFonts w:ascii="Times New Roman" w:hAnsi="Times New Roman" w:cs="Times New Roman"/>
          <w:sz w:val="28"/>
          <w:szCs w:val="28"/>
        </w:rPr>
        <w:t xml:space="preserve"> Рейтинг регіонів України за обсягом ПІІ у 2020р.,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352192D3" w14:textId="77777777" w:rsidR="00335C00" w:rsidRPr="00365CE8" w:rsidRDefault="00335C00" w:rsidP="00466E22">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640A7A19" w14:textId="77777777" w:rsidR="00335C00" w:rsidRPr="00365CE8" w:rsidRDefault="00335C00" w:rsidP="0028541E">
      <w:pPr>
        <w:spacing w:after="0" w:line="240" w:lineRule="auto"/>
        <w:ind w:firstLine="709"/>
        <w:rPr>
          <w:rFonts w:ascii="Times New Roman" w:hAnsi="Times New Roman" w:cs="Times New Roman"/>
          <w:i/>
          <w:sz w:val="28"/>
          <w:szCs w:val="28"/>
        </w:rPr>
      </w:pPr>
    </w:p>
    <w:p w14:paraId="00FAFBEF" w14:textId="77777777" w:rsidR="0080321A" w:rsidRPr="00365CE8" w:rsidRDefault="009D4BB3"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Як бачимо за даними рис. 9 </w:t>
      </w:r>
      <w:r w:rsidR="0080321A" w:rsidRPr="00365CE8">
        <w:rPr>
          <w:rFonts w:ascii="Times New Roman" w:hAnsi="Times New Roman" w:cs="Times New Roman"/>
          <w:sz w:val="28"/>
          <w:szCs w:val="28"/>
        </w:rPr>
        <w:t>можна зробити висновки щодо привабливості регіонів для іноземних інвестицій в Україні у 2020 році. Зазначимо, що Полтавська область, м. Київ, Миколаївська, Харківська, Чернігівська та Одеська області виявилися найбільш привабливими для іноземних інвесторів, що підтверджується позитивною динамікою обсягів прямих іноземних інвестицій (ПІІ) у цих регіонах.</w:t>
      </w:r>
    </w:p>
    <w:p w14:paraId="379FB40D" w14:textId="77777777" w:rsidR="0080321A" w:rsidRPr="00365CE8" w:rsidRDefault="0080321A"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lastRenderedPageBreak/>
        <w:t>Незважаючи на менший рівень привабливості, Хмельницька, Волинська, Закарпатська, Тернопільська, Херсонська, Кіровоградська та Чернівецька області залишаються потенційно цікавими для іноземних інвестицій, що вказує на можливості для розвитку в цих регіонах.</w:t>
      </w:r>
    </w:p>
    <w:p w14:paraId="04CB215B" w14:textId="77777777" w:rsidR="009D4BB3" w:rsidRPr="00365CE8" w:rsidRDefault="0080321A"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Однак залишається проблематичним стан іноземних інвестицій в інших областях, де спостерігався відтік іноземного капіталу, що призвело до від'ємних обсягів ПІІ. Це може слугувати сигналом для необхідності впровадження заходів та стратегій, спрямованих на покращення інвестиційної привабливості цих регіонів для того, щоб привертати і утримувати іноземний капітал.</w:t>
      </w:r>
    </w:p>
    <w:p w14:paraId="7FCB5BB3" w14:textId="77777777" w:rsidR="009D4BB3" w:rsidRPr="00365CE8" w:rsidRDefault="009D4BB3" w:rsidP="009D4BB3">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На рис. 10 наведено рейтинг регіонів України за обсягом ПІІ у 2021р.</w:t>
      </w:r>
    </w:p>
    <w:p w14:paraId="3789D258" w14:textId="77777777" w:rsidR="00182DE4" w:rsidRPr="00365CE8" w:rsidRDefault="00182DE4" w:rsidP="00182DE4">
      <w:pPr>
        <w:spacing w:after="0" w:line="240" w:lineRule="auto"/>
        <w:rPr>
          <w:rFonts w:ascii="Times New Roman" w:hAnsi="Times New Roman" w:cs="Times New Roman"/>
          <w:sz w:val="28"/>
          <w:szCs w:val="28"/>
        </w:rPr>
      </w:pPr>
    </w:p>
    <w:p w14:paraId="3D575E99" w14:textId="77777777" w:rsidR="00182DE4" w:rsidRPr="00365CE8" w:rsidRDefault="00182DE4" w:rsidP="00D73B74">
      <w:pPr>
        <w:spacing w:after="0" w:line="240" w:lineRule="auto"/>
        <w:jc w:val="center"/>
        <w:rPr>
          <w:rFonts w:ascii="Times New Roman" w:hAnsi="Times New Roman" w:cs="Times New Roman"/>
          <w:sz w:val="28"/>
          <w:szCs w:val="28"/>
        </w:rPr>
      </w:pPr>
      <w:r w:rsidRPr="00365CE8">
        <w:rPr>
          <w:rFonts w:ascii="Times New Roman" w:hAnsi="Times New Roman" w:cs="Times New Roman"/>
          <w:noProof/>
          <w:lang w:eastAsia="uk-UA"/>
        </w:rPr>
        <w:drawing>
          <wp:inline distT="0" distB="0" distL="0" distR="0" wp14:anchorId="64496218" wp14:editId="6E452608">
            <wp:extent cx="6246420" cy="5082639"/>
            <wp:effectExtent l="0" t="0" r="21590" b="2286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365CE8">
        <w:rPr>
          <w:rFonts w:ascii="Times New Roman" w:hAnsi="Times New Roman" w:cs="Times New Roman"/>
          <w:sz w:val="28"/>
          <w:szCs w:val="28"/>
        </w:rPr>
        <w:t xml:space="preserve">Рисунок 10 - Рейтинг регіонів України за обсягом ПІІ у 2020р.,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5BD4EB3F" w14:textId="77777777" w:rsidR="00182DE4" w:rsidRPr="00365CE8" w:rsidRDefault="00182DE4" w:rsidP="00182DE4">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1251BDA9" w14:textId="77777777" w:rsidR="005110A4" w:rsidRPr="00365CE8" w:rsidRDefault="005110A4" w:rsidP="0028541E">
      <w:pPr>
        <w:spacing w:after="0" w:line="240" w:lineRule="auto"/>
        <w:ind w:firstLine="709"/>
        <w:rPr>
          <w:rFonts w:ascii="Times New Roman" w:hAnsi="Times New Roman" w:cs="Times New Roman"/>
          <w:i/>
          <w:sz w:val="28"/>
          <w:szCs w:val="28"/>
        </w:rPr>
      </w:pPr>
    </w:p>
    <w:p w14:paraId="64E5B3D7" w14:textId="77777777" w:rsidR="0080321A" w:rsidRPr="00365CE8" w:rsidRDefault="0080321A"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Як бачимо за даними рис. 10, у 2021р. найпривабливішими регіонами для іноземного інвестування в Україні були Дніпропетровська область та м. Київ, причому варто зазначити, що обсяг залучених ПІІ перевищував максимальні обсяги 2020р. майже в три рази.</w:t>
      </w:r>
    </w:p>
    <w:p w14:paraId="5B3128D4" w14:textId="77777777" w:rsidR="0080321A" w:rsidRPr="00365CE8" w:rsidRDefault="0080321A"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lastRenderedPageBreak/>
        <w:t>Також до числа привабливих для іноземних інвесторів регіонів входили Полтавська, Запорізька, Київська, Івано-Франківська, Донецька, Черкаська, Хмельницька, Миколаївська, Чернігівська, Харківська та Херсонська області.</w:t>
      </w:r>
    </w:p>
    <w:p w14:paraId="07F8322C" w14:textId="77777777" w:rsidR="0080321A" w:rsidRPr="00365CE8" w:rsidRDefault="0080321A"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В цілому варто зазначити, що крім Сумської та Луганської області, всі інші регіони мали додатне значення кількості отриманих іноземних інвестицій. При тому крім Тернопільської та Чернівецькою – всі інші мали рівень ПІІ, який перевищував обсяг ПІІ Волинської області у 2020р.,яка завершувала рейтинг 9-ми найкращих областей для  іноземного інвестування. Тобто варто зазначити, що інвестиційна привабливість України у 2021р. дуже помітно покращилась.</w:t>
      </w:r>
    </w:p>
    <w:p w14:paraId="57A97DB3" w14:textId="77777777" w:rsidR="009D4BB3" w:rsidRPr="00365CE8" w:rsidRDefault="009D4BB3" w:rsidP="009D4BB3">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На рис. 11 наведено рейтинг регіонів України за обсягом ПІІ у 2022р.</w:t>
      </w:r>
    </w:p>
    <w:p w14:paraId="1C483351" w14:textId="77777777" w:rsidR="009D4BB3" w:rsidRPr="00365CE8" w:rsidRDefault="009D4BB3" w:rsidP="0028541E">
      <w:pPr>
        <w:spacing w:after="0" w:line="240" w:lineRule="auto"/>
        <w:ind w:firstLine="709"/>
        <w:rPr>
          <w:rFonts w:ascii="Times New Roman" w:hAnsi="Times New Roman" w:cs="Times New Roman"/>
          <w:i/>
          <w:sz w:val="28"/>
          <w:szCs w:val="28"/>
        </w:rPr>
      </w:pPr>
    </w:p>
    <w:p w14:paraId="18E5647F" w14:textId="77777777" w:rsidR="00182DE4" w:rsidRPr="00365CE8" w:rsidRDefault="00182DE4" w:rsidP="00182DE4">
      <w:pPr>
        <w:spacing w:after="0" w:line="240" w:lineRule="auto"/>
        <w:jc w:val="center"/>
        <w:rPr>
          <w:rFonts w:ascii="Times New Roman" w:hAnsi="Times New Roman" w:cs="Times New Roman"/>
          <w:sz w:val="28"/>
          <w:szCs w:val="28"/>
        </w:rPr>
      </w:pPr>
      <w:r w:rsidRPr="00365CE8">
        <w:rPr>
          <w:rFonts w:ascii="Times New Roman" w:hAnsi="Times New Roman" w:cs="Times New Roman"/>
          <w:noProof/>
          <w:lang w:eastAsia="uk-UA"/>
        </w:rPr>
        <w:drawing>
          <wp:inline distT="0" distB="0" distL="0" distR="0" wp14:anchorId="6DD0EFA6" wp14:editId="03869F21">
            <wp:extent cx="5902037" cy="5403273"/>
            <wp:effectExtent l="0" t="0" r="22860" b="26035"/>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4D2D36" w14:textId="77777777" w:rsidR="00182DE4" w:rsidRPr="00365CE8" w:rsidRDefault="00182DE4" w:rsidP="00182DE4">
      <w:pPr>
        <w:spacing w:after="0" w:line="240" w:lineRule="auto"/>
        <w:rPr>
          <w:rFonts w:ascii="Times New Roman" w:hAnsi="Times New Roman" w:cs="Times New Roman"/>
          <w:sz w:val="28"/>
          <w:szCs w:val="28"/>
        </w:rPr>
      </w:pPr>
      <w:r w:rsidRPr="00365CE8">
        <w:rPr>
          <w:rFonts w:ascii="Times New Roman" w:hAnsi="Times New Roman" w:cs="Times New Roman"/>
          <w:sz w:val="28"/>
          <w:szCs w:val="28"/>
        </w:rPr>
        <w:t xml:space="preserve">Рисунок 11 - Рейтинг регіонів України за обсягом ПІІ у 2020р.,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32CC38A0" w14:textId="77777777" w:rsidR="00182DE4" w:rsidRPr="00365CE8" w:rsidRDefault="00182DE4" w:rsidP="00182DE4">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5FA51AF4" w14:textId="77777777" w:rsidR="00182DE4" w:rsidRPr="00365CE8" w:rsidRDefault="00182DE4" w:rsidP="0028541E">
      <w:pPr>
        <w:spacing w:after="0" w:line="240" w:lineRule="auto"/>
        <w:ind w:firstLine="709"/>
        <w:rPr>
          <w:rFonts w:ascii="Times New Roman" w:hAnsi="Times New Roman" w:cs="Times New Roman"/>
          <w:i/>
          <w:sz w:val="28"/>
          <w:szCs w:val="28"/>
        </w:rPr>
      </w:pPr>
    </w:p>
    <w:p w14:paraId="5C07F1C2" w14:textId="77777777" w:rsidR="00D73B74" w:rsidRPr="00365CE8" w:rsidRDefault="0080321A"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Як бачимо за даними рис. 11, у 202</w:t>
      </w:r>
      <w:r w:rsidR="00D73B74" w:rsidRPr="00365CE8">
        <w:rPr>
          <w:rFonts w:ascii="Times New Roman" w:hAnsi="Times New Roman" w:cs="Times New Roman"/>
          <w:sz w:val="28"/>
          <w:szCs w:val="28"/>
        </w:rPr>
        <w:t>2</w:t>
      </w:r>
      <w:r w:rsidRPr="00365CE8">
        <w:rPr>
          <w:rFonts w:ascii="Times New Roman" w:hAnsi="Times New Roman" w:cs="Times New Roman"/>
          <w:sz w:val="28"/>
          <w:szCs w:val="28"/>
        </w:rPr>
        <w:t xml:space="preserve">р. найпривабливішим </w:t>
      </w:r>
      <w:r w:rsidR="00D73B74" w:rsidRPr="00365CE8">
        <w:rPr>
          <w:rFonts w:ascii="Times New Roman" w:hAnsi="Times New Roman" w:cs="Times New Roman"/>
          <w:sz w:val="28"/>
          <w:szCs w:val="28"/>
        </w:rPr>
        <w:t>регіоном було лише м. Київ. Вже друга позиція – Полтавська область поступається йому майже вдвічі.</w:t>
      </w:r>
    </w:p>
    <w:p w14:paraId="37D287A1" w14:textId="77777777" w:rsidR="00D73B74" w:rsidRPr="00365CE8" w:rsidRDefault="00D73B74"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lastRenderedPageBreak/>
        <w:t xml:space="preserve">Доволі привабливими для іноземного інвестування у 2022р. були Полтавська, Львівська та вінницька області. При цьому в цілому варто зазначити помітно зниження ПІІ порівняно з попереднім роком. Якщо друга група привабливих областей у 2021р. отримувала ПІІ у обсязі 500-700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xml:space="preserve">. США, то у 2022р. ці показники становили менше 500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22A9F166" w14:textId="77777777" w:rsidR="00D73B74" w:rsidRPr="00365CE8" w:rsidRDefault="00D73B74"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Третя група найбільш привабливих областей складається з  Хмельницької Тернопільської, Волинської, Кіровоградської та  Чернігівської областей, де обсяг ПІІ становив від 55 до 87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6C9E9B96" w14:textId="77777777" w:rsidR="0080321A" w:rsidRPr="00365CE8" w:rsidRDefault="00D73B74" w:rsidP="0080321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Варто зазначити, що за Київською, Миколаївською, Житомирською, черкаською, Харківською, Івано-Франківською, Запорізькою, Рівненською та Дніпропетровською областями </w:t>
      </w:r>
      <w:r w:rsidR="0080321A" w:rsidRPr="00365CE8">
        <w:rPr>
          <w:rFonts w:ascii="Times New Roman" w:hAnsi="Times New Roman" w:cs="Times New Roman"/>
          <w:sz w:val="28"/>
          <w:szCs w:val="28"/>
        </w:rPr>
        <w:t>спостерігався відтік іноземного</w:t>
      </w:r>
      <w:r w:rsidRPr="00365CE8">
        <w:rPr>
          <w:rFonts w:ascii="Times New Roman" w:hAnsi="Times New Roman" w:cs="Times New Roman"/>
          <w:sz w:val="28"/>
          <w:szCs w:val="28"/>
        </w:rPr>
        <w:t xml:space="preserve"> інвестиційного</w:t>
      </w:r>
      <w:r w:rsidR="0080321A" w:rsidRPr="00365CE8">
        <w:rPr>
          <w:rFonts w:ascii="Times New Roman" w:hAnsi="Times New Roman" w:cs="Times New Roman"/>
          <w:sz w:val="28"/>
          <w:szCs w:val="28"/>
        </w:rPr>
        <w:t xml:space="preserve"> капіталу, і обсяги ПІІ були від’ємні.</w:t>
      </w:r>
    </w:p>
    <w:p w14:paraId="1BC3B8EA" w14:textId="77777777" w:rsidR="00D73B74" w:rsidRPr="00365CE8" w:rsidRDefault="00D73B74" w:rsidP="00D73B74">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Розглядаючи дані рейтингів областей України по привабливості для іноземних інвесторів за 2020-2022 роки (рис. 9-11), можна зробити кілька висновків щодо динаміки інвестиційної привабливості областей України та їх змін в кількісному вираженні.</w:t>
      </w:r>
    </w:p>
    <w:p w14:paraId="3E99A061" w14:textId="77777777" w:rsidR="00D73B74" w:rsidRPr="00365CE8" w:rsidRDefault="00D73B74" w:rsidP="00D73B74">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У 2020 році Полтавська область, м. Київ та Миколаївська область визначалися як лідери за інвестиційною привабливістю. Однак у 2021 році ситуація кардинально змінилася, і Дніпропетровська область стала лідером, перевершивши м. Київ та Полтавську область. У 2022 році динаміка рейтингу знову різко змінилася, і лідерами стали м. Київ, Полтавська, Львівська та Вінницька області.</w:t>
      </w:r>
    </w:p>
    <w:p w14:paraId="26AA8BFF" w14:textId="77777777" w:rsidR="00D73B74" w:rsidRPr="00365CE8" w:rsidRDefault="00D73B74" w:rsidP="00D73B74">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Варто відзначити, що західні області, такі як Львівська та Вінницька, показали різке підняття у рейтингу у 2022 році. Наприклад, Львівська область, яка раніше займала 15-ту позицію, раптово піднялася на 3-тю позицію. Також Вінницька область піднялася на 4-те місце порівняно зі своїм попереднім рейтингом.</w:t>
      </w:r>
    </w:p>
    <w:p w14:paraId="77C9788B" w14:textId="77777777" w:rsidR="00D73B74" w:rsidRPr="00365CE8" w:rsidRDefault="00D73B74" w:rsidP="00D73B74">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З іншого боку, Харківська область втрачала свої позиції, знижуючись з 4-тої у 2020 році до 18-тої у 2022 році. Так само, Запорізька та Дніпропетровська області, хоча показали різке підвищення у 2021 році, суттєво втратили свої позиції у 2022 році.</w:t>
      </w:r>
    </w:p>
    <w:p w14:paraId="07227492" w14:textId="77777777" w:rsidR="004719E5" w:rsidRPr="00365CE8" w:rsidRDefault="00D73B74" w:rsidP="00D73B74">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Запорізька область, яка раніше була на 20-му місці в 2020 році та на 4-тому в 2021 році, опинилася на 20-тій позиції у 2022 році. Дніпропетровська область також пережила великі зміни, знаходячись на 25-тій позиції в 2020 році, лідируючи в 2021 році і опинившись на 22-й позиції у 2022 році.</w:t>
      </w:r>
    </w:p>
    <w:p w14:paraId="4FDEB31F" w14:textId="77777777" w:rsidR="00196ED1" w:rsidRPr="00365CE8" w:rsidRDefault="00196ED1" w:rsidP="00196ED1">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Структура прямих іноземних інвестицій в Україну за країнами виявляла певні зміни протягом деякого часу. В період між 2012 та 2016 роками головними інвесторами, які вкладали кошти в Україну, були Кіпр, Нідерланди та Велика Британія. У 2017 році до цього списку приєдналися дві нові країни, і структура інвестицій отримала такий розподіл: Кіпр – 25,5%, Нідерланди – 16,2%, Російська Федерація – 11,4%, Велика Британія – 5,5%, Німеччина – 4,5%, Віргінські Острови (Британія) – 4,3%, Швейцарія – 3,9% [3]. Загалом за цей період сума прямих іноземних інвестицій в Україну становила 16,6 млрд. доларів США.</w:t>
      </w:r>
    </w:p>
    <w:p w14:paraId="2D8A7AF0" w14:textId="77777777" w:rsidR="00196ED1" w:rsidRPr="00365CE8" w:rsidRDefault="00196ED1" w:rsidP="00196ED1">
      <w:pPr>
        <w:spacing w:after="0" w:line="240" w:lineRule="auto"/>
        <w:ind w:firstLine="709"/>
        <w:jc w:val="both"/>
        <w:rPr>
          <w:rFonts w:ascii="Times New Roman" w:hAnsi="Times New Roman" w:cs="Times New Roman"/>
          <w:sz w:val="28"/>
          <w:szCs w:val="28"/>
        </w:rPr>
      </w:pPr>
    </w:p>
    <w:p w14:paraId="349B1863" w14:textId="77777777" w:rsidR="00196ED1" w:rsidRPr="00365CE8" w:rsidRDefault="00196ED1" w:rsidP="00196ED1">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lastRenderedPageBreak/>
        <w:t xml:space="preserve">У 2019-2020 роках лідери іноземних інвестицій зазнали змін, і загальна сума зменшилася на значний рівень. У 2019 році сума складала 4 014,8 млн. доларів США, тоді як у 2020 році це значення скоротилося майже на 70%, становлячи 1215,4 млн. доларів США. </w:t>
      </w:r>
    </w:p>
    <w:p w14:paraId="3D036794" w14:textId="77777777" w:rsidR="00196ED1" w:rsidRPr="00365CE8" w:rsidRDefault="00196ED1" w:rsidP="00196ED1">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 xml:space="preserve">Загалом, протягом періоду від 2012 до 2021 року головними іноземними інвесторами в Україну стали Кіпр, Нідерланди, Велика Британія, Російська Федерація та Австрія. Отже, можна висновувати, що більшість інвестицій надходила з країн Європейського Союзу, і їхня частка становила близько 70%. </w:t>
      </w:r>
    </w:p>
    <w:p w14:paraId="46A97BE5" w14:textId="77777777" w:rsidR="00D73B74" w:rsidRPr="00365CE8" w:rsidRDefault="00D73B74" w:rsidP="00196ED1">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На рис. 12 наведено топ-10 лідерів країн-інвесторів в Україну у 2019р.</w:t>
      </w:r>
    </w:p>
    <w:p w14:paraId="6F02E5F1" w14:textId="77777777" w:rsidR="00196ED1" w:rsidRPr="00365CE8" w:rsidRDefault="00196ED1" w:rsidP="00196ED1">
      <w:pPr>
        <w:spacing w:after="0" w:line="240" w:lineRule="auto"/>
        <w:ind w:firstLine="709"/>
        <w:jc w:val="both"/>
        <w:rPr>
          <w:rFonts w:ascii="Times New Roman" w:hAnsi="Times New Roman" w:cs="Times New Roman"/>
          <w:i/>
          <w:sz w:val="28"/>
          <w:szCs w:val="28"/>
        </w:rPr>
      </w:pPr>
    </w:p>
    <w:p w14:paraId="5D3C4204" w14:textId="77777777" w:rsidR="00182DE4" w:rsidRPr="00365CE8" w:rsidRDefault="00182DE4" w:rsidP="00182DE4">
      <w:pPr>
        <w:spacing w:after="0" w:line="240" w:lineRule="auto"/>
        <w:jc w:val="center"/>
        <w:rPr>
          <w:rFonts w:ascii="Times New Roman" w:hAnsi="Times New Roman" w:cs="Times New Roman"/>
          <w:i/>
          <w:sz w:val="28"/>
          <w:szCs w:val="28"/>
        </w:rPr>
      </w:pPr>
      <w:r w:rsidRPr="00365CE8">
        <w:rPr>
          <w:rFonts w:ascii="Times New Roman" w:hAnsi="Times New Roman" w:cs="Times New Roman"/>
          <w:noProof/>
          <w:lang w:eastAsia="uk-UA"/>
        </w:rPr>
        <w:drawing>
          <wp:inline distT="0" distB="0" distL="0" distR="0" wp14:anchorId="5E937726" wp14:editId="5A4ED58E">
            <wp:extent cx="5403273" cy="3277589"/>
            <wp:effectExtent l="0" t="0" r="26035" b="1841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BBD69D8" w14:textId="77777777" w:rsidR="005110A4" w:rsidRPr="00365CE8" w:rsidRDefault="005110A4" w:rsidP="0028541E">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 xml:space="preserve">Рисунок </w:t>
      </w:r>
      <w:r w:rsidR="00182DE4" w:rsidRPr="00365CE8">
        <w:rPr>
          <w:rFonts w:ascii="Times New Roman" w:hAnsi="Times New Roman" w:cs="Times New Roman"/>
          <w:sz w:val="28"/>
          <w:szCs w:val="28"/>
        </w:rPr>
        <w:t>12 -</w:t>
      </w:r>
      <w:r w:rsidRPr="00365CE8">
        <w:rPr>
          <w:rFonts w:ascii="Times New Roman" w:hAnsi="Times New Roman" w:cs="Times New Roman"/>
          <w:sz w:val="28"/>
          <w:szCs w:val="28"/>
        </w:rPr>
        <w:t xml:space="preserve"> Топ-10 лідерів країн-інвесторів в Україну у 2019р.,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5C926DDE" w14:textId="77777777" w:rsidR="00466E22" w:rsidRPr="00365CE8" w:rsidRDefault="00466E22" w:rsidP="00466E22">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788DB4C9" w14:textId="77777777" w:rsidR="00196ED1" w:rsidRPr="00365CE8" w:rsidRDefault="00196ED1" w:rsidP="00196ED1">
      <w:pPr>
        <w:spacing w:after="0" w:line="240" w:lineRule="auto"/>
        <w:ind w:firstLine="709"/>
        <w:jc w:val="both"/>
        <w:rPr>
          <w:rFonts w:ascii="Times New Roman" w:hAnsi="Times New Roman" w:cs="Times New Roman"/>
          <w:sz w:val="28"/>
        </w:rPr>
      </w:pPr>
    </w:p>
    <w:p w14:paraId="6F5D8CBC" w14:textId="77777777" w:rsidR="00196ED1" w:rsidRPr="00365CE8" w:rsidRDefault="00196ED1" w:rsidP="00196ED1">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szCs w:val="28"/>
        </w:rPr>
        <w:t>Як бачимо за даними рис. 12, у</w:t>
      </w:r>
      <w:r w:rsidRPr="00365CE8">
        <w:rPr>
          <w:rFonts w:ascii="Times New Roman" w:hAnsi="Times New Roman" w:cs="Times New Roman"/>
          <w:sz w:val="28"/>
        </w:rPr>
        <w:t xml:space="preserve"> 2019 році лідерами з іноземного інвестування в Україну виділялись країни Європейського Союзу (сумарно) та Кіпр, їхні обсяги інвестицій в Україну перевищували обсяги від всіх інших країн, представлених у рейтингу, у 4-10 разів.</w:t>
      </w:r>
    </w:p>
    <w:p w14:paraId="72ED031A" w14:textId="77777777" w:rsidR="00196ED1" w:rsidRPr="00365CE8" w:rsidRDefault="00196ED1" w:rsidP="00196ED1">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Зокрема, країни ЄС узяли на себе значну частку іноземних інвестицій в Україну, і їхні вклади були вагомим чинником для економічного розвитку країни. Особливу роль в цьому відіграв Кіпр, обсяги інвестицій від якого виявилися в 4-10 разів більшими порівняно з іншими країнами у рейтингу.</w:t>
      </w:r>
    </w:p>
    <w:p w14:paraId="099CF190" w14:textId="77777777" w:rsidR="00196ED1" w:rsidRPr="00365CE8" w:rsidRDefault="00196ED1" w:rsidP="00196ED1">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Крім того, в 2019 році до числа лідерів із залученням іноземних інвестицій в Україну також входили Нідерланди, які відзначалися значним обсягом інвестицій та виступали ключовим інвестором. Росія також фігурувала у списку основних іноземних інвесторів в Україну, проте 2019 рік визначився як останній рік, коли вона потрапляла у перелік основних іноземних інвесторів України, оскільки наступні роки призвели до суттєвих змін у зовнішньоекономічних відносинах між країнами. Крім того, серед лідерів також </w:t>
      </w:r>
      <w:r w:rsidRPr="00365CE8">
        <w:rPr>
          <w:rFonts w:ascii="Times New Roman" w:hAnsi="Times New Roman" w:cs="Times New Roman"/>
          <w:sz w:val="28"/>
        </w:rPr>
        <w:lastRenderedPageBreak/>
        <w:t xml:space="preserve">були Швейцарія, Польща, Угорщина, Люксембург, Англія та Франція, що свідчило про різноманітність джерел іноземних інвестицій та широкий спектр міжнародних </w:t>
      </w:r>
      <w:proofErr w:type="spellStart"/>
      <w:r w:rsidRPr="00365CE8">
        <w:rPr>
          <w:rFonts w:ascii="Times New Roman" w:hAnsi="Times New Roman" w:cs="Times New Roman"/>
          <w:sz w:val="28"/>
        </w:rPr>
        <w:t>партнерств</w:t>
      </w:r>
      <w:proofErr w:type="spellEnd"/>
      <w:r w:rsidRPr="00365CE8">
        <w:rPr>
          <w:rFonts w:ascii="Times New Roman" w:hAnsi="Times New Roman" w:cs="Times New Roman"/>
          <w:sz w:val="28"/>
        </w:rPr>
        <w:t xml:space="preserve"> України на той час.</w:t>
      </w:r>
    </w:p>
    <w:p w14:paraId="64EBD131" w14:textId="77777777" w:rsidR="00D73B74" w:rsidRPr="00365CE8" w:rsidRDefault="00D73B74" w:rsidP="00D73B74">
      <w:pPr>
        <w:spacing w:after="0" w:line="240" w:lineRule="auto"/>
        <w:ind w:firstLine="709"/>
        <w:jc w:val="both"/>
        <w:rPr>
          <w:rFonts w:ascii="Times New Roman" w:hAnsi="Times New Roman" w:cs="Times New Roman"/>
          <w:i/>
          <w:sz w:val="28"/>
          <w:szCs w:val="28"/>
        </w:rPr>
      </w:pPr>
      <w:r w:rsidRPr="00365CE8">
        <w:rPr>
          <w:rFonts w:ascii="Times New Roman" w:hAnsi="Times New Roman" w:cs="Times New Roman"/>
          <w:sz w:val="28"/>
          <w:szCs w:val="28"/>
        </w:rPr>
        <w:t>На рис. 13 наведено топ-10 лідерів країн-інвесторів в Україну у 2020р.</w:t>
      </w:r>
    </w:p>
    <w:p w14:paraId="45C52143" w14:textId="77777777" w:rsidR="00182DE4" w:rsidRPr="00365CE8" w:rsidRDefault="00182DE4" w:rsidP="00182DE4">
      <w:pPr>
        <w:spacing w:after="0" w:line="240" w:lineRule="auto"/>
        <w:ind w:firstLine="709"/>
        <w:jc w:val="center"/>
        <w:rPr>
          <w:rFonts w:ascii="Times New Roman" w:hAnsi="Times New Roman" w:cs="Times New Roman"/>
          <w:sz w:val="28"/>
          <w:szCs w:val="28"/>
        </w:rPr>
      </w:pPr>
    </w:p>
    <w:p w14:paraId="3699E6B9" w14:textId="77777777" w:rsidR="00182DE4" w:rsidRPr="00365CE8" w:rsidRDefault="00182DE4" w:rsidP="00182DE4">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noProof/>
          <w:lang w:eastAsia="uk-UA"/>
        </w:rPr>
        <w:drawing>
          <wp:inline distT="0" distB="0" distL="0" distR="0" wp14:anchorId="1D637FE1" wp14:editId="0D2DA5AC">
            <wp:extent cx="4928259" cy="3194462"/>
            <wp:effectExtent l="0" t="0" r="24765" b="2540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93529D0" w14:textId="77777777" w:rsidR="00182DE4" w:rsidRPr="00365CE8" w:rsidRDefault="00182DE4" w:rsidP="00182DE4">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Рисунок 13 - Топ-10 лідерів країн-інвесторів в Україну у 20</w:t>
      </w:r>
      <w:r w:rsidR="00196ED1" w:rsidRPr="00365CE8">
        <w:rPr>
          <w:rFonts w:ascii="Times New Roman" w:hAnsi="Times New Roman" w:cs="Times New Roman"/>
          <w:sz w:val="28"/>
          <w:szCs w:val="28"/>
        </w:rPr>
        <w:t>20</w:t>
      </w:r>
      <w:r w:rsidRPr="00365CE8">
        <w:rPr>
          <w:rFonts w:ascii="Times New Roman" w:hAnsi="Times New Roman" w:cs="Times New Roman"/>
          <w:sz w:val="28"/>
          <w:szCs w:val="28"/>
        </w:rPr>
        <w:t xml:space="preserve">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1791EBE7" w14:textId="77777777" w:rsidR="00182DE4" w:rsidRPr="00365CE8" w:rsidRDefault="00182DE4" w:rsidP="00182DE4">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5413C081" w14:textId="77777777" w:rsidR="00182DE4" w:rsidRPr="00365CE8" w:rsidRDefault="00182DE4" w:rsidP="00182DE4">
      <w:pPr>
        <w:spacing w:after="0" w:line="240" w:lineRule="auto"/>
        <w:rPr>
          <w:rFonts w:ascii="Times New Roman" w:hAnsi="Times New Roman" w:cs="Times New Roman"/>
          <w:i/>
          <w:sz w:val="28"/>
          <w:szCs w:val="28"/>
        </w:rPr>
      </w:pPr>
    </w:p>
    <w:p w14:paraId="14CCE890" w14:textId="77777777" w:rsidR="00B854E5" w:rsidRPr="00365CE8" w:rsidRDefault="00B854E5" w:rsidP="00B854E5">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У 20</w:t>
      </w:r>
      <w:r w:rsidR="0050288A" w:rsidRPr="00365CE8">
        <w:rPr>
          <w:rFonts w:ascii="Times New Roman" w:hAnsi="Times New Roman" w:cs="Times New Roman"/>
          <w:sz w:val="28"/>
          <w:szCs w:val="28"/>
        </w:rPr>
        <w:t>20</w:t>
      </w:r>
      <w:r w:rsidRPr="00365CE8">
        <w:rPr>
          <w:rFonts w:ascii="Times New Roman" w:hAnsi="Times New Roman" w:cs="Times New Roman"/>
          <w:sz w:val="28"/>
          <w:szCs w:val="28"/>
        </w:rPr>
        <w:t xml:space="preserve"> році в іноземне інвестування в Україну відзначалися Швейцарія, що вирізнялася вражаючими обсягами прямих іноземних інвестицій (ПІІ) в 2,5 рази більше, ніж будь-яка інша країна у рейтингу. Їй слідували Англія та Люксембург.</w:t>
      </w:r>
    </w:p>
    <w:p w14:paraId="14028BAC" w14:textId="77777777" w:rsidR="00B854E5" w:rsidRPr="00365CE8" w:rsidRDefault="00B854E5" w:rsidP="00B854E5">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У 2020 році до числа впливових інвесторів приєднались Польща, Франція, Гонконг, Угорщина та Туреччина. Важливо відзначити, що обсяги прямих іноземних інвестицій від кожної з цих країн зменшилися майже в 10 разів, що є результатом світової кризи, спричиненої пандемією COVID-19.</w:t>
      </w:r>
    </w:p>
    <w:p w14:paraId="40B4F12B" w14:textId="77777777" w:rsidR="00196ED1" w:rsidRPr="00365CE8" w:rsidRDefault="00B854E5" w:rsidP="00B854E5">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Дані, представлені на рис. 13, показують не тільки географічні зміни в структурі іноземних інвестицій, але і відзначають вплив глобальних економічних труднощів, пов'язаних із пандемією, на інвестиційний клімат в Україні.</w:t>
      </w:r>
    </w:p>
    <w:p w14:paraId="7894D47C" w14:textId="77777777" w:rsidR="00D73B74" w:rsidRPr="00365CE8" w:rsidRDefault="00D73B74" w:rsidP="00D73B74">
      <w:pPr>
        <w:spacing w:after="0" w:line="240" w:lineRule="auto"/>
        <w:ind w:firstLine="709"/>
        <w:jc w:val="both"/>
        <w:rPr>
          <w:rFonts w:ascii="Times New Roman" w:hAnsi="Times New Roman" w:cs="Times New Roman"/>
          <w:i/>
          <w:sz w:val="28"/>
          <w:szCs w:val="28"/>
        </w:rPr>
      </w:pPr>
      <w:r w:rsidRPr="00365CE8">
        <w:rPr>
          <w:rFonts w:ascii="Times New Roman" w:hAnsi="Times New Roman" w:cs="Times New Roman"/>
          <w:sz w:val="28"/>
          <w:szCs w:val="28"/>
        </w:rPr>
        <w:t>На рис. 14 наведено топ-10 лідерів країн-інвесторів в Україну у 2021р.</w:t>
      </w:r>
    </w:p>
    <w:p w14:paraId="00A89F66" w14:textId="77777777" w:rsidR="00B854E5" w:rsidRPr="00365CE8" w:rsidRDefault="00B854E5" w:rsidP="00B854E5">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szCs w:val="28"/>
        </w:rPr>
        <w:t xml:space="preserve">Як бачимо за даними рис. 14, </w:t>
      </w:r>
      <w:r w:rsidRPr="00365CE8">
        <w:rPr>
          <w:rFonts w:ascii="Times New Roman" w:hAnsi="Times New Roman" w:cs="Times New Roman"/>
          <w:sz w:val="28"/>
        </w:rPr>
        <w:t>лідерами з іноземного інвестування в Україну у 2021р.  знову стають країни ЄС (сумарно) та Кіпр, обсяги інвестицій від яких в 3-7 разів перевищували обсяги від всіх інших країн, представлених у рейтингу.</w:t>
      </w:r>
    </w:p>
    <w:p w14:paraId="5FF7B364" w14:textId="77777777" w:rsidR="00B854E5" w:rsidRPr="00365CE8" w:rsidRDefault="00B854E5" w:rsidP="00B854E5">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Крім них до лідерів з іноземного інвестування в Україну у 2019р. можна було віднести  Нідерланди, Німеччину, Швейцарію, США,  Люксембург Польщу, Англію та Францію.</w:t>
      </w:r>
    </w:p>
    <w:p w14:paraId="3CA9EB08" w14:textId="77777777" w:rsidR="00182DE4" w:rsidRPr="00365CE8" w:rsidRDefault="00182DE4" w:rsidP="00182DE4">
      <w:pPr>
        <w:spacing w:after="0" w:line="240" w:lineRule="auto"/>
        <w:jc w:val="center"/>
        <w:rPr>
          <w:rFonts w:ascii="Times New Roman" w:hAnsi="Times New Roman" w:cs="Times New Roman"/>
          <w:i/>
          <w:sz w:val="28"/>
          <w:szCs w:val="28"/>
        </w:rPr>
      </w:pPr>
      <w:r w:rsidRPr="00365CE8">
        <w:rPr>
          <w:rFonts w:ascii="Times New Roman" w:hAnsi="Times New Roman" w:cs="Times New Roman"/>
          <w:noProof/>
          <w:lang w:eastAsia="uk-UA"/>
        </w:rPr>
        <w:lastRenderedPageBreak/>
        <w:drawing>
          <wp:inline distT="0" distB="0" distL="0" distR="0" wp14:anchorId="2B395D2D" wp14:editId="52B848D6">
            <wp:extent cx="5047013" cy="3170711"/>
            <wp:effectExtent l="0" t="0" r="20320" b="10795"/>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AA5FD5" w14:textId="77777777" w:rsidR="00182DE4" w:rsidRPr="00365CE8" w:rsidRDefault="00182DE4" w:rsidP="00182DE4">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Рисунок 14 - Топ-10 лідерів країн-інвесторів в Україну у 20</w:t>
      </w:r>
      <w:r w:rsidR="00196ED1" w:rsidRPr="00365CE8">
        <w:rPr>
          <w:rFonts w:ascii="Times New Roman" w:hAnsi="Times New Roman" w:cs="Times New Roman"/>
          <w:sz w:val="28"/>
          <w:szCs w:val="28"/>
        </w:rPr>
        <w:t>21</w:t>
      </w:r>
      <w:r w:rsidRPr="00365CE8">
        <w:rPr>
          <w:rFonts w:ascii="Times New Roman" w:hAnsi="Times New Roman" w:cs="Times New Roman"/>
          <w:sz w:val="28"/>
          <w:szCs w:val="28"/>
        </w:rPr>
        <w:t xml:space="preserve">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6C2B449E" w14:textId="77777777" w:rsidR="00182DE4" w:rsidRPr="00365CE8" w:rsidRDefault="00182DE4" w:rsidP="00182DE4">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52F46439" w14:textId="77777777" w:rsidR="00182DE4" w:rsidRPr="00365CE8" w:rsidRDefault="00182DE4" w:rsidP="00182DE4">
      <w:pPr>
        <w:spacing w:after="0" w:line="240" w:lineRule="auto"/>
        <w:rPr>
          <w:rFonts w:ascii="Times New Roman" w:hAnsi="Times New Roman" w:cs="Times New Roman"/>
          <w:i/>
          <w:sz w:val="28"/>
          <w:szCs w:val="28"/>
        </w:rPr>
      </w:pPr>
    </w:p>
    <w:p w14:paraId="04B5BE3F" w14:textId="77777777" w:rsidR="00B854E5" w:rsidRPr="00365CE8" w:rsidRDefault="00B854E5" w:rsidP="00B854E5">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Хоча в цілому структура основних країн інвесторів у 2021р. доволі подібна до 2019р., проте варто зазначити, що з переліку основних інверсорів зникає Угорщина та </w:t>
      </w:r>
      <w:proofErr w:type="spellStart"/>
      <w:r w:rsidRPr="00365CE8">
        <w:rPr>
          <w:rFonts w:ascii="Times New Roman" w:hAnsi="Times New Roman" w:cs="Times New Roman"/>
          <w:sz w:val="28"/>
        </w:rPr>
        <w:t>росія</w:t>
      </w:r>
      <w:proofErr w:type="spellEnd"/>
      <w:r w:rsidRPr="00365CE8">
        <w:rPr>
          <w:rFonts w:ascii="Times New Roman" w:hAnsi="Times New Roman" w:cs="Times New Roman"/>
          <w:sz w:val="28"/>
        </w:rPr>
        <w:t>, натомість з’являються США  та Німеччина.</w:t>
      </w:r>
    </w:p>
    <w:p w14:paraId="4B501AB4" w14:textId="77777777" w:rsidR="00B854E5" w:rsidRPr="00365CE8" w:rsidRDefault="00B854E5" w:rsidP="00B854E5">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Обсяги ПІІ повертаються до значень доповідного 2019р. та трохи перевищують їх. </w:t>
      </w:r>
    </w:p>
    <w:p w14:paraId="5B1D3E7C" w14:textId="77777777" w:rsidR="00D73B74" w:rsidRPr="00365CE8" w:rsidRDefault="00D73B74" w:rsidP="00D73B74">
      <w:pPr>
        <w:spacing w:after="0" w:line="240" w:lineRule="auto"/>
        <w:ind w:firstLine="709"/>
        <w:jc w:val="both"/>
        <w:rPr>
          <w:rFonts w:ascii="Times New Roman" w:hAnsi="Times New Roman" w:cs="Times New Roman"/>
          <w:i/>
          <w:sz w:val="28"/>
          <w:szCs w:val="28"/>
        </w:rPr>
      </w:pPr>
      <w:r w:rsidRPr="00365CE8">
        <w:rPr>
          <w:rFonts w:ascii="Times New Roman" w:hAnsi="Times New Roman" w:cs="Times New Roman"/>
          <w:sz w:val="28"/>
          <w:szCs w:val="28"/>
        </w:rPr>
        <w:t>На рис. 15 наведено топ-10 лідерів країн-інвесторів в Україну у 2022р.</w:t>
      </w:r>
    </w:p>
    <w:p w14:paraId="0BF305C0" w14:textId="77777777" w:rsidR="00D73B74" w:rsidRPr="00365CE8" w:rsidRDefault="00D73B74" w:rsidP="00182DE4">
      <w:pPr>
        <w:spacing w:after="0" w:line="240" w:lineRule="auto"/>
        <w:rPr>
          <w:rFonts w:ascii="Times New Roman" w:hAnsi="Times New Roman" w:cs="Times New Roman"/>
          <w:i/>
          <w:sz w:val="28"/>
          <w:szCs w:val="28"/>
        </w:rPr>
      </w:pPr>
    </w:p>
    <w:p w14:paraId="05303D0B" w14:textId="77777777" w:rsidR="00182DE4" w:rsidRPr="00365CE8" w:rsidRDefault="00182DE4" w:rsidP="00182DE4">
      <w:pPr>
        <w:spacing w:after="0" w:line="240" w:lineRule="auto"/>
        <w:jc w:val="center"/>
        <w:rPr>
          <w:rFonts w:ascii="Times New Roman" w:hAnsi="Times New Roman" w:cs="Times New Roman"/>
          <w:i/>
          <w:sz w:val="28"/>
          <w:szCs w:val="28"/>
        </w:rPr>
      </w:pPr>
      <w:r w:rsidRPr="00365CE8">
        <w:rPr>
          <w:rFonts w:ascii="Times New Roman" w:hAnsi="Times New Roman" w:cs="Times New Roman"/>
          <w:noProof/>
          <w:lang w:eastAsia="uk-UA"/>
        </w:rPr>
        <w:drawing>
          <wp:inline distT="0" distB="0" distL="0" distR="0" wp14:anchorId="02CF0A25" wp14:editId="5BC4DD18">
            <wp:extent cx="5272644" cy="3158836"/>
            <wp:effectExtent l="0" t="0" r="23495" b="2286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6A27B81" w14:textId="77777777" w:rsidR="00182DE4" w:rsidRPr="00365CE8" w:rsidRDefault="00182DE4" w:rsidP="00182DE4">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Рисунок 15 - Топ-10 лідерів країн-інвесторів в Україну у 20</w:t>
      </w:r>
      <w:r w:rsidR="00196ED1" w:rsidRPr="00365CE8">
        <w:rPr>
          <w:rFonts w:ascii="Times New Roman" w:hAnsi="Times New Roman" w:cs="Times New Roman"/>
          <w:sz w:val="28"/>
          <w:szCs w:val="28"/>
        </w:rPr>
        <w:t>22</w:t>
      </w:r>
      <w:r w:rsidRPr="00365CE8">
        <w:rPr>
          <w:rFonts w:ascii="Times New Roman" w:hAnsi="Times New Roman" w:cs="Times New Roman"/>
          <w:sz w:val="28"/>
          <w:szCs w:val="28"/>
        </w:rPr>
        <w:t xml:space="preserve">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4268D9A8" w14:textId="77777777" w:rsidR="00182DE4" w:rsidRPr="00365CE8" w:rsidRDefault="00182DE4" w:rsidP="00182DE4">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4B72DB0C" w14:textId="77777777" w:rsidR="00B854E5" w:rsidRPr="00365CE8" w:rsidRDefault="00B854E5" w:rsidP="00B854E5">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szCs w:val="28"/>
        </w:rPr>
        <w:lastRenderedPageBreak/>
        <w:t>Як бачимо за даними рис. 15, у</w:t>
      </w:r>
      <w:r w:rsidRPr="00365CE8">
        <w:rPr>
          <w:rFonts w:ascii="Times New Roman" w:hAnsi="Times New Roman" w:cs="Times New Roman"/>
          <w:sz w:val="28"/>
        </w:rPr>
        <w:t xml:space="preserve"> 2022 році під час кризи, пов’язаної із повномасштабним вторгненням  лідерами з іноземного інвестування в Україну знову стає Швейцарія, Англія та Люксембург - як і у кризисному 2020р.</w:t>
      </w:r>
    </w:p>
    <w:p w14:paraId="104A2D1C" w14:textId="77777777" w:rsidR="00B854E5" w:rsidRPr="00365CE8" w:rsidRDefault="00B854E5" w:rsidP="00B854E5">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До групи впливових інвесторів у 2022р. також можна віднести Польщу, США, Францію, Угорщину, Австрію, Польщу, Гонконг та Данію.</w:t>
      </w:r>
    </w:p>
    <w:p w14:paraId="08B1452C" w14:textId="77777777" w:rsidR="00B854E5" w:rsidRPr="00365CE8" w:rsidRDefault="00B854E5" w:rsidP="00B854E5">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При цьому варто зазначити, що обсяг ПІІ від кожної країни знову впав майже в 10 разів у порівнянні з довоєнним 2021р. тобто повторилася кризова динаміка зміни ПІІ, характерна для пандемічного 2020р.</w:t>
      </w:r>
    </w:p>
    <w:p w14:paraId="13B74CBA" w14:textId="77777777" w:rsidR="00B854E5" w:rsidRPr="00365CE8" w:rsidRDefault="00B854E5" w:rsidP="00B854E5">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У порівнянні не кризисних років 2019 та 2021, лідерство в іноземних інвестиціях в Україну належало країнам Європейського Союзу, а також Кіпру та Нідерландам. Натомість, в проблемні роки 2020 (пандемія COVID-19) та 2022 (війна) очолюють рейтинг Швейцарія, Англія та Люксембург. Ця динаміка помітна у двох кризових періодах.</w:t>
      </w:r>
    </w:p>
    <w:p w14:paraId="7A0747B2" w14:textId="77777777" w:rsidR="009D4BB3" w:rsidRPr="00365CE8" w:rsidRDefault="00B854E5" w:rsidP="00B854E5">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Аналогічна ситуація відзначається і в обсягах прямих іноземних інвестицій (ПІІ) від країн-лідерів. У 2019 та 2021 роках інвестиції від кожної з лідерських країн становили приблизно 5 млрд доларів США. У той час як у кризові 2020 та 2022 роки ці обсяги значно зменшилися, складаючи близько 500 млн доларів та 350 млн доларів відповідно. Це ще раз вказує на вплив глобальних труднощів, таких як пандемія та війна, на інвестиційні процеси в Україні.</w:t>
      </w:r>
    </w:p>
    <w:p w14:paraId="0456667D" w14:textId="77777777" w:rsidR="00200ED2" w:rsidRPr="00365CE8" w:rsidRDefault="00200ED2" w:rsidP="00200ED2">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Розглянемо структуру інвестицій в українську економіку. У 2019 році більша частина іноземних інвестицій направлялася на підтримку промисловості, оптової та роздрібної торгівлі, фінансової та страхової діяльності, а також операції з нерухомим майном.</w:t>
      </w:r>
    </w:p>
    <w:p w14:paraId="01A66F67" w14:textId="77777777" w:rsidR="00200ED2" w:rsidRPr="00365CE8" w:rsidRDefault="00200ED2" w:rsidP="00200ED2">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Варто зазначити, що у 2020 році прямі іноземні інвестиції головним чином спрямовувалися у сферу інформаційних та телекомунікаційних технологій, а також у фінансову та страхову діяльність. За 2021 рік відзначається зростанням обсягів прямих інвестицій, які на кінець року склали понад 62 мільйони доларів США.</w:t>
      </w:r>
    </w:p>
    <w:p w14:paraId="690C796A" w14:textId="77777777" w:rsidR="005B5BF6" w:rsidRPr="00365CE8" w:rsidRDefault="00200ED2" w:rsidP="00200ED2">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Таким чином, можемо спостерігати динаміку змін у структурі іноземних інвестицій, що свідчить про адаптацію економіки до різноманітних викликів і підтримку різних галузей з року в рік.</w:t>
      </w:r>
    </w:p>
    <w:p w14:paraId="1E9ABDCA" w14:textId="77777777" w:rsidR="00D16184" w:rsidRPr="00365CE8" w:rsidRDefault="00D16184" w:rsidP="00200ED2">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На рис</w:t>
      </w:r>
      <w:r w:rsidR="004621BF" w:rsidRPr="00365CE8">
        <w:rPr>
          <w:rFonts w:ascii="Times New Roman" w:hAnsi="Times New Roman" w:cs="Times New Roman"/>
          <w:sz w:val="28"/>
        </w:rPr>
        <w:t>.</w:t>
      </w:r>
      <w:r w:rsidRPr="00365CE8">
        <w:rPr>
          <w:rFonts w:ascii="Times New Roman" w:hAnsi="Times New Roman" w:cs="Times New Roman"/>
          <w:sz w:val="28"/>
        </w:rPr>
        <w:t xml:space="preserve"> 16 наведено </w:t>
      </w:r>
      <w:r w:rsidR="00500DEB" w:rsidRPr="00365CE8">
        <w:rPr>
          <w:rFonts w:ascii="Times New Roman" w:hAnsi="Times New Roman" w:cs="Times New Roman"/>
          <w:sz w:val="28"/>
        </w:rPr>
        <w:t>топ-10 галузей України за отриманням ПІІ у 2020р.</w:t>
      </w:r>
    </w:p>
    <w:p w14:paraId="316FAB00" w14:textId="77777777" w:rsidR="00200ED2" w:rsidRPr="00365CE8" w:rsidRDefault="00200ED2" w:rsidP="00200ED2">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Як бачимо за рис. 16, </w:t>
      </w:r>
      <w:r w:rsidR="00466AFA" w:rsidRPr="00365CE8">
        <w:rPr>
          <w:rFonts w:ascii="Times New Roman" w:hAnsi="Times New Roman" w:cs="Times New Roman"/>
          <w:sz w:val="28"/>
        </w:rPr>
        <w:t>у</w:t>
      </w:r>
      <w:r w:rsidRPr="00365CE8">
        <w:rPr>
          <w:rFonts w:ascii="Times New Roman" w:hAnsi="Times New Roman" w:cs="Times New Roman"/>
          <w:sz w:val="28"/>
        </w:rPr>
        <w:t xml:space="preserve"> 2020 році найбільш перспективними галузями для іноземних інвесторів в Україні визначилися різноманітні сектори економіки. Фінансова та страхова діяльність стали цікавим напрямком, що відзначалося активним інвестиційним інтересом та стійким попитом на фінансові послуги. Сектор сільського, лісового та рибного господарства також привернув увагу іноземних інвесторів, особливо враховуючи потенціал України в аграрній сфері.</w:t>
      </w:r>
    </w:p>
    <w:p w14:paraId="23FFF6D1" w14:textId="77777777" w:rsidR="00200ED2" w:rsidRPr="00365CE8" w:rsidRDefault="00200ED2" w:rsidP="00200ED2">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Виробництво харчових продуктів, напоїв та тютюнових виробів стало ключовою галуззю</w:t>
      </w:r>
      <w:r w:rsidR="00466AFA" w:rsidRPr="00365CE8">
        <w:rPr>
          <w:rFonts w:ascii="Times New Roman" w:hAnsi="Times New Roman" w:cs="Times New Roman"/>
          <w:sz w:val="28"/>
        </w:rPr>
        <w:t xml:space="preserve"> у 2020р.</w:t>
      </w:r>
      <w:r w:rsidRPr="00365CE8">
        <w:rPr>
          <w:rFonts w:ascii="Times New Roman" w:hAnsi="Times New Roman" w:cs="Times New Roman"/>
          <w:sz w:val="28"/>
        </w:rPr>
        <w:t xml:space="preserve">, де інвестори знаходили можливості для розширення та модернізації виробничих </w:t>
      </w:r>
      <w:proofErr w:type="spellStart"/>
      <w:r w:rsidRPr="00365CE8">
        <w:rPr>
          <w:rFonts w:ascii="Times New Roman" w:hAnsi="Times New Roman" w:cs="Times New Roman"/>
          <w:sz w:val="28"/>
        </w:rPr>
        <w:t>потужностей</w:t>
      </w:r>
      <w:proofErr w:type="spellEnd"/>
      <w:r w:rsidRPr="00365CE8">
        <w:rPr>
          <w:rFonts w:ascii="Times New Roman" w:hAnsi="Times New Roman" w:cs="Times New Roman"/>
          <w:sz w:val="28"/>
        </w:rPr>
        <w:t>. Діяльність у сфері адміністративного та допоміжного обслуговування також виявилася привабливою через розвиток бізнес-інфраструктури та послуг для компаній.</w:t>
      </w:r>
    </w:p>
    <w:p w14:paraId="2DAC8545" w14:textId="77777777" w:rsidR="00182DE4" w:rsidRPr="00365CE8" w:rsidRDefault="00182DE4" w:rsidP="00182DE4">
      <w:pPr>
        <w:spacing w:after="0" w:line="240" w:lineRule="auto"/>
        <w:jc w:val="center"/>
        <w:rPr>
          <w:rFonts w:ascii="Times New Roman" w:hAnsi="Times New Roman" w:cs="Times New Roman"/>
          <w:sz w:val="28"/>
          <w:szCs w:val="28"/>
        </w:rPr>
      </w:pPr>
      <w:r w:rsidRPr="00365CE8">
        <w:rPr>
          <w:rFonts w:ascii="Times New Roman" w:hAnsi="Times New Roman" w:cs="Times New Roman"/>
          <w:noProof/>
          <w:sz w:val="28"/>
          <w:szCs w:val="28"/>
        </w:rPr>
        <w:lastRenderedPageBreak/>
        <w:drawing>
          <wp:inline distT="0" distB="0" distL="0" distR="0" wp14:anchorId="2A62CFA4" wp14:editId="2BC4A2F7">
            <wp:extent cx="5723907" cy="4750130"/>
            <wp:effectExtent l="0" t="0" r="10160" b="1270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817DA2" w14:textId="77777777" w:rsidR="00E82549" w:rsidRPr="00365CE8" w:rsidRDefault="00E82549" w:rsidP="0028541E">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 xml:space="preserve">Рисунок </w:t>
      </w:r>
      <w:r w:rsidR="00182DE4" w:rsidRPr="00365CE8">
        <w:rPr>
          <w:rFonts w:ascii="Times New Roman" w:hAnsi="Times New Roman" w:cs="Times New Roman"/>
          <w:sz w:val="28"/>
          <w:szCs w:val="28"/>
        </w:rPr>
        <w:t>16 -</w:t>
      </w:r>
      <w:r w:rsidRPr="00365CE8">
        <w:rPr>
          <w:rFonts w:ascii="Times New Roman" w:hAnsi="Times New Roman" w:cs="Times New Roman"/>
          <w:sz w:val="28"/>
          <w:szCs w:val="28"/>
        </w:rPr>
        <w:t xml:space="preserve"> Топ-10 галузей України за отриманням ПІІ у 2020р.,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58BD9A53" w14:textId="77777777" w:rsidR="00466E22" w:rsidRPr="00365CE8" w:rsidRDefault="00466E22" w:rsidP="00466E22">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7CD64042" w14:textId="77777777" w:rsidR="00E82549" w:rsidRPr="00365CE8" w:rsidRDefault="00E82549" w:rsidP="0028541E">
      <w:pPr>
        <w:spacing w:after="0" w:line="240" w:lineRule="auto"/>
        <w:ind w:firstLine="709"/>
        <w:jc w:val="center"/>
        <w:rPr>
          <w:rFonts w:ascii="Times New Roman" w:hAnsi="Times New Roman" w:cs="Times New Roman"/>
          <w:sz w:val="28"/>
          <w:szCs w:val="28"/>
        </w:rPr>
      </w:pPr>
    </w:p>
    <w:p w14:paraId="426C2993"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Постачання електроенергії, газу, пари та кондиційованого повітря стало важливим сектором, оскільки забезпечення стабільної енергетичної інфраструктури завжди є пріоритетом для ефективного функціонування будь-якої економіки.</w:t>
      </w:r>
    </w:p>
    <w:p w14:paraId="4A83C125"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У 2020р. виготовлення виробів з деревини, виробництво паперу та поліграфічна діяльність визначили себе як сектори, де іноземні інвестори мали можливість розвивати стійкий та сталі дохід.</w:t>
      </w:r>
    </w:p>
    <w:p w14:paraId="3B9592FD"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Виробництво гумових і пластмасових виробів, іншої неметалевої мінеральної продукції, а також професійна, наукова та технічна діяльність знаходились серед секторів, де іноземні інвестори виявляли інтерес до технологічного розвитку та інновацій.</w:t>
      </w:r>
    </w:p>
    <w:p w14:paraId="7434D8FC"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Загалом, у 2020 році різноманітні галузі промисловості та послуг української економіки представляли значний потенціал для іноземних інвестицій, що свідчить про різкі перспективи розвитку у різних секторах.</w:t>
      </w:r>
    </w:p>
    <w:p w14:paraId="2A753D06" w14:textId="77777777" w:rsidR="004621BF" w:rsidRPr="00365CE8" w:rsidRDefault="004621BF" w:rsidP="004621BF">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На рис. 17 наведено топ-10 галузей України за отриманням ПІІ у 2020р.</w:t>
      </w:r>
    </w:p>
    <w:p w14:paraId="6EB2E439"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Як бачимо за рис. 17, у 2021 році найбільш перспективними галузями для іноземних інвесторів в Україні виявились різні сектори економіки, що визначилося їхнім вагомим внеском у розвиток країни. Промисловість та </w:t>
      </w:r>
      <w:r w:rsidRPr="00365CE8">
        <w:rPr>
          <w:rFonts w:ascii="Times New Roman" w:hAnsi="Times New Roman" w:cs="Times New Roman"/>
          <w:sz w:val="28"/>
        </w:rPr>
        <w:lastRenderedPageBreak/>
        <w:t>переробна промисловість виявилися основними точками інтересу, де інвестори мали можливість розвивати виробничі потужності та впроваджувати інновації для створення конкурентоспроможних продуктів.</w:t>
      </w:r>
    </w:p>
    <w:p w14:paraId="5FEA3EC3" w14:textId="77777777" w:rsidR="00466AFA" w:rsidRPr="00365CE8" w:rsidRDefault="00466AFA" w:rsidP="00466AFA">
      <w:pPr>
        <w:spacing w:after="0" w:line="240" w:lineRule="auto"/>
        <w:ind w:firstLine="709"/>
        <w:jc w:val="both"/>
        <w:rPr>
          <w:rFonts w:ascii="Times New Roman" w:hAnsi="Times New Roman" w:cs="Times New Roman"/>
          <w:sz w:val="28"/>
        </w:rPr>
      </w:pPr>
    </w:p>
    <w:p w14:paraId="3876B9F3" w14:textId="77777777" w:rsidR="00182DE4" w:rsidRPr="00365CE8" w:rsidRDefault="00182DE4" w:rsidP="00466AFA">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noProof/>
          <w:sz w:val="28"/>
          <w:szCs w:val="28"/>
        </w:rPr>
        <w:drawing>
          <wp:inline distT="0" distB="0" distL="0" distR="0" wp14:anchorId="31ACB626" wp14:editId="49D4902B">
            <wp:extent cx="5652655" cy="4560124"/>
            <wp:effectExtent l="0" t="0" r="24765" b="1206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C86376" w14:textId="77777777" w:rsidR="00182DE4" w:rsidRPr="00365CE8" w:rsidRDefault="00182DE4" w:rsidP="00182DE4">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 xml:space="preserve">Рисунок 17 - Топ-10 галузей України за отриманням ПІІ у 2021р.,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4B9C8AF2" w14:textId="77777777" w:rsidR="00182DE4" w:rsidRPr="00365CE8" w:rsidRDefault="00182DE4" w:rsidP="00182DE4">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4F8B4107" w14:textId="77777777" w:rsidR="00182DE4" w:rsidRPr="00365CE8" w:rsidRDefault="00182DE4" w:rsidP="0028541E">
      <w:pPr>
        <w:spacing w:after="0" w:line="240" w:lineRule="auto"/>
        <w:ind w:firstLine="709"/>
        <w:jc w:val="center"/>
        <w:rPr>
          <w:rFonts w:ascii="Times New Roman" w:hAnsi="Times New Roman" w:cs="Times New Roman"/>
          <w:sz w:val="28"/>
          <w:szCs w:val="28"/>
        </w:rPr>
      </w:pPr>
    </w:p>
    <w:p w14:paraId="2C4A7E97"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Добувна промисловість і розроблення кар'єрів також визначили себе як ключові сегменти, спрямовані на видобуток ресурсів та забезпечення сировинної бази для інших галузей економіки.</w:t>
      </w:r>
    </w:p>
    <w:p w14:paraId="40E7208D"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Сільське, лісове та рибне господарство залишалося привабливим сектором для інвестицій, враховуючи потужний потенціал українського аграрного сектора та можливість розвитку виробництва якісних продовольчих товарів. Металургійне виробництво, виробництво готових металевих виробів, крім виробництва машин і устаткування, у 2021р.  виявили себе як стратегічно важливі напрямки для іноземних інвесторів, оскільки вони спрямовані на розвиток важкої промисловості та виробництва високотехнологічних продуктів.</w:t>
      </w:r>
    </w:p>
    <w:p w14:paraId="7DD895D0"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Оптова та роздрібна торгівля, ремонт автотранспортних засобів і мотоциклів у 2021р. залишалися важливими для іноземних інвесторів, оскільки вони представляли можливості для розширення комерційної діяльності та надання послуг.</w:t>
      </w:r>
    </w:p>
    <w:p w14:paraId="78F84F89"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lastRenderedPageBreak/>
        <w:t>Фінансова та страхова діяльність залишалася в сфері інтересів, оскільки інвестори відзначили важливість розвитку фінансового сектору для забезпечення стабільності економіки. Постачання електроенергії, газу, пари та кондиційованого повітря у 2021р. продовжували визначати себе як стратегічно важливий сектор для інвестицій, оскільки ефективне енергозабезпечення є ключовим фактором для економічного розвитку.</w:t>
      </w:r>
    </w:p>
    <w:p w14:paraId="69102816"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Операції з нерухомим майном, виробництво хімічних речовин і хімічної продукції, виробництво гумових і пластмасових виробів, іншої неметалевої мінеральної продукції, виробництво харчових продуктів, напоїв та тютюнових виробів залишалися відмітними галузями, де іноземні інвестори мали можливість вкладати кошти та розвивати високотехнологічні виробництва з урахуванням сучасних стандартів якості та екології. </w:t>
      </w:r>
    </w:p>
    <w:p w14:paraId="2BDED4CC"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Усі ці тенденції та галузі вказують на широкий спектр можливостей для іноземних інвесторів в українській економіці у 2021 році.</w:t>
      </w:r>
    </w:p>
    <w:p w14:paraId="1E9652CE" w14:textId="77777777" w:rsidR="004621BF" w:rsidRPr="00365CE8" w:rsidRDefault="004621BF" w:rsidP="004621BF">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На рис. 18 наведено топ-10 галузей України за отриманням ПІІ у 2020р.</w:t>
      </w:r>
    </w:p>
    <w:p w14:paraId="07F36143" w14:textId="77777777" w:rsidR="004621BF" w:rsidRPr="00365CE8" w:rsidRDefault="004621BF" w:rsidP="0028541E">
      <w:pPr>
        <w:spacing w:after="0" w:line="240" w:lineRule="auto"/>
        <w:ind w:firstLine="709"/>
        <w:jc w:val="center"/>
        <w:rPr>
          <w:rFonts w:ascii="Times New Roman" w:hAnsi="Times New Roman" w:cs="Times New Roman"/>
          <w:sz w:val="28"/>
          <w:szCs w:val="28"/>
        </w:rPr>
      </w:pPr>
    </w:p>
    <w:p w14:paraId="1EE6F234" w14:textId="77777777" w:rsidR="00182DE4" w:rsidRPr="00365CE8" w:rsidRDefault="00182DE4" w:rsidP="0028541E">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noProof/>
          <w:sz w:val="28"/>
          <w:szCs w:val="28"/>
        </w:rPr>
        <w:drawing>
          <wp:inline distT="0" distB="0" distL="0" distR="0" wp14:anchorId="7AAB9C95" wp14:editId="24A2ED9A">
            <wp:extent cx="5462650" cy="4536374"/>
            <wp:effectExtent l="0" t="0" r="24130" b="1714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CE66479" w14:textId="77777777" w:rsidR="00182DE4" w:rsidRPr="00365CE8" w:rsidRDefault="00182DE4" w:rsidP="00182DE4">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 xml:space="preserve">Рисунок 18 - Топ-10 галузей України за отриманням ПІІ у 2022р.,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4DA9368B" w14:textId="77777777" w:rsidR="00182DE4" w:rsidRPr="00365CE8" w:rsidRDefault="00182DE4" w:rsidP="00182DE4">
      <w:pPr>
        <w:spacing w:after="0" w:line="240" w:lineRule="auto"/>
        <w:ind w:firstLine="708"/>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6F9E625D" w14:textId="77777777" w:rsidR="00182DE4" w:rsidRPr="00365CE8" w:rsidRDefault="00182DE4" w:rsidP="0028541E">
      <w:pPr>
        <w:spacing w:after="0" w:line="240" w:lineRule="auto"/>
        <w:ind w:firstLine="709"/>
        <w:jc w:val="center"/>
        <w:rPr>
          <w:rFonts w:ascii="Times New Roman" w:hAnsi="Times New Roman" w:cs="Times New Roman"/>
          <w:sz w:val="28"/>
          <w:szCs w:val="28"/>
        </w:rPr>
      </w:pPr>
    </w:p>
    <w:p w14:paraId="2A306AE5"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Як бачимо за рис. 18, у 2022</w:t>
      </w:r>
      <w:r w:rsidRPr="00365CE8">
        <w:t xml:space="preserve"> </w:t>
      </w:r>
      <w:r w:rsidRPr="00365CE8">
        <w:rPr>
          <w:rFonts w:ascii="Times New Roman" w:hAnsi="Times New Roman" w:cs="Times New Roman"/>
          <w:sz w:val="28"/>
        </w:rPr>
        <w:t xml:space="preserve">році в Україні спостерігалася зміна акцентів у виборі галузей для іноземних інвестицій. Фінансова та страхова діяльність продовжували залишатися привабливим сектором для інвесторів, оскільки </w:t>
      </w:r>
      <w:r w:rsidRPr="00365CE8">
        <w:rPr>
          <w:rFonts w:ascii="Times New Roman" w:hAnsi="Times New Roman" w:cs="Times New Roman"/>
          <w:sz w:val="28"/>
        </w:rPr>
        <w:lastRenderedPageBreak/>
        <w:t>стабільність фінансового ринку та розвиток страхових послуг залишалися ключовими факторами економічного зростання.</w:t>
      </w:r>
    </w:p>
    <w:p w14:paraId="1E819641"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Оптова та роздрібна торгівля; ремонт автотранспортних засобів і мотоциклів знову визначили себе як важливий сектор, де іноземні інвестори мали можливість розширювати комерційні можливості та розвивати підприємства відповідно до ринкових потреб.</w:t>
      </w:r>
    </w:p>
    <w:p w14:paraId="6C6E04E4"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Сектор інформації та телекомунікацій у 2022р. також став об'єктом збільшеного інтересу, оскільки цифрові технології продовжують визначати напрями розвитку сучасних економік, а Україна має потенціал для створення інноваційних рішень у цьому секторі.</w:t>
      </w:r>
    </w:p>
    <w:p w14:paraId="53BE9165"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Сільське, лісове та рибне господарство залишалося ключовим сектором, де іноземні інвестори мали можливість вкладати кошти в аграрний сектор та розвивати сучасні практики сільськогосподарського виробництва.</w:t>
      </w:r>
    </w:p>
    <w:p w14:paraId="50DC9F31"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Транспорт, складське господарство, поштова та кур'єрська діяльність у 2022р. знову стали привабливими для інвесторів секторами, оскільки забезпечення ефективного та надійного логістичного ланцюга залишається важливим аспектом для бізнесу та торгівлі.</w:t>
      </w:r>
    </w:p>
    <w:p w14:paraId="3AD3E9ED"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Виробництво харчових продуктів, напоїв та тютюнових виробів залишалося стійким сектором, де іноземні інвестори мали можливість вирощувати та виробляти якісні продукти для українського та світового ринків.</w:t>
      </w:r>
    </w:p>
    <w:p w14:paraId="6EC1FBBE"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Виготовлення виробів з деревини, виробництво паперу та поліграфічна діяльність, виробництво основних фармацевтичних продуктів і фармацевтичних препаратів, машинобудування, крім ремонту і монтажу машин і устаткування, виробництво меблів, іншої продукції; ремонт і монтаж машин і устаткування у 2022р. стали об'єктами інвестицій через їхню значущу роль у виробництві та споживчому секторі.</w:t>
      </w:r>
    </w:p>
    <w:p w14:paraId="22E38F47"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Усі ці тенденції свідчать про широкий спектр можливостей для іноземних інвесторів в українській економіці у 2022 році та підтверджують диверсифікацію інвестиційного портфеля в різноманітних галузях, що сприятиме сталому економічному розвитку країни.</w:t>
      </w:r>
    </w:p>
    <w:p w14:paraId="0EFC55F6"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Загалом за даними рис. 16-18,  а</w:t>
      </w:r>
      <w:r w:rsidRPr="00365CE8">
        <w:rPr>
          <w:rFonts w:ascii="Times New Roman" w:eastAsia="Times New Roman" w:hAnsi="Times New Roman" w:cs="Times New Roman"/>
          <w:bCs/>
          <w:sz w:val="28"/>
          <w:szCs w:val="28"/>
          <w:lang w:eastAsia="uk-UA"/>
        </w:rPr>
        <w:t xml:space="preserve">налізуючи рейтинги перспективних галузей для іноземних інвесторів в Україні протягом 2020-2022 років, можна визначити цікаві тенденції та зміни в структурі економіки. У 2020 році лідерство за привабливістю для іноземних інвесторів займала галузь Інформації та телекомунікацій. Однак, вже у 2021 році ця галузь втратила свою лідируючу позицію та взагалі не увійшла до першої десятки, водночас у 2022 році повернула собі третє місце. Це може бути пов'язано з різкими змінами у світі </w:t>
      </w:r>
      <w:r w:rsidRPr="00365CE8">
        <w:rPr>
          <w:rFonts w:ascii="Times New Roman" w:hAnsi="Times New Roman" w:cs="Times New Roman"/>
          <w:sz w:val="28"/>
        </w:rPr>
        <w:t>технологій та змінами в попиті на послуги цієї галузі.</w:t>
      </w:r>
    </w:p>
    <w:p w14:paraId="017A7691"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У 2021 році лідером стала промисловість, вказуючи на зростання інтересу до виробничого сектору. Однак, у 2022 році фінансова та страхова діяльність виборола перше місце, що може свідчити про високу стабільність та привабливість фінансових послуг для іноземних інвесторів.</w:t>
      </w:r>
    </w:p>
    <w:p w14:paraId="522354FE"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Цікаво відзначити, що фінансова та страхова діяльність, яка посідала друге місце у 2020 році, піднялася на перше місце у 2022 році, проявляючи свою стратегічну важливість та високий ступінь довіри інвесторів до цього </w:t>
      </w:r>
      <w:r w:rsidRPr="00365CE8">
        <w:rPr>
          <w:rFonts w:ascii="Times New Roman" w:hAnsi="Times New Roman" w:cs="Times New Roman"/>
          <w:sz w:val="28"/>
        </w:rPr>
        <w:lastRenderedPageBreak/>
        <w:t>сектору. Сільське господарство залишалося стабільним гравцем, утримуючись на третьому місці в 2020 році і займаючи четверте місце як у 2021, так і у 2022 роках. Це свідчить про постійний інтерес до аграрного сектору та потенціал для розвитку сільськогосподарської сфери в Україні.</w:t>
      </w:r>
    </w:p>
    <w:p w14:paraId="30807695" w14:textId="77777777" w:rsidR="00466AFA"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Щодо виробництва харчових продуктів, ця галузь утримувала високі позиції, займаючи четверте місце у 2020 році та шосте у 2022 році, за винятком 2021 року, коли зайняла шосте місце. Це може вказувати на постійний попит на продукцію харчової промисловості та її важливість для експортної та внутрішньої ринкової стратегії.</w:t>
      </w:r>
    </w:p>
    <w:p w14:paraId="4B51FD0F" w14:textId="77777777" w:rsidR="009D4BB3"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Зазначимо, що на рис. 16-18 відображені лише перші 10 позицій з більш ніж 30, що досліджувалися. Однак, навіть за таких обмежень, стає видно, які галузі привертали найбільше іноземних інвестицій та як ця динаміка змінювалася протягом трьох років, що є важливим для подальшого розвитку стратегій економічного зростання в Україні.</w:t>
      </w:r>
      <w:r w:rsidR="009D4BB3" w:rsidRPr="00365CE8">
        <w:rPr>
          <w:rFonts w:ascii="Times New Roman" w:hAnsi="Times New Roman" w:cs="Times New Roman"/>
          <w:sz w:val="28"/>
        </w:rPr>
        <w:t>.</w:t>
      </w:r>
    </w:p>
    <w:p w14:paraId="2365F481" w14:textId="77777777" w:rsidR="004621BF" w:rsidRPr="00365CE8" w:rsidRDefault="004621BF"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На рис 19. наведен</w:t>
      </w:r>
      <w:r w:rsidR="00466AFA" w:rsidRPr="00365CE8">
        <w:rPr>
          <w:rFonts w:ascii="Times New Roman" w:hAnsi="Times New Roman" w:cs="Times New Roman"/>
          <w:sz w:val="28"/>
        </w:rPr>
        <w:t>а</w:t>
      </w:r>
      <w:r w:rsidRPr="00365CE8">
        <w:rPr>
          <w:rFonts w:ascii="Times New Roman" w:hAnsi="Times New Roman" w:cs="Times New Roman"/>
          <w:sz w:val="28"/>
        </w:rPr>
        <w:t xml:space="preserve"> </w:t>
      </w:r>
      <w:r w:rsidR="00466AFA" w:rsidRPr="00365CE8">
        <w:rPr>
          <w:rFonts w:ascii="Times New Roman" w:hAnsi="Times New Roman" w:cs="Times New Roman"/>
          <w:sz w:val="28"/>
        </w:rPr>
        <w:t>д</w:t>
      </w:r>
      <w:r w:rsidRPr="00365CE8">
        <w:rPr>
          <w:rFonts w:ascii="Times New Roman" w:hAnsi="Times New Roman" w:cs="Times New Roman"/>
          <w:sz w:val="28"/>
        </w:rPr>
        <w:t>инаміка чистої міжнародної інвестиційної позиції України з прогнозним трендом.</w:t>
      </w:r>
    </w:p>
    <w:p w14:paraId="1961BA5A" w14:textId="77777777" w:rsidR="009D4BB3" w:rsidRPr="00365CE8" w:rsidRDefault="009D4BB3" w:rsidP="00466AFA">
      <w:pPr>
        <w:spacing w:after="0" w:line="240" w:lineRule="auto"/>
        <w:ind w:firstLine="709"/>
        <w:jc w:val="both"/>
        <w:rPr>
          <w:rFonts w:ascii="Times New Roman" w:hAnsi="Times New Roman" w:cs="Times New Roman"/>
          <w:sz w:val="28"/>
        </w:rPr>
      </w:pPr>
    </w:p>
    <w:p w14:paraId="5536DF18" w14:textId="77777777" w:rsidR="00182DE4" w:rsidRPr="00365CE8" w:rsidRDefault="00182DE4" w:rsidP="00182DE4">
      <w:pPr>
        <w:spacing w:after="0" w:line="240" w:lineRule="auto"/>
        <w:jc w:val="center"/>
        <w:rPr>
          <w:rFonts w:ascii="Times New Roman" w:hAnsi="Times New Roman" w:cs="Times New Roman"/>
          <w:sz w:val="28"/>
          <w:szCs w:val="28"/>
        </w:rPr>
      </w:pPr>
      <w:r w:rsidRPr="00365CE8">
        <w:rPr>
          <w:rFonts w:ascii="Times New Roman" w:hAnsi="Times New Roman" w:cs="Times New Roman"/>
          <w:noProof/>
          <w:sz w:val="28"/>
          <w:szCs w:val="28"/>
        </w:rPr>
        <w:drawing>
          <wp:inline distT="0" distB="0" distL="0" distR="0" wp14:anchorId="1981EEF6" wp14:editId="28B907D2">
            <wp:extent cx="6008914" cy="4999511"/>
            <wp:effectExtent l="0" t="0" r="11430" b="1079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351971BD" w14:textId="77777777" w:rsidR="00182DE4" w:rsidRPr="00365CE8" w:rsidRDefault="00182DE4" w:rsidP="00182DE4">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 xml:space="preserve">Рисунок 19 - Динаміка чистої міжнародної інвестиційної позиції України з прогнозним трендом,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2C2D2738" w14:textId="77777777" w:rsidR="00182DE4" w:rsidRPr="00365CE8" w:rsidRDefault="00182DE4" w:rsidP="00182DE4">
      <w:pPr>
        <w:spacing w:after="0" w:line="240" w:lineRule="auto"/>
        <w:ind w:firstLine="709"/>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5B4654BA" w14:textId="77777777" w:rsidR="00F33C68" w:rsidRPr="00365CE8" w:rsidRDefault="00F33C68" w:rsidP="00466AFA">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rPr>
        <w:lastRenderedPageBreak/>
        <w:t xml:space="preserve">Як бачимо за рис.19, і активи, і пасиви </w:t>
      </w:r>
      <w:r w:rsidRPr="00365CE8">
        <w:rPr>
          <w:rFonts w:ascii="Times New Roman" w:hAnsi="Times New Roman" w:cs="Times New Roman"/>
          <w:sz w:val="28"/>
          <w:szCs w:val="28"/>
        </w:rPr>
        <w:t>міжнародної інвестиційної позиції України мають чітко виражену тенденцію до зростання, проте пасиви перевищують активи і зростають швидшими темпами.</w:t>
      </w:r>
    </w:p>
    <w:p w14:paraId="342D450E" w14:textId="77777777" w:rsidR="00F33C68" w:rsidRPr="00365CE8" w:rsidRDefault="00F33C68"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szCs w:val="28"/>
        </w:rPr>
        <w:t xml:space="preserve">Чиста міжнародна інвестиційна позиція України є від’ємною протягом всього досліджуваного періоду, що говорить, що Україна є </w:t>
      </w:r>
      <w:proofErr w:type="spellStart"/>
      <w:r w:rsidRPr="00365CE8">
        <w:rPr>
          <w:rFonts w:ascii="Times New Roman" w:hAnsi="Times New Roman" w:cs="Times New Roman"/>
          <w:sz w:val="28"/>
          <w:szCs w:val="28"/>
        </w:rPr>
        <w:t>нетто</w:t>
      </w:r>
      <w:proofErr w:type="spellEnd"/>
      <w:r w:rsidRPr="00365CE8">
        <w:rPr>
          <w:rFonts w:ascii="Times New Roman" w:hAnsi="Times New Roman" w:cs="Times New Roman"/>
          <w:sz w:val="28"/>
          <w:szCs w:val="28"/>
        </w:rPr>
        <w:t>-реципієнтом іноземних інвестицій, проте наявна динаміка до зменшення від’ємних значень.</w:t>
      </w:r>
    </w:p>
    <w:p w14:paraId="47BEE9A0" w14:textId="77777777" w:rsidR="009D4BB3" w:rsidRPr="00365CE8" w:rsidRDefault="009D4BB3"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Отримані прогнозні тренди показують зростання всіх трьох показників, тобто активів, пасивів та чистої позиції. Проте очікується більш швидке зростання активів та чистої позиції, ніж пасивів. Також варто зазначити, що точність прогнозних трендів для активів та чистої позиції доволі висока – 90% і 80% відповідно, а для Пасивів становить всього 32%, що говорить про не високу достовірність саме цього прогнозного тренду.</w:t>
      </w:r>
    </w:p>
    <w:p w14:paraId="02157A2B" w14:textId="77777777" w:rsidR="004621BF" w:rsidRPr="00365CE8" w:rsidRDefault="004621BF"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На рис. 20 наведена динаміка іноземних інвестицій в Україну з прогнозним трендом.</w:t>
      </w:r>
    </w:p>
    <w:p w14:paraId="0CFC6B56" w14:textId="77777777" w:rsidR="00466AFA" w:rsidRPr="00365CE8" w:rsidRDefault="00466AFA" w:rsidP="00466AFA">
      <w:pPr>
        <w:spacing w:after="0" w:line="240" w:lineRule="auto"/>
        <w:ind w:firstLine="709"/>
        <w:jc w:val="both"/>
        <w:rPr>
          <w:rFonts w:ascii="Times New Roman" w:hAnsi="Times New Roman" w:cs="Times New Roman"/>
          <w:sz w:val="28"/>
        </w:rPr>
      </w:pPr>
    </w:p>
    <w:p w14:paraId="4AAE800F" w14:textId="77777777" w:rsidR="00182DE4" w:rsidRPr="00365CE8" w:rsidRDefault="00182DE4" w:rsidP="00182DE4">
      <w:pPr>
        <w:spacing w:after="0" w:line="240" w:lineRule="auto"/>
        <w:rPr>
          <w:rFonts w:ascii="Times New Roman" w:hAnsi="Times New Roman" w:cs="Times New Roman"/>
          <w:sz w:val="28"/>
          <w:szCs w:val="28"/>
        </w:rPr>
      </w:pPr>
      <w:r w:rsidRPr="00365CE8">
        <w:rPr>
          <w:rFonts w:ascii="Times New Roman" w:hAnsi="Times New Roman" w:cs="Times New Roman"/>
          <w:noProof/>
          <w:sz w:val="28"/>
          <w:szCs w:val="28"/>
        </w:rPr>
        <w:drawing>
          <wp:inline distT="0" distB="0" distL="0" distR="0" wp14:anchorId="5D6DBC75" wp14:editId="55E3C50C">
            <wp:extent cx="6246420" cy="5581403"/>
            <wp:effectExtent l="0" t="0" r="21590" b="1968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373AAAA" w14:textId="77777777" w:rsidR="00182DE4" w:rsidRPr="00365CE8" w:rsidRDefault="00182DE4" w:rsidP="00182DE4">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 xml:space="preserve">Рисунок 20 - Динаміка іноземних інвестицій в Україну з прогнозним трендом,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w:t>
      </w:r>
    </w:p>
    <w:p w14:paraId="2767038A" w14:textId="77777777" w:rsidR="00182DE4" w:rsidRPr="00365CE8" w:rsidRDefault="00182DE4" w:rsidP="00182DE4">
      <w:pPr>
        <w:spacing w:after="0" w:line="240" w:lineRule="auto"/>
        <w:ind w:firstLine="709"/>
        <w:rPr>
          <w:rFonts w:ascii="Times New Roman" w:hAnsi="Times New Roman" w:cs="Times New Roman"/>
          <w:i/>
          <w:iCs/>
          <w:sz w:val="24"/>
          <w:szCs w:val="24"/>
        </w:rPr>
      </w:pPr>
      <w:r w:rsidRPr="00365CE8">
        <w:rPr>
          <w:rFonts w:ascii="Times New Roman" w:hAnsi="Times New Roman" w:cs="Times New Roman"/>
          <w:i/>
          <w:iCs/>
          <w:sz w:val="24"/>
          <w:szCs w:val="24"/>
        </w:rPr>
        <w:t>Джерело: побудовано за даними НБУ [5]</w:t>
      </w:r>
    </w:p>
    <w:p w14:paraId="35FF9F6C" w14:textId="77777777" w:rsidR="00F33C68" w:rsidRPr="00365CE8" w:rsidRDefault="00F33C68"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lastRenderedPageBreak/>
        <w:t>Як басимо з рис. 20, найточнішим є отриманий прогноз по показнику – інвестиційні інструменти участі у капіталі. Більшість показників мають постійно зростаючий тренд, що є позитивною тенденцією. Єдине від’ємне значення було наявне по показнику боргові інструменти у 2015р.</w:t>
      </w:r>
    </w:p>
    <w:p w14:paraId="2A93C75B" w14:textId="77777777" w:rsidR="00182DE4" w:rsidRPr="00365CE8" w:rsidRDefault="004621BF"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На рис. 21 наведено </w:t>
      </w:r>
      <w:r w:rsidR="00466AFA" w:rsidRPr="00365CE8">
        <w:rPr>
          <w:rFonts w:ascii="Times New Roman" w:hAnsi="Times New Roman" w:cs="Times New Roman"/>
          <w:sz w:val="28"/>
        </w:rPr>
        <w:t>г</w:t>
      </w:r>
      <w:r w:rsidRPr="00365CE8">
        <w:rPr>
          <w:rFonts w:ascii="Times New Roman" w:hAnsi="Times New Roman" w:cs="Times New Roman"/>
          <w:sz w:val="28"/>
        </w:rPr>
        <w:t>рупування за напрямами пропонованих заходів підвищення інвестиційної привабливості України</w:t>
      </w:r>
      <w:r w:rsidR="00466AFA" w:rsidRPr="00365CE8">
        <w:rPr>
          <w:rFonts w:ascii="Times New Roman" w:hAnsi="Times New Roman" w:cs="Times New Roman"/>
          <w:sz w:val="28"/>
        </w:rPr>
        <w:t>.</w:t>
      </w:r>
    </w:p>
    <w:p w14:paraId="0253AEBA" w14:textId="77777777" w:rsidR="00F33C68" w:rsidRPr="00365CE8" w:rsidRDefault="00F33C68" w:rsidP="00466AFA">
      <w:pPr>
        <w:spacing w:after="0" w:line="240" w:lineRule="auto"/>
        <w:ind w:firstLine="709"/>
        <w:jc w:val="both"/>
        <w:rPr>
          <w:rFonts w:ascii="Times New Roman" w:hAnsi="Times New Roman" w:cs="Times New Roman"/>
          <w:sz w:val="28"/>
        </w:rPr>
      </w:pPr>
    </w:p>
    <w:p w14:paraId="5F62BFAE" w14:textId="77777777" w:rsidR="00C77799" w:rsidRPr="00365CE8" w:rsidRDefault="00C77799" w:rsidP="0028541E">
      <w:pPr>
        <w:spacing w:after="0" w:line="240" w:lineRule="auto"/>
        <w:rPr>
          <w:rFonts w:ascii="Times New Roman" w:hAnsi="Times New Roman" w:cs="Times New Roman"/>
          <w:i/>
          <w:sz w:val="28"/>
          <w:szCs w:val="28"/>
        </w:rPr>
      </w:pPr>
      <w:r w:rsidRPr="00365CE8">
        <w:rPr>
          <w:rFonts w:ascii="Times New Roman" w:hAnsi="Times New Roman" w:cs="Times New Roman"/>
          <w:i/>
          <w:noProof/>
          <w:sz w:val="28"/>
          <w:szCs w:val="28"/>
          <w:lang w:eastAsia="uk-UA"/>
        </w:rPr>
        <w:drawing>
          <wp:inline distT="0" distB="0" distL="0" distR="0" wp14:anchorId="1E0B3075" wp14:editId="2E4EBCD7">
            <wp:extent cx="6103620" cy="70897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03620" cy="7089775"/>
                    </a:xfrm>
                    <a:prstGeom prst="rect">
                      <a:avLst/>
                    </a:prstGeom>
                    <a:noFill/>
                    <a:ln>
                      <a:noFill/>
                    </a:ln>
                  </pic:spPr>
                </pic:pic>
              </a:graphicData>
            </a:graphic>
          </wp:inline>
        </w:drawing>
      </w:r>
    </w:p>
    <w:p w14:paraId="6A605332" w14:textId="77777777" w:rsidR="00C77799" w:rsidRPr="00365CE8" w:rsidRDefault="00C77799" w:rsidP="0028541E">
      <w:pPr>
        <w:spacing w:after="0" w:line="240" w:lineRule="auto"/>
        <w:ind w:firstLine="709"/>
        <w:jc w:val="center"/>
        <w:rPr>
          <w:rFonts w:ascii="Times New Roman" w:hAnsi="Times New Roman" w:cs="Times New Roman"/>
          <w:sz w:val="28"/>
          <w:szCs w:val="28"/>
        </w:rPr>
      </w:pPr>
      <w:r w:rsidRPr="00365CE8">
        <w:rPr>
          <w:rFonts w:ascii="Times New Roman" w:hAnsi="Times New Roman" w:cs="Times New Roman"/>
          <w:sz w:val="28"/>
          <w:szCs w:val="28"/>
        </w:rPr>
        <w:t xml:space="preserve">Рисунок </w:t>
      </w:r>
      <w:r w:rsidR="00182DE4" w:rsidRPr="00365CE8">
        <w:rPr>
          <w:rFonts w:ascii="Times New Roman" w:hAnsi="Times New Roman" w:cs="Times New Roman"/>
          <w:sz w:val="28"/>
          <w:szCs w:val="28"/>
        </w:rPr>
        <w:t>21</w:t>
      </w:r>
      <w:r w:rsidRPr="00365CE8">
        <w:rPr>
          <w:rFonts w:ascii="Times New Roman" w:hAnsi="Times New Roman" w:cs="Times New Roman"/>
          <w:sz w:val="28"/>
          <w:szCs w:val="28"/>
        </w:rPr>
        <w:t xml:space="preserve">. </w:t>
      </w:r>
      <w:r w:rsidR="00335C00" w:rsidRPr="00365CE8">
        <w:rPr>
          <w:rFonts w:ascii="Times New Roman" w:hAnsi="Times New Roman" w:cs="Times New Roman"/>
          <w:sz w:val="28"/>
          <w:szCs w:val="28"/>
        </w:rPr>
        <w:t>Групування за напрямами пропонованих заходів підвищення інвестиційної привабливості України</w:t>
      </w:r>
    </w:p>
    <w:p w14:paraId="0C64A5F8" w14:textId="77777777" w:rsidR="00C77799" w:rsidRPr="00365CE8" w:rsidRDefault="00C77799" w:rsidP="0028541E">
      <w:pPr>
        <w:spacing w:after="0" w:line="240" w:lineRule="auto"/>
        <w:ind w:firstLine="709"/>
        <w:rPr>
          <w:rFonts w:ascii="Times New Roman" w:hAnsi="Times New Roman" w:cs="Times New Roman"/>
          <w:i/>
          <w:sz w:val="24"/>
          <w:szCs w:val="24"/>
        </w:rPr>
      </w:pPr>
      <w:r w:rsidRPr="00365CE8">
        <w:rPr>
          <w:rFonts w:ascii="Times New Roman" w:hAnsi="Times New Roman" w:cs="Times New Roman"/>
          <w:i/>
          <w:sz w:val="24"/>
          <w:szCs w:val="24"/>
        </w:rPr>
        <w:t xml:space="preserve">Джерело: побудовано </w:t>
      </w:r>
      <w:r w:rsidR="00335C00" w:rsidRPr="00365CE8">
        <w:rPr>
          <w:rFonts w:ascii="Times New Roman" w:hAnsi="Times New Roman" w:cs="Times New Roman"/>
          <w:i/>
          <w:sz w:val="24"/>
          <w:szCs w:val="24"/>
        </w:rPr>
        <w:t>автором на основі [12-20, 33-35]</w:t>
      </w:r>
    </w:p>
    <w:p w14:paraId="0C3FD7CA" w14:textId="77777777" w:rsidR="00322E39" w:rsidRPr="00365CE8" w:rsidRDefault="00466AF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lastRenderedPageBreak/>
        <w:t>Отже, д</w:t>
      </w:r>
      <w:r w:rsidR="00322E39" w:rsidRPr="00365CE8">
        <w:rPr>
          <w:rFonts w:ascii="Times New Roman" w:hAnsi="Times New Roman" w:cs="Times New Roman"/>
          <w:sz w:val="28"/>
        </w:rPr>
        <w:t xml:space="preserve">ля підвищення інвестиційної привабливості України враховуючи поточну ситуацію, можна вживати такі заходи: посилення боротьби з інфляцією, створення ефективного правового механізму захисту іноземних інвесторів, підвищення регіонального інвестиційного потенціалу для рівномірного розподілу інвестицій по всій країні, боротьба з корупцією та її усунення, удосконалення правового середовища (вирішення технічних перешкод митного оформлення та компенсація податку на додану вартість), зниження ризиків інвестицій під час воєнного конфлікту, забезпечення політичної стабільності, впровадження нових заходів для розвитку малого та середнього бізнесу, інтенсифікація заходів протидії </w:t>
      </w:r>
      <w:proofErr w:type="spellStart"/>
      <w:r w:rsidR="00322E39" w:rsidRPr="00365CE8">
        <w:rPr>
          <w:rFonts w:ascii="Times New Roman" w:hAnsi="Times New Roman" w:cs="Times New Roman"/>
          <w:sz w:val="28"/>
        </w:rPr>
        <w:t>тінізації</w:t>
      </w:r>
      <w:proofErr w:type="spellEnd"/>
      <w:r w:rsidR="00322E39" w:rsidRPr="00365CE8">
        <w:rPr>
          <w:rFonts w:ascii="Times New Roman" w:hAnsi="Times New Roman" w:cs="Times New Roman"/>
          <w:sz w:val="28"/>
        </w:rPr>
        <w:t xml:space="preserve"> економіки.</w:t>
      </w:r>
    </w:p>
    <w:p w14:paraId="084618CF" w14:textId="77777777" w:rsidR="00D3047A" w:rsidRPr="00365CE8" w:rsidRDefault="00D3047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Отже, несвоєчасне використання значного потенціалу для привертання інвестицій українською економікою визначається дією ряду несприятливих факторів, більшість з яких мають суб’єктивний характер. Зокрема, повільний темп структурних реформ, обумовлений низькою політичною волею відповідних чиновників, високий рівень корупції та неефективність заходів протидії цьому явищу, зазначаються як ключові перешкоди. Інші об'єктивні фактори важко змінити, але суб'єктивні чинники можна ефективно мінімізувати або нейтралізувати.</w:t>
      </w:r>
    </w:p>
    <w:p w14:paraId="04326810" w14:textId="77777777" w:rsidR="00D3047A" w:rsidRPr="00365CE8" w:rsidRDefault="00D3047A"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Однак, враховуючи сучасний контекст повномасштабного воєнного вторгнення, обставини стають ще більш складними. У таких умовах необхідно розглядати інвестиційну привабливість України в контексті загальноєвропейської безпеки та геополітичної стабільності. Запровадження адекватних заходів суб’єктивного характеру, спрямованих на поліпшення економічної ситуації та внутрішніх реформ, тепер також виглядає як стратегічний крок для нейтралізації впливу зовнішніх загроз. Подальше розглядання та наукові дослідження в цьому напрямі можуть визначити конкретні заходи для вдосконалення інвестиційного клімату в Україні в умовах сучасних викликів та неспокійного геополітичного середовища.</w:t>
      </w:r>
    </w:p>
    <w:p w14:paraId="1CCEDD65" w14:textId="77777777" w:rsidR="00F33C68" w:rsidRPr="00365CE8" w:rsidRDefault="00F33C68" w:rsidP="00F33C68">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На тлі подій 2022 року, таких як повномасштабне вторгнення Росії, інвестиційна позиція України може вимагати системних заходів для відновлення та покращення інвестиційного клімату. Відновлення та зміцнення внутрішньої безпеки та стабільності важливо для збереження довіри інвесторів. Зусилля для забезпечення безпеки бізнесу та іноземних інвесторів, а також робота над прогнозованістю управління в ситуаціях непевності, буде ключовим чинником.</w:t>
      </w:r>
    </w:p>
    <w:p w14:paraId="47102C48" w14:textId="77777777" w:rsidR="00F33C68" w:rsidRPr="00365CE8" w:rsidRDefault="00F33C68" w:rsidP="00F33C68">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Забезпечення ефективної комунікації з інвесторами та широкою громадськістю щодо заходів зі вдосконалення інвестиційного клімату та планів з відновлення економіки. Визначення конкретних заходів та стимулів для підтримки іноземних та внутрішніх підприємств, зокрема заходи з підтримки постраждалих від конфлікту галузей. Проведення реформ у сфері регулювання та податкової політики з метою зменшення адміністративних бар'єрів для бізнесу та підвищення прозорості.</w:t>
      </w:r>
    </w:p>
    <w:p w14:paraId="527F8FA9" w14:textId="77777777" w:rsidR="00F33C68" w:rsidRPr="00365CE8" w:rsidRDefault="00F33C68" w:rsidP="00F33C68">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Зосередження на розвитку та прискоренні інфраструктурних проектів, які можуть стати каталізаторами економічного зростання та привернення іноземних інвестицій. Активне залучення до міжнародних </w:t>
      </w:r>
      <w:proofErr w:type="spellStart"/>
      <w:r w:rsidRPr="00365CE8">
        <w:rPr>
          <w:rFonts w:ascii="Times New Roman" w:hAnsi="Times New Roman" w:cs="Times New Roman"/>
          <w:sz w:val="28"/>
        </w:rPr>
        <w:t>партнерств</w:t>
      </w:r>
      <w:proofErr w:type="spellEnd"/>
      <w:r w:rsidRPr="00365CE8">
        <w:rPr>
          <w:rFonts w:ascii="Times New Roman" w:hAnsi="Times New Roman" w:cs="Times New Roman"/>
          <w:sz w:val="28"/>
        </w:rPr>
        <w:t xml:space="preserve"> та </w:t>
      </w:r>
      <w:r w:rsidRPr="00365CE8">
        <w:rPr>
          <w:rFonts w:ascii="Times New Roman" w:hAnsi="Times New Roman" w:cs="Times New Roman"/>
          <w:sz w:val="28"/>
        </w:rPr>
        <w:lastRenderedPageBreak/>
        <w:t>співпраці для залучення фінансової підтримки, технічної допомоги та інвестиційних можливостей.</w:t>
      </w:r>
    </w:p>
    <w:p w14:paraId="02B72781" w14:textId="77777777" w:rsidR="00F33C68" w:rsidRPr="00365CE8" w:rsidRDefault="00F33C68" w:rsidP="00F33C68">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Розробка та впровадження довгострокових стратегій та політик для стабільної та сталої інвестиційної привабливості. Ці напрями мають на меті не лише залучення нових інвестицій, але й збереження інвестиційного капіталу в умовах кризисного геополітичного контексту.</w:t>
      </w:r>
    </w:p>
    <w:p w14:paraId="477342ED" w14:textId="77777777" w:rsidR="009D4BB3" w:rsidRPr="00365CE8" w:rsidRDefault="009D4BB3"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Повномасштабне вторгнення та воєнні дії негативно впливають на інвестиційну привабливість України з ряду причин: Воєнний конфлікт породжує невизначеність щодо політичної та економічної ситуації в країні, що робить інвесторів обережними та неохочими ризикувати. </w:t>
      </w:r>
    </w:p>
    <w:p w14:paraId="2BDB4762" w14:textId="77777777" w:rsidR="009D4BB3" w:rsidRPr="00365CE8" w:rsidRDefault="009D4BB3"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Воєнна ситуація призводить до загального зниження економічної активності, що може вплинути на прибутковість інвестицій та діяльність підприємств. Воєнні дії призводять до значних збитків та руйнувань в економіці, що зменшує привабливість країни для інвесторів, оскільки стає несамовитою задачею забезпечити стабільність та нормальний бізнес-клімат. Інвестори стають більш обережними через збільшення ризиків, пов'язаних із нестабільністю, можливими втратами і несхваленням ринкових очікувань. Воєнний конфлікт може призвести до втрати довіри до урядових інституцій та збільшення корупції, що робить інвестиції менш привабливими.</w:t>
      </w:r>
    </w:p>
    <w:p w14:paraId="164E3772" w14:textId="77777777" w:rsidR="001C1D4C" w:rsidRPr="00365CE8" w:rsidRDefault="009D4BB3"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Отже, повномасштабне вторгнення та воєнні дії роблять країну менш привабливою для інвестицій, і вони можуть потребувати значних зусиль для відновлення інвестиційного клімату та привертання іноземних інвестицій після завершення конфлікту.</w:t>
      </w:r>
    </w:p>
    <w:p w14:paraId="51B1D6C5" w14:textId="77777777" w:rsidR="009D4BB3" w:rsidRPr="00365CE8" w:rsidRDefault="009D4BB3" w:rsidP="00466AF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Зважаючи на низькі рейтинги інвестиційної привабливості України на міжнародному рівні та повномасштабне вторгнення, залучення інвесторів до української економіки виявляється складним завданням. Переконати інвесторів направляти фінансові ресурси на задоволення потреб української економіки може бути досягнуто лише через підвищену інформаційну відкритість, надійність та повноту фінансової звітності суб'єктів господарювання.</w:t>
      </w:r>
    </w:p>
    <w:p w14:paraId="2E8932E9" w14:textId="77777777" w:rsidR="00807323" w:rsidRPr="00365CE8" w:rsidRDefault="00807323" w:rsidP="0028541E">
      <w:pPr>
        <w:spacing w:after="0" w:line="240" w:lineRule="auto"/>
        <w:rPr>
          <w:rFonts w:ascii="Times New Roman" w:hAnsi="Times New Roman" w:cs="Times New Roman"/>
          <w:b/>
          <w:bCs/>
          <w:sz w:val="28"/>
          <w:szCs w:val="28"/>
        </w:rPr>
      </w:pPr>
      <w:r w:rsidRPr="00365CE8">
        <w:rPr>
          <w:rFonts w:ascii="Times New Roman" w:hAnsi="Times New Roman" w:cs="Times New Roman"/>
          <w:b/>
          <w:bCs/>
          <w:sz w:val="28"/>
          <w:szCs w:val="28"/>
        </w:rPr>
        <w:br w:type="page"/>
      </w:r>
    </w:p>
    <w:p w14:paraId="6072EB56" w14:textId="77777777" w:rsidR="00807323" w:rsidRPr="00365CE8" w:rsidRDefault="00807323" w:rsidP="0028541E">
      <w:pPr>
        <w:spacing w:after="0" w:line="240" w:lineRule="auto"/>
        <w:jc w:val="center"/>
        <w:rPr>
          <w:rFonts w:ascii="Times New Roman" w:hAnsi="Times New Roman" w:cs="Times New Roman"/>
          <w:b/>
          <w:bCs/>
          <w:sz w:val="28"/>
          <w:szCs w:val="28"/>
        </w:rPr>
      </w:pPr>
      <w:r w:rsidRPr="00365CE8">
        <w:rPr>
          <w:rFonts w:ascii="Times New Roman" w:hAnsi="Times New Roman" w:cs="Times New Roman"/>
          <w:b/>
          <w:bCs/>
          <w:sz w:val="28"/>
          <w:szCs w:val="28"/>
        </w:rPr>
        <w:lastRenderedPageBreak/>
        <w:t>ВИСНОВКИ ТА РЕКОМЕНДАЦІЇ</w:t>
      </w:r>
    </w:p>
    <w:p w14:paraId="33BB2227" w14:textId="77777777" w:rsidR="0060697B" w:rsidRPr="00365CE8" w:rsidRDefault="0060697B" w:rsidP="0028541E">
      <w:pPr>
        <w:spacing w:after="0" w:line="240" w:lineRule="auto"/>
        <w:ind w:firstLine="709"/>
        <w:jc w:val="both"/>
        <w:rPr>
          <w:rFonts w:ascii="Times New Roman" w:hAnsi="Times New Roman" w:cs="Times New Roman"/>
          <w:sz w:val="28"/>
          <w:szCs w:val="28"/>
        </w:rPr>
      </w:pPr>
    </w:p>
    <w:p w14:paraId="2D19F8D4" w14:textId="77777777" w:rsidR="0050288A" w:rsidRPr="00365CE8" w:rsidRDefault="0075435A" w:rsidP="0050288A">
      <w:pPr>
        <w:spacing w:after="0" w:line="240" w:lineRule="auto"/>
        <w:ind w:firstLine="709"/>
        <w:jc w:val="both"/>
        <w:rPr>
          <w:rFonts w:ascii="Times New Roman" w:eastAsia="Calibri" w:hAnsi="Times New Roman" w:cs="Times New Roman"/>
          <w:b/>
          <w:sz w:val="28"/>
        </w:rPr>
      </w:pPr>
      <w:r w:rsidRPr="00365CE8">
        <w:rPr>
          <w:rFonts w:ascii="Times New Roman" w:hAnsi="Times New Roman" w:cs="Times New Roman"/>
          <w:sz w:val="28"/>
          <w:szCs w:val="28"/>
        </w:rPr>
        <w:t>В результаті виконання кваліфікаційної роботи було досягнуто поставлену мету, а саме</w:t>
      </w:r>
      <w:r w:rsidR="0050288A" w:rsidRPr="00365CE8">
        <w:rPr>
          <w:rFonts w:ascii="Times New Roman" w:hAnsi="Times New Roman" w:cs="Times New Roman"/>
          <w:sz w:val="28"/>
          <w:szCs w:val="28"/>
        </w:rPr>
        <w:t xml:space="preserve"> </w:t>
      </w:r>
      <w:r w:rsidR="0050288A" w:rsidRPr="00365CE8">
        <w:rPr>
          <w:rFonts w:ascii="Times New Roman" w:eastAsia="Calibri" w:hAnsi="Times New Roman" w:cs="Times New Roman"/>
          <w:sz w:val="28"/>
        </w:rPr>
        <w:t xml:space="preserve">проведено </w:t>
      </w:r>
      <w:r w:rsidR="0050288A" w:rsidRPr="00365CE8">
        <w:rPr>
          <w:rFonts w:ascii="Times New Roman" w:hAnsi="Times New Roman" w:cs="Times New Roman"/>
          <w:sz w:val="28"/>
          <w:szCs w:val="28"/>
        </w:rPr>
        <w:t>оцінку інвестиційної привабливості України та визначено основні напрями підвищення інвестиційної привабливості країни.</w:t>
      </w:r>
    </w:p>
    <w:p w14:paraId="586B9B81" w14:textId="77777777" w:rsidR="0050288A" w:rsidRPr="00365CE8" w:rsidRDefault="0050288A" w:rsidP="0050288A">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Україна, як країна з великим природним багатством, вигідним географічним положенням та значним науковим та інтелектуальним потенціалом, привертає значний інтерес для співпраці з іншими країнами, зокрема для іноземних інвесторів. Це сприяє утворенню надійних та тривалих зовнішньоекономічних відносин та створює нові можливості для розвитку промисловості, сільського господарства, науково-технічної та інноваційної сфер, енергетики та інформаційних технологій.</w:t>
      </w:r>
    </w:p>
    <w:p w14:paraId="3339906F" w14:textId="77777777" w:rsidR="0050288A" w:rsidRPr="00365CE8" w:rsidRDefault="0050288A" w:rsidP="0050288A">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Однак події останнього року негативно вплинули на розвиток України та іноземні інвестиції. Зниження інвестиційної привабливості викликало економічний спад, обмеження диверсифікації внутрішньої та зовнішньої діяльності та погіршення добробуту громадян. У зв'язку з цим, вирішення питань щодо підвищення рівня інвестиційної привабливості України стає надзвичайно актуальним.</w:t>
      </w:r>
    </w:p>
    <w:p w14:paraId="4266D3BB" w14:textId="77777777" w:rsidR="0050288A" w:rsidRPr="00365CE8" w:rsidRDefault="0050288A" w:rsidP="0050288A">
      <w:pPr>
        <w:widowControl w:val="0"/>
        <w:spacing w:after="0" w:line="240" w:lineRule="auto"/>
        <w:ind w:firstLine="709"/>
        <w:jc w:val="both"/>
        <w:rPr>
          <w:rFonts w:ascii="Times New Roman" w:eastAsia="Calibri" w:hAnsi="Times New Roman" w:cs="Times New Roman"/>
          <w:b/>
          <w:sz w:val="28"/>
        </w:rPr>
      </w:pPr>
      <w:r w:rsidRPr="00365CE8">
        <w:rPr>
          <w:rFonts w:ascii="Times New Roman" w:hAnsi="Times New Roman" w:cs="Times New Roman"/>
          <w:sz w:val="28"/>
          <w:szCs w:val="28"/>
        </w:rPr>
        <w:t>Інвестиційна привабливість охоплює широкий спектр аспектів, що враховуються на різних рівнях економічної системи та визначають готовність інвесторів робити вкладення в національну економіку. Інвестиційна привабливість України є однією з ключових тем, що має теоретичний та практичний аспекти, оскільки вона суттєво впливає на темпи розвитку країни та напрямок її економічного росту. В умовах жорсткої конкуренції між країнами за інвестиційні ресурси, різноманітні заходи вживаються для підвищення привабливості України для інвесторів.</w:t>
      </w:r>
    </w:p>
    <w:p w14:paraId="7DD58BDD" w14:textId="77777777" w:rsidR="0050288A" w:rsidRPr="00365CE8" w:rsidRDefault="0050288A" w:rsidP="0050288A">
      <w:pPr>
        <w:widowControl w:val="0"/>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Інвестиційна привабливість відображає компроміс між інтересами учасників інвестиційного процесу та, з позицій національної економіки, є результатом компромісу між бажанням інвестора отримати максимальний прибуток і загальнонаціональними інтересами розвитку країни.</w:t>
      </w:r>
    </w:p>
    <w:p w14:paraId="0463A2D0"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В умовах сучасного господарювання, де конкурентна боротьба надзвичайно загострена, важливим стає здатність суб'єкта залучати інвестиції, що визначається його рівнем інвестиційної привабливості. Ця привабливість в значній мірі залежить від стабільності як зовнішнього, так і внутрішнього середовища, ефективності економічної діяльності та пріоритетів вирішуваних завдань.  Аналіз статистичної інформації свідчить про трансформаційні зрушення, але умови пандемії призвели до обмеженої позитивної динаміки чи навіть її відсутності. Оцінка розвитку інвестиційного ринку є ключовою для комплексного аналізу інвестиційної привабливості суб'єктів господарювання. Інвестиційний ринок охоплює всі форми об'єктів інвестування, враховуючи умови проведення інвестиційної діяльності на різних етапах розвитку підприємства, галузі економіки, регіону та країни</w:t>
      </w:r>
    </w:p>
    <w:p w14:paraId="7D69AD0C"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Керування інвестиційною привабливістю є складним та багатоплановим процесом, що передбачає використання різноманітних форм, методів та інструментів впливу. Ключовим аспектом цього процесу є аналіз і оцінка </w:t>
      </w:r>
      <w:r w:rsidRPr="00365CE8">
        <w:rPr>
          <w:rFonts w:ascii="Times New Roman" w:hAnsi="Times New Roman" w:cs="Times New Roman"/>
          <w:sz w:val="28"/>
          <w:szCs w:val="28"/>
        </w:rPr>
        <w:lastRenderedPageBreak/>
        <w:t>інвестиційної привабливості, зокрема за допомогою світових рейтингів. Однак, ефективність можливих заходів впливу визначається, насамперед, забезпеченням політичної та економічної стабільності, а також відновленням довіри населення та підприємств до держави та фінансово-банківських структур [13].</w:t>
      </w:r>
    </w:p>
    <w:p w14:paraId="5A209AFF" w14:textId="77777777" w:rsidR="0050288A" w:rsidRPr="00365CE8" w:rsidRDefault="0050288A" w:rsidP="0050288A">
      <w:pPr>
        <w:widowControl w:val="0"/>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Забезпечення ефективного управління інвестиційною привабливістю вимагає комплексного підходу, включаючи проведення систематичних оцінок рівня привабливості та врахування великої кількості факторів. Результати оцінок, зокрема на основі світових рейтингів, стають основою для формулювання стратегій та прийняття рішень. Однак, для ефективності впливових заходів необхідно приділяти особливу увагу відновленню довіри громадян та підприємств, що базується на забезпеченні їхньої безпеки та впевненості в стабільності економічної та політичної ситуації</w:t>
      </w:r>
    </w:p>
    <w:p w14:paraId="2FE7095F"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Стимулювання збільшення обсягів інвестування, диверсифікація джерел інвестування, а також ресурсне та інноваційне забезпечення інвестиційного процесу можуть призвести до зростання виробництва продукції з високим рівнем доданої вартості в різних галузях економіки. Це, в свою чергу, сприятиме підвищенню пропозиції вітчизняних товарів. Збільшення інвестиційної привабливості та позитивна динаміка обсягів інвестицій можуть також сприяти зростанню доходів населення України.</w:t>
      </w:r>
    </w:p>
    <w:p w14:paraId="4D5F4818"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Таким чином, інвестиційна привабливість стає ключовим показником ефективності економічного розвитку країни, і її формування залежить від взаємодії державних та приватних структур. Динаміка та складність загальнонаціонального соціально-економічного середовища впливають на інвестиційну привабливість, і зміни в будь-якому елементі можуть призвести до позитивних чи негативних зрушень. Таким чином, інвестиційну привабливість слід розглядати як важливу частину загальноекономічної політики, особливо в умовах структурних змін у національній економіці.</w:t>
      </w:r>
    </w:p>
    <w:p w14:paraId="5B5D9E9A"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Отже, аналізуючи питання інвестиційної привабливості з точки зору її визначальних чинників, доцільно розглядати її схожість з загальним бізнес-середовищем національної економіки. Це підкреслює важливість інвестиційної привабливості як показника розвитку економіки, особливо в умовах структурних змін.</w:t>
      </w:r>
    </w:p>
    <w:p w14:paraId="319A6AA3"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Згідно із рейтингом конкурентоспроможності, що був опублікований Інститутом розвитку менеджменту, Україна відзначала негативний тренд у період з 2013 по 2021 роки. Однак загальна динаміка свідчить про відновлення її конкурентоспроможних показників на світовому ринку до кінця 2021 року. Аналіз рейтингу економічної свободи розкриває вражаючі результати, хоча визнається, що є ще чимало завдань, які належить вирішити в цьому аспекті. Маючи на увазі ці виклики, слід визнати, що підняття Україною з 31 позиції на початку вивченого періоду до кінця 2021 року є помітним досягненням, вказівкою на те, що країна рухається вперед у напрямку покращення своєї інвестиційної привабливості.</w:t>
      </w:r>
    </w:p>
    <w:p w14:paraId="0BF9D040"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Незважаючи на ці позитивні тенденції, необхідно визначити області, де можна подальше вдосконалення. Зокрема, важливо зосередитися на заходах, </w:t>
      </w:r>
      <w:r w:rsidRPr="00365CE8">
        <w:rPr>
          <w:rFonts w:ascii="Times New Roman" w:hAnsi="Times New Roman" w:cs="Times New Roman"/>
          <w:sz w:val="28"/>
          <w:szCs w:val="28"/>
        </w:rPr>
        <w:lastRenderedPageBreak/>
        <w:t>спрямованих на покращення економічної свободи та інших аспектів, що визначають конкурентоспроможність. Досягнення в цих сферах може значно підвищити позиції України в світовому економічному вимірі. Загалом, результати свідчать про певний прогрес, але важливо продовжувати роботу над удосконаленням конкурентоспроможності для стабільного розвитку країни в майбутньому.</w:t>
      </w:r>
    </w:p>
    <w:p w14:paraId="09B6E359"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Проте повномасштабне воєнне вторгнення критично погіршує попередній досягнутий прогрес щодо підвищення інвестиційної привабливості України. Повномасштабне вторгнення призвело до загострення політичної та економічної нестабільності в країні. Це створює  невизначеність та ризики для інвесторів, які зазвичай уникають регіонів з нестабільним політичним та економічним кліматом. Воєнні дії призводять до серйозних збоїв у функціонуванні економіки, що включає знищення інфраструктури, зменшення виробництва та загострення економічних труднощів. Це впливає на виробничі показники та знизити інвестиційний інтерес.</w:t>
      </w:r>
    </w:p>
    <w:p w14:paraId="483C745F"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Повномасштабне воєнне вторгнення створює атмосферу невпевненості та страху серед бізнес-спільноти. Інвестори, які раніше виявляли інтерес до України, можуть втратити довіру і вагатися в непередбачуваності інвестиційного середовища. Військові конфлікти супроводжуються великими людськими та фінансовими втратами. Знищення ресурсів, що могли б бути використані для розвитку та приваблення інвестицій, може ускладнити відновлення економіки.</w:t>
      </w:r>
    </w:p>
    <w:p w14:paraId="52492C57"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Враховуючи ці чинники, можна визначити, що повномасштабне воєнне вторгнення суттєво підірвало попередні зусилля України щодо створення сприятливого інвестиційного клімату, а також викликало серйозні виклики для подальшого залучення інвестицій та розвитку економіки України.</w:t>
      </w:r>
    </w:p>
    <w:p w14:paraId="5C36D88D" w14:textId="77777777" w:rsidR="0050288A" w:rsidRPr="00365CE8" w:rsidRDefault="0050288A" w:rsidP="0050288A">
      <w:pPr>
        <w:spacing w:after="0" w:line="240" w:lineRule="auto"/>
        <w:ind w:firstLine="708"/>
        <w:jc w:val="both"/>
        <w:rPr>
          <w:rFonts w:ascii="Times New Roman" w:eastAsia="Times New Roman" w:hAnsi="Times New Roman" w:cs="Times New Roman"/>
          <w:bCs/>
          <w:sz w:val="28"/>
          <w:szCs w:val="28"/>
          <w:lang w:eastAsia="uk-UA"/>
        </w:rPr>
      </w:pPr>
      <w:r w:rsidRPr="00365CE8">
        <w:rPr>
          <w:rFonts w:ascii="Times New Roman" w:eastAsia="Times New Roman" w:hAnsi="Times New Roman" w:cs="Times New Roman"/>
          <w:bCs/>
          <w:sz w:val="28"/>
          <w:szCs w:val="28"/>
          <w:lang w:eastAsia="uk-UA"/>
        </w:rPr>
        <w:t>Серед галузей економіки найпривабливішими для інвесторів є енергетика, логістика та інфраструктура. Енергетичний сектор визначається як один із найбільш важливих і великих секторів, де інновації та вдосконалення можуть значно підвищити його ефективність та стійкість. Логістичні системи та інфраструктурні проекти також відіграють важливу роль у привабливості країни для інвесторів, забезпечуючи оптимальний рух товарів та послуг. Додатково, агропромисловий комплекс, з урахуванням потреб світового ринку, представляє значний потенціал для інвестицій. Оборонно-промисловий комплекс важливий з точки зору національної безпеки, а також може бути привабливим для інвесторів, які цінують високу технологічність та інноваційні рішення.</w:t>
      </w:r>
    </w:p>
    <w:p w14:paraId="3F1E75FC" w14:textId="77777777" w:rsidR="0050288A" w:rsidRPr="00365CE8" w:rsidRDefault="0050288A" w:rsidP="0050288A">
      <w:pPr>
        <w:widowControl w:val="0"/>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 xml:space="preserve">Ці перспективні галузі визначаються їхньою здатністю генерувати продукцію, яка відповідає високим міжнародним стандартам, та створювати значну додану вартість. Однак, не дивлячись на їхню потужність, існують виклики і бар'єри, які обмежують іноземних інвесторів у розгляді можливостей для збільшення інвестицій у українську економіку. Ці бар'єри можуть включати адміністративні обмеження, податкові або правові перешкоди, а також нестабільність на рівні бізнес-середовища. Подолання цих викликів та зменшення таких бар'єрів є ключовим завданням для підвищення інвестиційної </w:t>
      </w:r>
      <w:r w:rsidRPr="00365CE8">
        <w:rPr>
          <w:rFonts w:ascii="Times New Roman" w:hAnsi="Times New Roman" w:cs="Times New Roman"/>
          <w:sz w:val="28"/>
          <w:szCs w:val="28"/>
        </w:rPr>
        <w:lastRenderedPageBreak/>
        <w:t>привабливості України та забезпечення стійкого розвитку в перспективі.</w:t>
      </w:r>
    </w:p>
    <w:p w14:paraId="0EA11972"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У 2020 році Полтавська область, м. Київ, Миколаївська, Харківська, Чернігівська та Одеська області виявилися найбільш привабливими для іноземних інвесторів, що підтверджується позитивною динамікою обсягів прямих іноземних інвестицій (ПІІ) у цих регіонах.</w:t>
      </w:r>
    </w:p>
    <w:p w14:paraId="5559D62C"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Незважаючи на менший рівень привабливості, Хмельницька, Волинська, Закарпатська, Тернопільська, Херсонська, Кіровоградська та Чернівецька області залишаються потенційно цікавими для іноземних інвестицій, що вказує на можливості для розвитку в цих регіонах.</w:t>
      </w:r>
    </w:p>
    <w:p w14:paraId="727A32D1"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Однак залишається проблематичним стан іноземних інвестицій в інших областях, де спостерігався відтік іноземного капіталу, що призвело до від'ємних обсягів ПІІ. Це може слугувати сигналом для необхідності впровадження заходів та стратегій, спрямованих на покращення інвестиційної привабливості цих регіонів для того, щоб привертати і утримувати іноземний капітал.</w:t>
      </w:r>
    </w:p>
    <w:p w14:paraId="54FC7E26"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У 2021р. найпривабливішими регіонами для іноземного інвестування в Україні були Дніпропетровська область та м. Київ, причому варто зазначити, що обсяг залучених ПІІ перевищував максимальні обсяги 2020р. майже в три рази. Також до числа привабливих для іноземних інвесторів регіонів входили Полтавська, Запорізька, Київська, Івано-Франківська, Донецька, Черкаська, Хмельницька, Миколаївська, Чернігівська, Харківська та Херсонська області.</w:t>
      </w:r>
    </w:p>
    <w:p w14:paraId="75806C51"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В цілому варто зазначити, що крім Сумської та Луганської області, всі інші регіони мали додатне значення кількості отриманих іноземних інвестицій. При тому крім Тернопільської та Чернівецькою – всі інші мали рівень ПІІ, який перевищував обсяг ПІІ Волинської області у 2020р.,яка завершувала рейтинг 9-ми найкращих областей для  іноземного інвестування. Тобто варто зазначити, що інвестиційна привабливість України у 2021р. дуже помітно покращилась.</w:t>
      </w:r>
    </w:p>
    <w:p w14:paraId="5AC84A92" w14:textId="77777777" w:rsidR="0050288A" w:rsidRPr="00365CE8" w:rsidRDefault="0050288A" w:rsidP="0050288A">
      <w:pPr>
        <w:spacing w:after="0" w:line="240" w:lineRule="auto"/>
        <w:ind w:firstLine="708"/>
        <w:jc w:val="both"/>
        <w:rPr>
          <w:rFonts w:ascii="Times New Roman" w:hAnsi="Times New Roman" w:cs="Times New Roman"/>
          <w:sz w:val="28"/>
          <w:szCs w:val="28"/>
        </w:rPr>
      </w:pPr>
      <w:r w:rsidRPr="00365CE8">
        <w:rPr>
          <w:rFonts w:ascii="Times New Roman" w:hAnsi="Times New Roman" w:cs="Times New Roman"/>
          <w:sz w:val="28"/>
          <w:szCs w:val="28"/>
        </w:rPr>
        <w:t xml:space="preserve">У 2022р. найпривабливішим регіоном було лише м. Київ. Вже друга позиція – Полтавська область поступається йому майже вдвічі. Доволі привабливими для іноземного інвестування у 2022р. були Полтавська, Львівська та вінницька області. При цьому в цілому варто зазначити помітно зниження ПІІ порівняно з попереднім роком. Якщо друга група привабливих областей у 2021р. отримувала ПІІ у обсязі 500-700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xml:space="preserve">. США, то у 2022р. ці показники становили менше 500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xml:space="preserve">. США. Третя група найбільш привабливих областей складається з  Хмельницької Тернопільської, Волинської, Кіровоградської та  Чернігівської областей, де обсяг ПІІ становив від 55 до 87 млрд. </w:t>
      </w:r>
      <w:proofErr w:type="spellStart"/>
      <w:r w:rsidRPr="00365CE8">
        <w:rPr>
          <w:rFonts w:ascii="Times New Roman" w:hAnsi="Times New Roman" w:cs="Times New Roman"/>
          <w:sz w:val="28"/>
          <w:szCs w:val="28"/>
        </w:rPr>
        <w:t>дол</w:t>
      </w:r>
      <w:proofErr w:type="spellEnd"/>
      <w:r w:rsidRPr="00365CE8">
        <w:rPr>
          <w:rFonts w:ascii="Times New Roman" w:hAnsi="Times New Roman" w:cs="Times New Roman"/>
          <w:sz w:val="28"/>
          <w:szCs w:val="28"/>
        </w:rPr>
        <w:t>. США. Варто зазначити, що за Київською, Миколаївською, Житомирською, черкаською, Харківською, Івано-Франківською, Запорізькою, Рівненською та Дніпропетровською областями спостерігався відтік іноземного інвестиційного капіталу, і обсяги ПІІ були від’ємні.</w:t>
      </w:r>
    </w:p>
    <w:p w14:paraId="50E1B9A6" w14:textId="77777777" w:rsidR="0050288A" w:rsidRPr="00365CE8" w:rsidRDefault="0050288A" w:rsidP="0050288A">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 xml:space="preserve">Розглядаючи дані рейтингів областей України по привабливості для іноземних інвесторів за 2020-2022 роки, можна зробити кілька висновків щодо динаміки інвестиційної привабливості областей України та їх змін в кількісному вираженні. У 2020 році Полтавська область, м. Київ та Миколаївська область визначалися як лідери за інвестиційною привабливістю. </w:t>
      </w:r>
      <w:r w:rsidRPr="00365CE8">
        <w:rPr>
          <w:rFonts w:ascii="Times New Roman" w:hAnsi="Times New Roman" w:cs="Times New Roman"/>
          <w:sz w:val="28"/>
          <w:szCs w:val="28"/>
        </w:rPr>
        <w:lastRenderedPageBreak/>
        <w:t>Однак у 2021 році ситуація кардинально змінилася, і Дніпропетровська область стала лідером, перевершивши м. Київ та Полтавську область. У 2022 році динаміка рейтингу знову різко змінилася, і лідерами стали м. Київ, Полтавська, Львівська та Вінницька області. Варто відзначити, що західні області, такі як Львівська та Вінницька, показали різке підняття у рейтингу у 2022 році. Наприклад, Львівська область, яка раніше займала 15-ту позицію, раптово піднялася на 3-тю позицію. Також Вінницька область піднялася на 4-те місце порівняно зі своїм попереднім рейтингом. З іншого боку, Харківська область втрачала свої позиції, знижуючись з 4-тої у 2020 році до 18-тої у 2022 році. Так само, Запорізька та Дніпропетровська області, хоча показали різке підвищення у 2021 році, суттєво втратили свої позиції у 2022 році. Запорізька область, яка раніше була на 20-му місці в 2020 році та на 4-тому в 2021 році, опинилася на 20-тій позиції у 2022 році. Дніпропетровська область також пережила великі зміни, знаходячись на 25-тій позиції в 2020 році, лідируючи в 2021 році і опинившись на 22-й позиції у 2022 році.</w:t>
      </w:r>
    </w:p>
    <w:p w14:paraId="7E9C03BF" w14:textId="77777777" w:rsidR="0050288A" w:rsidRPr="00365CE8" w:rsidRDefault="0050288A" w:rsidP="0050288A">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rPr>
        <w:t xml:space="preserve">У 2019 році лідерами з іноземного інвестування в Україну виділялись країни Європейського Союзу (сумарно) та Кіпр, їхні обсяги інвестицій в Україну перевищували обсяги від всіх інших країн, представлених у рейтингу, у 4-10 разів. Зокрема, країни ЄС узяли на себе значну частку іноземних інвестицій в Україну, і їхні вклади були вагомим чинником для економічного розвитку країни. Особливу роль в цьому відіграв Кіпр, обсяги інвестицій від якого виявилися в 4-10 разів більшими порівняно з іншими країнами у рейтингу. Крім того, в 2019 році до числа лідерів із залученням іноземних інвестицій в Україну також входили Нідерланди, які відзначалися значним обсягом інвестицій та виступали ключовим інвестором. Росія також фігурувала у списку основних іноземних інвесторів в Україну, проте 2019 рік визначився як останній рік, коли вона потрапляла у перелік основних іноземних інвесторів України, оскільки наступні роки призвели до суттєвих змін у зовнішньоекономічних відносинах між країнами. Крім того, серед лідерів також були Швейцарія, Польща, Угорщина, Люксембург, Англія та Франція, що свідчило про різноманітність джерел іноземних інвестицій та широкий спектр міжнародних </w:t>
      </w:r>
      <w:proofErr w:type="spellStart"/>
      <w:r w:rsidRPr="00365CE8">
        <w:rPr>
          <w:rFonts w:ascii="Times New Roman" w:hAnsi="Times New Roman" w:cs="Times New Roman"/>
          <w:sz w:val="28"/>
        </w:rPr>
        <w:t>партнерств</w:t>
      </w:r>
      <w:proofErr w:type="spellEnd"/>
      <w:r w:rsidRPr="00365CE8">
        <w:rPr>
          <w:rFonts w:ascii="Times New Roman" w:hAnsi="Times New Roman" w:cs="Times New Roman"/>
          <w:sz w:val="28"/>
        </w:rPr>
        <w:t xml:space="preserve"> України на той час.</w:t>
      </w:r>
    </w:p>
    <w:p w14:paraId="4248AC8C" w14:textId="77777777" w:rsidR="0050288A" w:rsidRPr="00365CE8" w:rsidRDefault="0050288A" w:rsidP="0050288A">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У 2020 році в іноземне інвестування в Україну відзначалися Швейцарія, що вирізнялася вражаючими обсягами прямих іноземних інвестицій (ПІІ) в 2,5 рази більше, ніж будь-яка інша країна у рейтингу. Їй слідували Англія та Люксембург.</w:t>
      </w:r>
    </w:p>
    <w:p w14:paraId="791061EE" w14:textId="77777777" w:rsidR="0050288A" w:rsidRPr="00365CE8" w:rsidRDefault="0050288A" w:rsidP="0050288A">
      <w:pPr>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У 2020 році до числа впливових інвесторів приєднались Польща, Франція, Гонконг, Угорщина та Туреччина. Важливо відзначити, що обсяги прямих іноземних інвестицій від кожної з цих країн зменшилися майже в 10 разів, що є результатом світової кризи, спричиненої пандемією COVID-19.</w:t>
      </w:r>
    </w:p>
    <w:p w14:paraId="0489D6F5"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Лідерами з іноземного інвестування в Україну у 2021р.  знову стають країни ЄС (сумарно) та Кіпр, обсяги інвестицій від яких в 3-7 разів перевищували обсяги від всіх інших країн, представлених у рейтингу. Крім них до лідерів з іноземного інвестування в Україну у 2019р. можна було віднести  Нідерланди, Німеччину, Швейцарію, США,  Люксембург Польщу, Англію та </w:t>
      </w:r>
      <w:r w:rsidRPr="00365CE8">
        <w:rPr>
          <w:rFonts w:ascii="Times New Roman" w:hAnsi="Times New Roman" w:cs="Times New Roman"/>
          <w:sz w:val="28"/>
        </w:rPr>
        <w:lastRenderedPageBreak/>
        <w:t xml:space="preserve">Францію. Хоча в цілому структура основних країн інвесторів у 2021р. доволі подібна до 2019р., проте варто зазначити, що з переліку основних інверсорів зникає Угорщина та </w:t>
      </w:r>
      <w:proofErr w:type="spellStart"/>
      <w:r w:rsidRPr="00365CE8">
        <w:rPr>
          <w:rFonts w:ascii="Times New Roman" w:hAnsi="Times New Roman" w:cs="Times New Roman"/>
          <w:sz w:val="28"/>
        </w:rPr>
        <w:t>росія</w:t>
      </w:r>
      <w:proofErr w:type="spellEnd"/>
      <w:r w:rsidRPr="00365CE8">
        <w:rPr>
          <w:rFonts w:ascii="Times New Roman" w:hAnsi="Times New Roman" w:cs="Times New Roman"/>
          <w:sz w:val="28"/>
        </w:rPr>
        <w:t xml:space="preserve">, натомість з’являються США  та Німеччина. Обсяги ПІІ повертаються до значень доповідного 2019р. та трохи перевищують їх. </w:t>
      </w:r>
    </w:p>
    <w:p w14:paraId="37083345"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szCs w:val="28"/>
        </w:rPr>
        <w:t>у</w:t>
      </w:r>
      <w:r w:rsidRPr="00365CE8">
        <w:rPr>
          <w:rFonts w:ascii="Times New Roman" w:hAnsi="Times New Roman" w:cs="Times New Roman"/>
          <w:sz w:val="28"/>
        </w:rPr>
        <w:t xml:space="preserve"> 2022 році під час кризи, пов’язаної із повномасштабним вторгненням  лідерами з іноземного інвестування в Україну знову стає Швейцарія, Англія та Люксембург - як і у кризисному 2020р. До групи впливових інвесторів у 2022р. також можна віднести Польщу, США, Францію, Угорщину, Австрію, Польщу, Гонконг та Данію.</w:t>
      </w:r>
    </w:p>
    <w:p w14:paraId="50A3B5BB"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При цьому варто зазначити, що обсяг ПІІ від кожної країни знову впав майже в 10 разів у порівнянні з довоєнним 2021р. тобто повторилася кризова динаміка зміни ПІІ, характерна для пандемічного 2020р. У порівнянні не кризисних років 2019 та 2021, лідерство в іноземних інвестиціях в Україну належало країнам Європейського Союзу, а також Кіпру та Нідерландам. Натомість, в проблемні роки 2020 (пандемія COVID-19) та 2022 (війна) очолюють рейтинг Швейцарія, Англія та Люксембург. Ця динаміка помітна у двох кризових періодах.</w:t>
      </w:r>
    </w:p>
    <w:p w14:paraId="337FB4B4"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Аналогічна ситуація відзначається і в обсягах прямих іноземних інвестицій (ПІІ) від країн-лідерів. У 2019 та 2021 роках інвестиції від кожної з лідерських країн становили приблизно 5 млрд доларів США. У той час як у кризові 2020 та 2022 роки ці обсяги значно зменшилися, складаючи близько 500 млн доларів та 350 млн доларів відповідно. Це ще раз вказує на вплив глобальних труднощів, таких як пандемія та війна, на інвестиційні процеси в Україні.</w:t>
      </w:r>
    </w:p>
    <w:p w14:paraId="45443B33"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Розглянемо структуру інвестицій в українську економіку. У 2019 році більша частина іноземних інвестицій направлялася на підтримку промисловості, оптової та роздрібної торгівлі, фінансової та страхової діяльності, а також операції з нерухомим майном. Варто зазначити, що у 2020 році прямі іноземні інвестиції головним чином спрямовувалися у сферу інформаційних та телекомунікаційних технологій, а також у фінансову та страхову діяльність. За 2021 рік відзначається зростанням обсягів прямих інвестицій, які на кінець року склали понад 62 мільйони доларів США. </w:t>
      </w:r>
    </w:p>
    <w:p w14:paraId="659FFD40"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Таким чином, можемо спостерігати динаміку змін у структурі іноземних інвестицій, що свідчить про адаптацію економіки до різноманітних викликів і підтримку різних галузей з року в рік.</w:t>
      </w:r>
    </w:p>
    <w:p w14:paraId="45C36567"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eastAsia="Times New Roman" w:hAnsi="Times New Roman" w:cs="Times New Roman"/>
          <w:bCs/>
          <w:sz w:val="28"/>
          <w:szCs w:val="28"/>
          <w:lang w:eastAsia="uk-UA"/>
        </w:rPr>
        <w:t xml:space="preserve">Аналізуючи рейтинги перспективних галузей для іноземних інвесторів в Україні протягом 2020-2022 років, можна визначити цікаві тенденції та зміни в структурі економіки. У 2020 році лідерство за привабливістю для іноземних інвесторів займала галузь Інформації та телекомунікацій. Однак, вже у 2021 році ця галузь втратила свою лідируючу позицію та взагалі не увійшла до першої десятки, водночас у 2022 році повернула собі третє місце. Це може бути пов'язано з різкими змінами у світі </w:t>
      </w:r>
      <w:r w:rsidRPr="00365CE8">
        <w:rPr>
          <w:rFonts w:ascii="Times New Roman" w:hAnsi="Times New Roman" w:cs="Times New Roman"/>
          <w:sz w:val="28"/>
        </w:rPr>
        <w:t>технологій та змінами в попиті на послуги цієї галузі.</w:t>
      </w:r>
    </w:p>
    <w:p w14:paraId="7416027F"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У 2021 році лідером стала промисловість, вказуючи на зростання інтересу до виробничого сектору. Однак, у 2022 році фінансова та страхова діяльність </w:t>
      </w:r>
      <w:r w:rsidRPr="00365CE8">
        <w:rPr>
          <w:rFonts w:ascii="Times New Roman" w:hAnsi="Times New Roman" w:cs="Times New Roman"/>
          <w:sz w:val="28"/>
        </w:rPr>
        <w:lastRenderedPageBreak/>
        <w:t>виборола перше місце, що може свідчити про високу стабільність та привабливість фінансових послуг для іноземних інвесторів.</w:t>
      </w:r>
    </w:p>
    <w:p w14:paraId="0B6AB96D"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Цікаво відзначити, що фінансова та страхова діяльність, яка посідала друге місце у 2020 році, піднялася на перше місце у 2022 році, проявляючи свою стратегічну важливість та високий ступінь довіри інвесторів до цього сектору. Сільське господарство залишалося стабільним гравцем, утримуючись на третьому місці в 2020 році і займаючи четверте місце як у 2021, так і у 2022 роках. Це свідчить про постійний інтерес до аграрного сектору та потенціал для розвитку сільськогосподарської сфери в Україні.</w:t>
      </w:r>
    </w:p>
    <w:p w14:paraId="185844AB"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Щодо виробництва харчових продуктів, ця галузь утримувала високі позиції, займаючи четверте місце у 2020 році та шосте у 2022 році, за винятком 2021 року, коли зайняла шосте місце. Це може вказувати на постійний попит на продукцію харчової промисловості та її важливість для експортної та внутрішньої ринкової стратегії.</w:t>
      </w:r>
    </w:p>
    <w:p w14:paraId="0D4F2532"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І активи, і пасиви </w:t>
      </w:r>
      <w:r w:rsidRPr="00365CE8">
        <w:rPr>
          <w:rFonts w:ascii="Times New Roman" w:hAnsi="Times New Roman" w:cs="Times New Roman"/>
          <w:sz w:val="28"/>
          <w:szCs w:val="28"/>
        </w:rPr>
        <w:t xml:space="preserve">міжнародної інвестиційної позиції України мають чітко виражену тенденцію до зростання, проте пасиви перевищують активи і зростають швидшими темпами. Чиста міжнародна інвестиційна позиція України є від’ємною протягом всього досліджуваного періоду, що говорить, що Україна є </w:t>
      </w:r>
      <w:proofErr w:type="spellStart"/>
      <w:r w:rsidRPr="00365CE8">
        <w:rPr>
          <w:rFonts w:ascii="Times New Roman" w:hAnsi="Times New Roman" w:cs="Times New Roman"/>
          <w:sz w:val="28"/>
          <w:szCs w:val="28"/>
        </w:rPr>
        <w:t>нетто</w:t>
      </w:r>
      <w:proofErr w:type="spellEnd"/>
      <w:r w:rsidRPr="00365CE8">
        <w:rPr>
          <w:rFonts w:ascii="Times New Roman" w:hAnsi="Times New Roman" w:cs="Times New Roman"/>
          <w:sz w:val="28"/>
          <w:szCs w:val="28"/>
        </w:rPr>
        <w:t xml:space="preserve">-реципієнтом іноземних інвестицій, проте наявна динаміка до зменшення від’ємних значень. </w:t>
      </w:r>
      <w:r w:rsidRPr="00365CE8">
        <w:rPr>
          <w:rFonts w:ascii="Times New Roman" w:hAnsi="Times New Roman" w:cs="Times New Roman"/>
          <w:sz w:val="28"/>
        </w:rPr>
        <w:t>Отримані прогнозні тренди показують зростання всіх трьох показників, тобто активів, пасивів та чистої позиції. Проте очікується більш швидке зростання активів та чистої позиції, ніж пасивів. Також варто зазначити, що точність прогнозних трендів для активів та чистої позиції доволі висока – 90% і 80% відповідно, а для Пасивів становить всього 32%, що говорить про не високу достовірність саме цього прогнозного тренду.</w:t>
      </w:r>
    </w:p>
    <w:p w14:paraId="3052B72C"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Отже, для підвищення інвестиційної привабливості України враховуючи поточну ситуацію, можна вживати такі заходи: посилення боротьби з інфляцією, створення ефективного правового механізму захисту іноземних інвесторів, підвищення регіонального інвестиційного потенціалу для рівномірного розподілу інвестицій по всій країні, боротьба з корупцією та її усунення, удосконалення правового середовища (вирішення технічних перешкод митного оформлення та компенсація податку на додану вартість), зниження ризиків інвестицій під час воєнного конфлікту, забезпечення політичної стабільності, впровадження нових заходів для розвитку малого та середнього бізнесу, інтенсифікація заходів протидії </w:t>
      </w:r>
      <w:proofErr w:type="spellStart"/>
      <w:r w:rsidRPr="00365CE8">
        <w:rPr>
          <w:rFonts w:ascii="Times New Roman" w:hAnsi="Times New Roman" w:cs="Times New Roman"/>
          <w:sz w:val="28"/>
        </w:rPr>
        <w:t>тінізації</w:t>
      </w:r>
      <w:proofErr w:type="spellEnd"/>
      <w:r w:rsidRPr="00365CE8">
        <w:rPr>
          <w:rFonts w:ascii="Times New Roman" w:hAnsi="Times New Roman" w:cs="Times New Roman"/>
          <w:sz w:val="28"/>
        </w:rPr>
        <w:t xml:space="preserve"> економіки.</w:t>
      </w:r>
    </w:p>
    <w:p w14:paraId="7049DBD0"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Отже, несвоєчасне використання значного потенціалу для привертання інвестицій українською економікою визначається дією ряду несприятливих факторів, більшість з яких мають суб’єктивний характер. Зокрема, повільний темп структурних реформ, обумовлений низькою політичною волею відповідних чиновників, високий рівень корупції та неефективність заходів протидії цьому явищу, зазначаються як ключові перешкоди. Інші об'єктивні фактори важко змінити, але суб'єктивні чинники можна ефективно мінімізувати або нейтралізувати.</w:t>
      </w:r>
    </w:p>
    <w:p w14:paraId="5C82A9AE"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Однак, враховуючи сучасний контекст повномасштабного воєнного вторгнення, обставини стають ще більш складними. У таких умовах необхідно </w:t>
      </w:r>
      <w:r w:rsidRPr="00365CE8">
        <w:rPr>
          <w:rFonts w:ascii="Times New Roman" w:hAnsi="Times New Roman" w:cs="Times New Roman"/>
          <w:sz w:val="28"/>
        </w:rPr>
        <w:lastRenderedPageBreak/>
        <w:t>розглядати інвестиційну привабливість України в контексті загальноєвропейської безпеки та геополітичної стабільності. Запровадження адекватних заходів суб’єктивного характеру, спрямованих на поліпшення економічної ситуації та внутрішніх реформ, тепер також виглядає як стратегічний крок для нейтралізації впливу зовнішніх загроз. Подальше розглядання та наукові дослідження в цьому напрямі можуть визначити конкретні заходи для вдосконалення інвестиційного клімату в Україні в умовах сучасних викликів та неспокійного геополітичного середовища.</w:t>
      </w:r>
    </w:p>
    <w:p w14:paraId="1BB46070"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На тлі подій 2022 року, таких як повномасштабне вторгнення Росії, інвестиційна позиція України може вимагати системних заходів для відновлення та покращення інвестиційного клімату. Відновлення та зміцнення внутрішньої безпеки та стабільності важливо для збереження довіри інвесторів. Зусилля для забезпечення безпеки бізнесу та іноземних інвесторів, а також робота над прогнозованістю управління в ситуаціях непевності, буде ключовим чинником.</w:t>
      </w:r>
    </w:p>
    <w:p w14:paraId="71E47590"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Забезпечення ефективної комунікації з інвесторами та широкою громадськістю щодо заходів зі вдосконалення інвестиційного клімату та планів з відновлення економіки. Визначення конкретних заходів та стимулів для підтримки іноземних та внутрішніх підприємств, зокрема заходи з підтримки постраждалих від конфлікту галузей. Проведення реформ у сфері регулювання та податкової політики з метою зменшення адміністративних бар'єрів для бізнесу та підвищення прозорості.</w:t>
      </w:r>
    </w:p>
    <w:p w14:paraId="647EFD16"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Зосередження на розвитку та прискоренні інфраструктурних проектів, які можуть стати каталізаторами економічного зростання та привернення іноземних інвестицій. Активне залучення до міжнародних </w:t>
      </w:r>
      <w:proofErr w:type="spellStart"/>
      <w:r w:rsidRPr="00365CE8">
        <w:rPr>
          <w:rFonts w:ascii="Times New Roman" w:hAnsi="Times New Roman" w:cs="Times New Roman"/>
          <w:sz w:val="28"/>
        </w:rPr>
        <w:t>партнерств</w:t>
      </w:r>
      <w:proofErr w:type="spellEnd"/>
      <w:r w:rsidRPr="00365CE8">
        <w:rPr>
          <w:rFonts w:ascii="Times New Roman" w:hAnsi="Times New Roman" w:cs="Times New Roman"/>
          <w:sz w:val="28"/>
        </w:rPr>
        <w:t xml:space="preserve"> та співпраці для залучення фінансової підтримки, технічної допомоги та інвестиційних можливостей.</w:t>
      </w:r>
    </w:p>
    <w:p w14:paraId="76C024DB"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Розробка та впровадження довгострокових стратегій та політик для стабільної та сталої інвестиційної привабливості. Ці напрями мають на меті не лише залучення нових інвестицій, але й збереження інвестиційного капіталу в умовах кризисного геополітичного контексту.</w:t>
      </w:r>
    </w:p>
    <w:p w14:paraId="4452ED07"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 xml:space="preserve">Повномасштабне вторгнення та воєнні дії негативно впливають на інвестиційну привабливість України з ряду причин: Воєнний конфлікт породжує невизначеність щодо політичної та економічної ситуації в країні, що робить інвесторів обережними та неохочими ризикувати. </w:t>
      </w:r>
    </w:p>
    <w:p w14:paraId="3C5C0EF8"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Воєнна ситуація призводить до загального зниження економічної активності, що може вплинути на прибутковість інвестицій та діяльність підприємств. Воєнні дії призводять до значних збитків та руйнувань в економіці, що зменшує привабливість країни для інвесторів, оскільки стає несамовитою задачею забезпечити стабільність та нормальний бізнес-клімат. Інвестори стають більш обережними через збільшення ризиків, пов'язаних із нестабільністю, можливими втратами і несхваленням ринкових очікувань. Воєнний конфлікт може призвести до втрати довіри до урядових інституцій та збільшення корупції, що робить інвестиції менш привабливими.</w:t>
      </w:r>
    </w:p>
    <w:p w14:paraId="32B70960"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lastRenderedPageBreak/>
        <w:t>Отже, повномасштабне вторгнення та воєнні дії роблять країну менш привабливою для інвестицій, і вони можуть потребувати значних зусиль для відновлення інвестиційного клімату та привертання іноземних інвестицій після завершення конфлікту.</w:t>
      </w:r>
    </w:p>
    <w:p w14:paraId="32EF7414" w14:textId="77777777" w:rsidR="0050288A" w:rsidRPr="00365CE8" w:rsidRDefault="0050288A" w:rsidP="0050288A">
      <w:pPr>
        <w:spacing w:after="0" w:line="240" w:lineRule="auto"/>
        <w:ind w:firstLine="709"/>
        <w:jc w:val="both"/>
        <w:rPr>
          <w:rFonts w:ascii="Times New Roman" w:hAnsi="Times New Roman" w:cs="Times New Roman"/>
          <w:sz w:val="28"/>
        </w:rPr>
      </w:pPr>
      <w:r w:rsidRPr="00365CE8">
        <w:rPr>
          <w:rFonts w:ascii="Times New Roman" w:hAnsi="Times New Roman" w:cs="Times New Roman"/>
          <w:sz w:val="28"/>
        </w:rPr>
        <w:t>Зважаючи на низькі рейтинги інвестиційної привабливості України на міжнародному рівні та повномасштабне вторгнення, залучення інвесторів до української економіки виявляється складним завданням. Переконати інвесторів направляти фінансові ресурси на задоволення потреб української економіки може бути досягнуто лише через підвищену інформаційну відкритість, надійність та повноту фінансової звітності суб'єктів господарювання.</w:t>
      </w:r>
    </w:p>
    <w:p w14:paraId="2744F2B1" w14:textId="77777777" w:rsidR="0050288A" w:rsidRPr="00365CE8" w:rsidRDefault="0050288A" w:rsidP="0050288A">
      <w:pPr>
        <w:widowControl w:val="0"/>
        <w:spacing w:after="0" w:line="240" w:lineRule="auto"/>
        <w:ind w:firstLine="709"/>
        <w:jc w:val="both"/>
        <w:rPr>
          <w:rFonts w:ascii="Times New Roman" w:hAnsi="Times New Roman" w:cs="Times New Roman"/>
          <w:sz w:val="28"/>
          <w:szCs w:val="28"/>
        </w:rPr>
      </w:pPr>
      <w:r w:rsidRPr="00365CE8">
        <w:rPr>
          <w:rFonts w:ascii="Times New Roman" w:eastAsia="Calibri" w:hAnsi="Times New Roman" w:cs="Times New Roman"/>
          <w:sz w:val="28"/>
        </w:rPr>
        <w:t xml:space="preserve">Наукова новизна отриманих результатів полягає </w:t>
      </w:r>
      <w:r w:rsidRPr="00365CE8">
        <w:rPr>
          <w:rFonts w:ascii="Times New Roman" w:hAnsi="Times New Roman" w:cs="Times New Roman"/>
          <w:sz w:val="28"/>
          <w:szCs w:val="28"/>
        </w:rPr>
        <w:t>у проведеному аналізі та узагальнення теоретико-практичних аспектів оцінки напрямів підвищення  інвестиційної привабливості країни та визначення напрямків підвищення  інвестиційної привабливості України.</w:t>
      </w:r>
    </w:p>
    <w:p w14:paraId="1B1F3876" w14:textId="77777777" w:rsidR="0050288A" w:rsidRPr="00365CE8" w:rsidRDefault="0050288A" w:rsidP="0050288A">
      <w:pPr>
        <w:widowControl w:val="0"/>
        <w:spacing w:after="0" w:line="240" w:lineRule="auto"/>
        <w:ind w:firstLine="709"/>
        <w:jc w:val="both"/>
        <w:rPr>
          <w:rFonts w:ascii="Times New Roman" w:hAnsi="Times New Roman" w:cs="Times New Roman"/>
          <w:sz w:val="28"/>
          <w:szCs w:val="28"/>
        </w:rPr>
      </w:pPr>
      <w:r w:rsidRPr="00365CE8">
        <w:rPr>
          <w:rFonts w:ascii="Times New Roman" w:hAnsi="Times New Roman" w:cs="Times New Roman"/>
          <w:sz w:val="28"/>
          <w:szCs w:val="28"/>
        </w:rPr>
        <w:t>Основні результати кваліфікаційної роботи, що характеризують наукову новизну, полягають у такому:</w:t>
      </w:r>
    </w:p>
    <w:p w14:paraId="17C5B746" w14:textId="77777777" w:rsidR="0050288A" w:rsidRPr="00365CE8" w:rsidRDefault="0050288A" w:rsidP="0050288A">
      <w:pPr>
        <w:pStyle w:val="a5"/>
        <w:widowControl w:val="0"/>
        <w:numPr>
          <w:ilvl w:val="0"/>
          <w:numId w:val="1"/>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запропоновано уточнену схему функції та інструменти державного регулювання інвестиційної привабливості країни;</w:t>
      </w:r>
    </w:p>
    <w:p w14:paraId="1714B8F2" w14:textId="77777777" w:rsidR="0050288A" w:rsidRPr="00365CE8" w:rsidRDefault="0050288A" w:rsidP="0050288A">
      <w:pPr>
        <w:pStyle w:val="a5"/>
        <w:widowControl w:val="0"/>
        <w:numPr>
          <w:ilvl w:val="0"/>
          <w:numId w:val="1"/>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проведено аналіз динаміки іноземних інвестицій в Україну та виконано ранжування в межах пріоритетних галузей і областей вкладення інвестицій, а також за країнами-лідерами по обсягам вкладень;</w:t>
      </w:r>
    </w:p>
    <w:p w14:paraId="1107DE74" w14:textId="77777777" w:rsidR="0050288A" w:rsidRPr="00365CE8" w:rsidRDefault="0050288A" w:rsidP="0050288A">
      <w:pPr>
        <w:pStyle w:val="a5"/>
        <w:widowControl w:val="0"/>
        <w:numPr>
          <w:ilvl w:val="0"/>
          <w:numId w:val="1"/>
        </w:numPr>
        <w:spacing w:after="0" w:line="240" w:lineRule="auto"/>
        <w:jc w:val="both"/>
        <w:rPr>
          <w:rFonts w:ascii="Times New Roman" w:hAnsi="Times New Roman" w:cs="Times New Roman"/>
          <w:sz w:val="28"/>
          <w:szCs w:val="28"/>
        </w:rPr>
      </w:pPr>
      <w:r w:rsidRPr="00365CE8">
        <w:rPr>
          <w:rFonts w:ascii="Times New Roman" w:hAnsi="Times New Roman" w:cs="Times New Roman"/>
          <w:sz w:val="28"/>
          <w:szCs w:val="28"/>
        </w:rPr>
        <w:t>визначено основні особливості та проблему проблеми формування інвестиційної привабливості країни  в умовах військової агресії;</w:t>
      </w:r>
    </w:p>
    <w:p w14:paraId="75EDC701" w14:textId="77777777" w:rsidR="0050288A" w:rsidRPr="00365CE8" w:rsidRDefault="0050288A" w:rsidP="0050288A">
      <w:r w:rsidRPr="00365CE8">
        <w:rPr>
          <w:rFonts w:ascii="Times New Roman" w:hAnsi="Times New Roman" w:cs="Times New Roman"/>
          <w:sz w:val="28"/>
          <w:szCs w:val="28"/>
        </w:rPr>
        <w:t>проаналізовано динаміку показників чистої міжнародної інвестиційної позиції та динаміку показників іноземних інвестицій в Україну із визначенням прогнозного тренду на два наступних роки для кожного показника..</w:t>
      </w:r>
    </w:p>
    <w:p w14:paraId="3DF85A6A" w14:textId="77777777" w:rsidR="00807323" w:rsidRPr="00365CE8" w:rsidRDefault="00807323" w:rsidP="0028541E">
      <w:pPr>
        <w:pStyle w:val="a5"/>
        <w:spacing w:after="0" w:line="240" w:lineRule="auto"/>
        <w:ind w:left="0" w:firstLine="709"/>
        <w:jc w:val="center"/>
        <w:rPr>
          <w:rFonts w:ascii="Times New Roman" w:hAnsi="Times New Roman" w:cs="Times New Roman"/>
          <w:b/>
          <w:bCs/>
          <w:sz w:val="28"/>
          <w:szCs w:val="28"/>
          <w:shd w:val="clear" w:color="auto" w:fill="FFFFFF"/>
        </w:rPr>
      </w:pPr>
      <w:r w:rsidRPr="00365CE8">
        <w:rPr>
          <w:rFonts w:ascii="Times New Roman" w:hAnsi="Times New Roman" w:cs="Times New Roman"/>
          <w:sz w:val="28"/>
          <w:szCs w:val="28"/>
        </w:rPr>
        <w:br w:type="page"/>
      </w:r>
      <w:r w:rsidRPr="00365CE8">
        <w:rPr>
          <w:rFonts w:ascii="Times New Roman" w:eastAsia="Times New Roman" w:hAnsi="Times New Roman" w:cs="Times New Roman"/>
          <w:b/>
          <w:bCs/>
          <w:caps/>
          <w:sz w:val="28"/>
          <w:szCs w:val="28"/>
        </w:rPr>
        <w:lastRenderedPageBreak/>
        <w:t>Список використаних джерел</w:t>
      </w:r>
    </w:p>
    <w:p w14:paraId="7BB16175" w14:textId="77777777" w:rsidR="00FD5775" w:rsidRPr="00365CE8" w:rsidRDefault="00FD5775" w:rsidP="0028541E">
      <w:pPr>
        <w:pStyle w:val="1"/>
        <w:shd w:val="clear" w:color="auto" w:fill="auto"/>
        <w:tabs>
          <w:tab w:val="left" w:pos="1070"/>
        </w:tabs>
        <w:spacing w:after="0" w:line="240" w:lineRule="auto"/>
        <w:ind w:right="40"/>
        <w:rPr>
          <w:sz w:val="28"/>
          <w:szCs w:val="28"/>
          <w:shd w:val="clear" w:color="auto" w:fill="FFFFFF"/>
        </w:rPr>
      </w:pPr>
    </w:p>
    <w:p w14:paraId="5EF4B43F" w14:textId="77777777" w:rsidR="00940F03" w:rsidRPr="00365CE8" w:rsidRDefault="00940F03"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 xml:space="preserve">Гриценко Л. Л., </w:t>
      </w:r>
      <w:proofErr w:type="spellStart"/>
      <w:r w:rsidRPr="00365CE8">
        <w:rPr>
          <w:sz w:val="28"/>
          <w:szCs w:val="28"/>
          <w:shd w:val="clear" w:color="auto" w:fill="FFFFFF"/>
        </w:rPr>
        <w:t>Захаркін</w:t>
      </w:r>
      <w:proofErr w:type="spellEnd"/>
      <w:r w:rsidRPr="00365CE8">
        <w:rPr>
          <w:sz w:val="28"/>
          <w:szCs w:val="28"/>
          <w:shd w:val="clear" w:color="auto" w:fill="FFFFFF"/>
        </w:rPr>
        <w:t xml:space="preserve"> О. О., Дехтяр Н. А., Шамкало К. Ю. Оцінка інвестиційної привабливості Укра</w:t>
      </w:r>
      <w:r w:rsidRPr="00365CE8">
        <w:rPr>
          <w:sz w:val="28"/>
          <w:szCs w:val="28"/>
          <w:shd w:val="clear" w:color="auto" w:fill="FFFFFF"/>
        </w:rPr>
        <w:softHyphen/>
        <w:t xml:space="preserve">їни. </w:t>
      </w:r>
      <w:r w:rsidRPr="00365CE8">
        <w:rPr>
          <w:i/>
          <w:sz w:val="28"/>
          <w:szCs w:val="28"/>
          <w:shd w:val="clear" w:color="auto" w:fill="FFFFFF"/>
        </w:rPr>
        <w:t>Збірник наукових праць «Фінансово-кредитна діяльність: проблеми теорії і практики»</w:t>
      </w:r>
      <w:r w:rsidRPr="00365CE8">
        <w:rPr>
          <w:sz w:val="28"/>
          <w:szCs w:val="28"/>
          <w:shd w:val="clear" w:color="auto" w:fill="FFFFFF"/>
        </w:rPr>
        <w:t>. 2021. № 3(38). С.379-389.</w:t>
      </w:r>
    </w:p>
    <w:p w14:paraId="6CB3C0B5" w14:textId="77777777" w:rsidR="006736F7" w:rsidRPr="00365CE8" w:rsidRDefault="006736F7"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shd w:val="clear" w:color="auto" w:fill="FFFFFF"/>
        </w:rPr>
        <w:t>Кузьмінова</w:t>
      </w:r>
      <w:proofErr w:type="spellEnd"/>
      <w:r w:rsidRPr="00365CE8">
        <w:rPr>
          <w:sz w:val="28"/>
          <w:szCs w:val="28"/>
          <w:shd w:val="clear" w:color="auto" w:fill="FFFFFF"/>
        </w:rPr>
        <w:t xml:space="preserve"> О. В. Ярошенко К. В. </w:t>
      </w:r>
      <w:bookmarkStart w:id="0" w:name="bookmark0"/>
      <w:r w:rsidRPr="00365CE8">
        <w:rPr>
          <w:sz w:val="28"/>
          <w:szCs w:val="28"/>
          <w:shd w:val="clear" w:color="auto" w:fill="FFFFFF"/>
        </w:rPr>
        <w:t>Інвестиційна привабливість України: оцінка та перспективні напрямки активізації</w:t>
      </w:r>
      <w:bookmarkEnd w:id="0"/>
      <w:r w:rsidRPr="00365CE8">
        <w:rPr>
          <w:sz w:val="28"/>
          <w:szCs w:val="28"/>
          <w:shd w:val="clear" w:color="auto" w:fill="FFFFFF"/>
        </w:rPr>
        <w:t xml:space="preserve">. </w:t>
      </w:r>
      <w:r w:rsidRPr="00365CE8">
        <w:rPr>
          <w:i/>
          <w:sz w:val="28"/>
          <w:szCs w:val="28"/>
          <w:shd w:val="clear" w:color="auto" w:fill="FFFFFF"/>
        </w:rPr>
        <w:t>Економіка та суспільство</w:t>
      </w:r>
      <w:r w:rsidRPr="00365CE8">
        <w:rPr>
          <w:sz w:val="28"/>
          <w:szCs w:val="28"/>
          <w:shd w:val="clear" w:color="auto" w:fill="FFFFFF"/>
        </w:rPr>
        <w:t xml:space="preserve">. 2023. № 49. URL: https://economyandsociety.in.ua/index.php/journal/article/ </w:t>
      </w:r>
      <w:proofErr w:type="spellStart"/>
      <w:r w:rsidRPr="00365CE8">
        <w:rPr>
          <w:sz w:val="28"/>
          <w:szCs w:val="28"/>
          <w:shd w:val="clear" w:color="auto" w:fill="FFFFFF"/>
        </w:rPr>
        <w:t>view</w:t>
      </w:r>
      <w:proofErr w:type="spellEnd"/>
      <w:r w:rsidRPr="00365CE8">
        <w:rPr>
          <w:sz w:val="28"/>
          <w:szCs w:val="28"/>
          <w:shd w:val="clear" w:color="auto" w:fill="FFFFFF"/>
        </w:rPr>
        <w:t>/2332/2254. (дата звернення 15.11.23).</w:t>
      </w:r>
    </w:p>
    <w:p w14:paraId="46F4C834" w14:textId="77777777" w:rsidR="00940F03" w:rsidRPr="00365CE8" w:rsidRDefault="00940F03"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 xml:space="preserve">Крамаренко К. М. Інвестиційна привабливість підприємства та методичні підходи до її визначення. </w:t>
      </w:r>
      <w:r w:rsidRPr="00365CE8">
        <w:rPr>
          <w:i/>
          <w:sz w:val="28"/>
          <w:szCs w:val="28"/>
          <w:shd w:val="clear" w:color="auto" w:fill="FFFFFF"/>
        </w:rPr>
        <w:t>Причорноморські економічні студі</w:t>
      </w:r>
      <w:r w:rsidRPr="00365CE8">
        <w:rPr>
          <w:sz w:val="28"/>
          <w:szCs w:val="28"/>
          <w:shd w:val="clear" w:color="auto" w:fill="FFFFFF"/>
        </w:rPr>
        <w:t xml:space="preserve">ї. 2016. URL:  </w:t>
      </w:r>
      <w:hyperlink r:id="rId37" w:history="1">
        <w:r w:rsidRPr="00365CE8">
          <w:rPr>
            <w:sz w:val="28"/>
            <w:szCs w:val="28"/>
            <w:shd w:val="clear" w:color="auto" w:fill="FFFFFF"/>
          </w:rPr>
          <w:t>http://nbuv.gov.ua/UJRN/bses_2016_10_22</w:t>
        </w:r>
      </w:hyperlink>
      <w:r w:rsidRPr="00365CE8">
        <w:rPr>
          <w:sz w:val="28"/>
          <w:szCs w:val="28"/>
          <w:shd w:val="clear" w:color="auto" w:fill="FFFFFF"/>
        </w:rPr>
        <w:t>.</w:t>
      </w:r>
      <w:r w:rsidR="006736F7" w:rsidRPr="00365CE8">
        <w:rPr>
          <w:sz w:val="28"/>
          <w:szCs w:val="28"/>
          <w:shd w:val="clear" w:color="auto" w:fill="FFFFFF"/>
        </w:rPr>
        <w:t xml:space="preserve"> (дата звернення 15.11.23).</w:t>
      </w:r>
    </w:p>
    <w:p w14:paraId="37B154D3" w14:textId="77777777" w:rsidR="0028541E" w:rsidRPr="00365CE8" w:rsidRDefault="0028541E"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 xml:space="preserve">Ріпа Т. В. Напрями підвищення інвестиційної привабливості України на світовій арені. </w:t>
      </w:r>
      <w:r w:rsidRPr="00365CE8">
        <w:rPr>
          <w:i/>
          <w:sz w:val="28"/>
          <w:szCs w:val="28"/>
        </w:rPr>
        <w:t>Причорноморські економічні студії: економіка та управління підприємствами</w:t>
      </w:r>
      <w:r w:rsidRPr="00365CE8">
        <w:rPr>
          <w:sz w:val="28"/>
          <w:szCs w:val="28"/>
        </w:rPr>
        <w:t>. 2021. № 6. С. 63-68.</w:t>
      </w:r>
    </w:p>
    <w:p w14:paraId="290FE5A4" w14:textId="77777777" w:rsidR="0028541E" w:rsidRPr="00365CE8" w:rsidRDefault="006736F7"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 xml:space="preserve">Національний банк України. URL: </w:t>
      </w:r>
      <w:hyperlink r:id="rId38" w:history="1">
        <w:r w:rsidRPr="00365CE8">
          <w:rPr>
            <w:rFonts w:eastAsia="Arial"/>
            <w:sz w:val="28"/>
            <w:szCs w:val="28"/>
            <w:shd w:val="clear" w:color="auto" w:fill="FFFFFF"/>
          </w:rPr>
          <w:t>https://bank.gov.ua/</w:t>
        </w:r>
      </w:hyperlink>
      <w:r w:rsidR="0028541E" w:rsidRPr="00365CE8">
        <w:rPr>
          <w:sz w:val="28"/>
          <w:szCs w:val="28"/>
          <w:shd w:val="clear" w:color="auto" w:fill="FFFFFF"/>
        </w:rPr>
        <w:t>(дата звернення 15.11.23).</w:t>
      </w:r>
    </w:p>
    <w:p w14:paraId="61E986E3" w14:textId="77777777" w:rsidR="0028541E" w:rsidRPr="00365CE8" w:rsidRDefault="0028541E"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 xml:space="preserve">Державний комітет статистики України. URL: https://www.ukrstat.gov.ua/ </w:t>
      </w:r>
      <w:hyperlink r:id="rId39" w:history="1">
        <w:r w:rsidRPr="00365CE8">
          <w:rPr>
            <w:sz w:val="28"/>
            <w:szCs w:val="28"/>
            <w:shd w:val="clear" w:color="auto" w:fill="FFFFFF"/>
          </w:rPr>
          <w:t>https://www.eiti.gov.ua/</w:t>
        </w:r>
      </w:hyperlink>
      <w:r w:rsidRPr="00365CE8">
        <w:rPr>
          <w:sz w:val="28"/>
          <w:szCs w:val="28"/>
          <w:shd w:val="clear" w:color="auto" w:fill="FFFFFF"/>
        </w:rPr>
        <w:t xml:space="preserve"> (дата звернення 15.11.23).</w:t>
      </w:r>
    </w:p>
    <w:p w14:paraId="56E8A926" w14:textId="77777777" w:rsidR="006736F7" w:rsidRPr="00365CE8" w:rsidRDefault="006736F7" w:rsidP="0028541E">
      <w:pPr>
        <w:pStyle w:val="1"/>
        <w:numPr>
          <w:ilvl w:val="0"/>
          <w:numId w:val="3"/>
        </w:numPr>
        <w:shd w:val="clear" w:color="auto" w:fill="auto"/>
        <w:tabs>
          <w:tab w:val="left" w:pos="1070"/>
        </w:tabs>
        <w:spacing w:after="0" w:line="240" w:lineRule="auto"/>
        <w:ind w:right="40"/>
        <w:rPr>
          <w:sz w:val="28"/>
          <w:szCs w:val="28"/>
        </w:rPr>
      </w:pPr>
      <w:r w:rsidRPr="00365CE8">
        <w:rPr>
          <w:sz w:val="28"/>
          <w:szCs w:val="28"/>
        </w:rPr>
        <w:t xml:space="preserve">Коренюк П. Концептуальні підходи та методи визначення інвестиційної привабливості національної економіки. </w:t>
      </w:r>
      <w:r w:rsidRPr="00365CE8">
        <w:rPr>
          <w:i/>
          <w:sz w:val="28"/>
          <w:szCs w:val="28"/>
        </w:rPr>
        <w:t>Економічний часопис Східноєвропейського національного університету імені Лесі Українки</w:t>
      </w:r>
      <w:r w:rsidRPr="00365CE8">
        <w:rPr>
          <w:sz w:val="28"/>
          <w:szCs w:val="28"/>
        </w:rPr>
        <w:t xml:space="preserve">. </w:t>
      </w:r>
      <w:r w:rsidR="00E80622" w:rsidRPr="00365CE8">
        <w:rPr>
          <w:sz w:val="28"/>
          <w:szCs w:val="28"/>
        </w:rPr>
        <w:t>-</w:t>
      </w:r>
      <w:r w:rsidRPr="00365CE8">
        <w:rPr>
          <w:sz w:val="28"/>
          <w:szCs w:val="28"/>
        </w:rPr>
        <w:t xml:space="preserve"> 2018. </w:t>
      </w:r>
      <w:r w:rsidRPr="00365CE8">
        <w:rPr>
          <w:sz w:val="28"/>
          <w:szCs w:val="28"/>
          <w:shd w:val="clear" w:color="auto" w:fill="FFFFFF"/>
        </w:rPr>
        <w:t>URL</w:t>
      </w:r>
      <w:r w:rsidRPr="00365CE8">
        <w:rPr>
          <w:sz w:val="28"/>
          <w:szCs w:val="28"/>
        </w:rPr>
        <w:t xml:space="preserve">: http://nbuv.gov.ua/UJRN/echcenu_2018_2_10. </w:t>
      </w:r>
      <w:r w:rsidRPr="00365CE8">
        <w:rPr>
          <w:sz w:val="28"/>
          <w:szCs w:val="28"/>
          <w:shd w:val="clear" w:color="auto" w:fill="FFFFFF"/>
        </w:rPr>
        <w:t>(дата звернення 15.11.23)</w:t>
      </w:r>
    </w:p>
    <w:p w14:paraId="36AE0C38" w14:textId="77777777" w:rsidR="00E80622" w:rsidRPr="00365CE8" w:rsidRDefault="00E80622" w:rsidP="0028541E">
      <w:pPr>
        <w:pStyle w:val="1"/>
        <w:numPr>
          <w:ilvl w:val="0"/>
          <w:numId w:val="3"/>
        </w:numPr>
        <w:shd w:val="clear" w:color="auto" w:fill="auto"/>
        <w:tabs>
          <w:tab w:val="left" w:pos="1070"/>
        </w:tabs>
        <w:spacing w:after="0" w:line="240" w:lineRule="auto"/>
        <w:ind w:right="40"/>
        <w:rPr>
          <w:sz w:val="28"/>
          <w:szCs w:val="28"/>
        </w:rPr>
      </w:pPr>
      <w:proofErr w:type="spellStart"/>
      <w:r w:rsidRPr="00365CE8">
        <w:rPr>
          <w:sz w:val="28"/>
          <w:szCs w:val="28"/>
        </w:rPr>
        <w:t>Вербіцька</w:t>
      </w:r>
      <w:proofErr w:type="spellEnd"/>
      <w:r w:rsidRPr="00365CE8">
        <w:rPr>
          <w:sz w:val="28"/>
          <w:szCs w:val="28"/>
        </w:rPr>
        <w:t xml:space="preserve"> І. І.</w:t>
      </w:r>
      <w:r w:rsidRPr="00365CE8">
        <w:rPr>
          <w:sz w:val="28"/>
          <w:szCs w:val="28"/>
          <w:lang w:val="ru-RU"/>
        </w:rPr>
        <w:t xml:space="preserve"> І</w:t>
      </w:r>
      <w:proofErr w:type="spellStart"/>
      <w:r w:rsidRPr="00365CE8">
        <w:rPr>
          <w:sz w:val="28"/>
          <w:szCs w:val="28"/>
        </w:rPr>
        <w:t>нвестиційна</w:t>
      </w:r>
      <w:proofErr w:type="spellEnd"/>
      <w:r w:rsidRPr="00365CE8">
        <w:rPr>
          <w:sz w:val="28"/>
          <w:szCs w:val="28"/>
        </w:rPr>
        <w:t xml:space="preserve"> привабливість </w:t>
      </w:r>
      <w:proofErr w:type="spellStart"/>
      <w:r w:rsidRPr="00365CE8">
        <w:rPr>
          <w:sz w:val="28"/>
          <w:szCs w:val="28"/>
        </w:rPr>
        <w:t>україни</w:t>
      </w:r>
      <w:proofErr w:type="spellEnd"/>
      <w:r w:rsidRPr="00365CE8">
        <w:rPr>
          <w:sz w:val="28"/>
          <w:szCs w:val="28"/>
        </w:rPr>
        <w:t>: проблеми та перспективи</w:t>
      </w:r>
      <w:r w:rsidRPr="00365CE8">
        <w:rPr>
          <w:sz w:val="28"/>
          <w:szCs w:val="28"/>
          <w:lang w:val="ru-RU"/>
        </w:rPr>
        <w:t xml:space="preserve">. </w:t>
      </w:r>
      <w:r w:rsidRPr="00365CE8">
        <w:rPr>
          <w:i/>
          <w:sz w:val="28"/>
          <w:szCs w:val="28"/>
        </w:rPr>
        <w:t>Миколаївський національний університет імені В.О. Сухомлинськог</w:t>
      </w:r>
      <w:r w:rsidRPr="00365CE8">
        <w:rPr>
          <w:sz w:val="28"/>
          <w:szCs w:val="28"/>
        </w:rPr>
        <w:t>о</w:t>
      </w:r>
      <w:r w:rsidRPr="00365CE8">
        <w:rPr>
          <w:sz w:val="28"/>
          <w:szCs w:val="28"/>
          <w:lang w:val="ru-RU"/>
        </w:rPr>
        <w:t xml:space="preserve">. 2018. </w:t>
      </w:r>
      <w:proofErr w:type="spellStart"/>
      <w:r w:rsidRPr="00365CE8">
        <w:rPr>
          <w:sz w:val="28"/>
          <w:szCs w:val="28"/>
          <w:lang w:val="ru-RU"/>
        </w:rPr>
        <w:t>Вип</w:t>
      </w:r>
      <w:proofErr w:type="spellEnd"/>
      <w:r w:rsidRPr="00365CE8">
        <w:rPr>
          <w:sz w:val="28"/>
          <w:szCs w:val="28"/>
          <w:lang w:val="ru-RU"/>
        </w:rPr>
        <w:t>. 22. С.150-154.</w:t>
      </w:r>
    </w:p>
    <w:p w14:paraId="4E178C05" w14:textId="77777777" w:rsidR="0028541E" w:rsidRPr="00365CE8" w:rsidRDefault="0028541E" w:rsidP="0028541E">
      <w:pPr>
        <w:pStyle w:val="1"/>
        <w:numPr>
          <w:ilvl w:val="0"/>
          <w:numId w:val="3"/>
        </w:numPr>
        <w:shd w:val="clear" w:color="auto" w:fill="auto"/>
        <w:tabs>
          <w:tab w:val="left" w:pos="1070"/>
        </w:tabs>
        <w:spacing w:after="0" w:line="240" w:lineRule="auto"/>
        <w:ind w:right="40"/>
        <w:rPr>
          <w:sz w:val="28"/>
          <w:szCs w:val="28"/>
        </w:rPr>
      </w:pPr>
      <w:proofErr w:type="spellStart"/>
      <w:r w:rsidRPr="00365CE8">
        <w:rPr>
          <w:sz w:val="28"/>
          <w:szCs w:val="28"/>
        </w:rPr>
        <w:t>Якушко</w:t>
      </w:r>
      <w:proofErr w:type="spellEnd"/>
      <w:r w:rsidRPr="00365CE8">
        <w:rPr>
          <w:sz w:val="28"/>
          <w:szCs w:val="28"/>
        </w:rPr>
        <w:t xml:space="preserve"> І.</w:t>
      </w:r>
      <w:r w:rsidR="00833A1A" w:rsidRPr="00365CE8">
        <w:rPr>
          <w:sz w:val="28"/>
          <w:szCs w:val="28"/>
        </w:rPr>
        <w:t xml:space="preserve"> </w:t>
      </w:r>
      <w:r w:rsidRPr="00365CE8">
        <w:rPr>
          <w:sz w:val="28"/>
          <w:szCs w:val="28"/>
        </w:rPr>
        <w:t xml:space="preserve">В. Основні тенденції формування інвестиційної привабливості національної економіки. </w:t>
      </w:r>
      <w:r w:rsidRPr="00365CE8">
        <w:rPr>
          <w:i/>
          <w:sz w:val="28"/>
          <w:szCs w:val="28"/>
        </w:rPr>
        <w:t xml:space="preserve">II </w:t>
      </w:r>
      <w:proofErr w:type="spellStart"/>
      <w:r w:rsidRPr="00365CE8">
        <w:rPr>
          <w:i/>
          <w:sz w:val="28"/>
          <w:szCs w:val="28"/>
        </w:rPr>
        <w:t>International</w:t>
      </w:r>
      <w:proofErr w:type="spellEnd"/>
      <w:r w:rsidRPr="00365CE8">
        <w:rPr>
          <w:i/>
          <w:sz w:val="28"/>
          <w:szCs w:val="28"/>
        </w:rPr>
        <w:t xml:space="preserve"> </w:t>
      </w:r>
      <w:proofErr w:type="spellStart"/>
      <w:r w:rsidRPr="00365CE8">
        <w:rPr>
          <w:i/>
          <w:sz w:val="28"/>
          <w:szCs w:val="28"/>
        </w:rPr>
        <w:t>scientific</w:t>
      </w:r>
      <w:proofErr w:type="spellEnd"/>
      <w:r w:rsidRPr="00365CE8">
        <w:rPr>
          <w:i/>
          <w:sz w:val="28"/>
          <w:szCs w:val="28"/>
        </w:rPr>
        <w:t xml:space="preserve"> </w:t>
      </w:r>
      <w:proofErr w:type="spellStart"/>
      <w:r w:rsidRPr="00365CE8">
        <w:rPr>
          <w:i/>
          <w:sz w:val="28"/>
          <w:szCs w:val="28"/>
        </w:rPr>
        <w:t>conference</w:t>
      </w:r>
      <w:proofErr w:type="spellEnd"/>
      <w:r w:rsidRPr="00365CE8">
        <w:rPr>
          <w:i/>
          <w:sz w:val="28"/>
          <w:szCs w:val="28"/>
        </w:rPr>
        <w:t xml:space="preserve"> </w:t>
      </w:r>
      <w:proofErr w:type="spellStart"/>
      <w:r w:rsidRPr="00365CE8">
        <w:rPr>
          <w:i/>
          <w:sz w:val="28"/>
          <w:szCs w:val="28"/>
        </w:rPr>
        <w:t>Anti-Crisis</w:t>
      </w:r>
      <w:proofErr w:type="spellEnd"/>
      <w:r w:rsidRPr="00365CE8">
        <w:rPr>
          <w:i/>
          <w:sz w:val="28"/>
          <w:szCs w:val="28"/>
        </w:rPr>
        <w:t xml:space="preserve"> </w:t>
      </w:r>
      <w:proofErr w:type="spellStart"/>
      <w:r w:rsidRPr="00365CE8">
        <w:rPr>
          <w:i/>
          <w:sz w:val="28"/>
          <w:szCs w:val="28"/>
        </w:rPr>
        <w:t>Management</w:t>
      </w:r>
      <w:proofErr w:type="spellEnd"/>
      <w:r w:rsidRPr="00365CE8">
        <w:rPr>
          <w:i/>
          <w:sz w:val="28"/>
          <w:szCs w:val="28"/>
        </w:rPr>
        <w:t xml:space="preserve">: </w:t>
      </w:r>
      <w:proofErr w:type="spellStart"/>
      <w:r w:rsidRPr="00365CE8">
        <w:rPr>
          <w:i/>
          <w:sz w:val="28"/>
          <w:szCs w:val="28"/>
        </w:rPr>
        <w:t>State</w:t>
      </w:r>
      <w:proofErr w:type="spellEnd"/>
      <w:r w:rsidRPr="00365CE8">
        <w:rPr>
          <w:i/>
          <w:sz w:val="28"/>
          <w:szCs w:val="28"/>
        </w:rPr>
        <w:t xml:space="preserve">, </w:t>
      </w:r>
      <w:proofErr w:type="spellStart"/>
      <w:r w:rsidRPr="00365CE8">
        <w:rPr>
          <w:i/>
          <w:sz w:val="28"/>
          <w:szCs w:val="28"/>
        </w:rPr>
        <w:t>Region</w:t>
      </w:r>
      <w:proofErr w:type="spellEnd"/>
      <w:r w:rsidRPr="00365CE8">
        <w:rPr>
          <w:i/>
          <w:sz w:val="28"/>
          <w:szCs w:val="28"/>
        </w:rPr>
        <w:t xml:space="preserve">, </w:t>
      </w:r>
      <w:proofErr w:type="spellStart"/>
      <w:r w:rsidRPr="00365CE8">
        <w:rPr>
          <w:i/>
          <w:sz w:val="28"/>
          <w:szCs w:val="28"/>
        </w:rPr>
        <w:t>Enterprise</w:t>
      </w:r>
      <w:proofErr w:type="spellEnd"/>
      <w:r w:rsidRPr="00365CE8">
        <w:rPr>
          <w:sz w:val="28"/>
          <w:szCs w:val="28"/>
        </w:rPr>
        <w:t>. (</w:t>
      </w:r>
      <w:proofErr w:type="spellStart"/>
      <w:r w:rsidRPr="00365CE8">
        <w:rPr>
          <w:sz w:val="28"/>
          <w:szCs w:val="28"/>
        </w:rPr>
        <w:t>Le</w:t>
      </w:r>
      <w:proofErr w:type="spellEnd"/>
      <w:r w:rsidRPr="00365CE8">
        <w:rPr>
          <w:sz w:val="28"/>
          <w:szCs w:val="28"/>
        </w:rPr>
        <w:t xml:space="preserve"> </w:t>
      </w:r>
      <w:proofErr w:type="spellStart"/>
      <w:r w:rsidRPr="00365CE8">
        <w:rPr>
          <w:sz w:val="28"/>
          <w:szCs w:val="28"/>
        </w:rPr>
        <w:t>Mans</w:t>
      </w:r>
      <w:proofErr w:type="spellEnd"/>
      <w:r w:rsidRPr="00365CE8">
        <w:rPr>
          <w:sz w:val="28"/>
          <w:szCs w:val="28"/>
        </w:rPr>
        <w:t xml:space="preserve">, </w:t>
      </w:r>
      <w:proofErr w:type="spellStart"/>
      <w:r w:rsidRPr="00365CE8">
        <w:rPr>
          <w:sz w:val="28"/>
          <w:szCs w:val="28"/>
        </w:rPr>
        <w:t>November</w:t>
      </w:r>
      <w:proofErr w:type="spellEnd"/>
      <w:r w:rsidRPr="00365CE8">
        <w:rPr>
          <w:sz w:val="28"/>
          <w:szCs w:val="28"/>
        </w:rPr>
        <w:t xml:space="preserve"> 23th, 2018). </w:t>
      </w:r>
      <w:proofErr w:type="spellStart"/>
      <w:r w:rsidRPr="00365CE8">
        <w:rPr>
          <w:sz w:val="28"/>
          <w:szCs w:val="28"/>
        </w:rPr>
        <w:t>Le</w:t>
      </w:r>
      <w:proofErr w:type="spellEnd"/>
      <w:r w:rsidRPr="00365CE8">
        <w:rPr>
          <w:sz w:val="28"/>
          <w:szCs w:val="28"/>
        </w:rPr>
        <w:t xml:space="preserve"> </w:t>
      </w:r>
      <w:proofErr w:type="spellStart"/>
      <w:r w:rsidRPr="00365CE8">
        <w:rPr>
          <w:sz w:val="28"/>
          <w:szCs w:val="28"/>
        </w:rPr>
        <w:t>Mans</w:t>
      </w:r>
      <w:proofErr w:type="spellEnd"/>
      <w:r w:rsidRPr="00365CE8">
        <w:rPr>
          <w:sz w:val="28"/>
          <w:szCs w:val="28"/>
        </w:rPr>
        <w:t xml:space="preserve">, </w:t>
      </w:r>
      <w:proofErr w:type="spellStart"/>
      <w:r w:rsidRPr="00365CE8">
        <w:rPr>
          <w:sz w:val="28"/>
          <w:szCs w:val="28"/>
        </w:rPr>
        <w:t>France</w:t>
      </w:r>
      <w:proofErr w:type="spellEnd"/>
      <w:r w:rsidRPr="00365CE8">
        <w:rPr>
          <w:sz w:val="28"/>
          <w:szCs w:val="28"/>
        </w:rPr>
        <w:t xml:space="preserve">: </w:t>
      </w:r>
      <w:proofErr w:type="spellStart"/>
      <w:r w:rsidRPr="00365CE8">
        <w:rPr>
          <w:sz w:val="28"/>
          <w:szCs w:val="28"/>
        </w:rPr>
        <w:t>Baltija</w:t>
      </w:r>
      <w:proofErr w:type="spellEnd"/>
      <w:r w:rsidRPr="00365CE8">
        <w:rPr>
          <w:sz w:val="28"/>
          <w:szCs w:val="28"/>
        </w:rPr>
        <w:t xml:space="preserve"> </w:t>
      </w:r>
      <w:proofErr w:type="spellStart"/>
      <w:r w:rsidRPr="00365CE8">
        <w:rPr>
          <w:sz w:val="28"/>
          <w:szCs w:val="28"/>
        </w:rPr>
        <w:t>Publishing</w:t>
      </w:r>
      <w:proofErr w:type="spellEnd"/>
      <w:r w:rsidRPr="00365CE8">
        <w:rPr>
          <w:sz w:val="28"/>
          <w:szCs w:val="28"/>
        </w:rPr>
        <w:t xml:space="preserve">, 2018. </w:t>
      </w:r>
      <w:proofErr w:type="spellStart"/>
      <w:r w:rsidRPr="00365CE8">
        <w:rPr>
          <w:sz w:val="28"/>
          <w:szCs w:val="28"/>
        </w:rPr>
        <w:t>Part</w:t>
      </w:r>
      <w:proofErr w:type="spellEnd"/>
      <w:r w:rsidRPr="00365CE8">
        <w:rPr>
          <w:sz w:val="28"/>
          <w:szCs w:val="28"/>
        </w:rPr>
        <w:t xml:space="preserve"> I. Рр. 69</w:t>
      </w:r>
      <w:r w:rsidR="00E80622" w:rsidRPr="00365CE8">
        <w:rPr>
          <w:sz w:val="28"/>
          <w:szCs w:val="28"/>
        </w:rPr>
        <w:t>-</w:t>
      </w:r>
      <w:r w:rsidRPr="00365CE8">
        <w:rPr>
          <w:sz w:val="28"/>
          <w:szCs w:val="28"/>
        </w:rPr>
        <w:t>71</w:t>
      </w:r>
      <w:r w:rsidR="00833A1A" w:rsidRPr="00365CE8">
        <w:rPr>
          <w:sz w:val="28"/>
          <w:szCs w:val="28"/>
        </w:rPr>
        <w:t>/</w:t>
      </w:r>
    </w:p>
    <w:p w14:paraId="7863872F" w14:textId="77777777" w:rsidR="00833A1A" w:rsidRPr="00365CE8" w:rsidRDefault="00833A1A" w:rsidP="0028541E">
      <w:pPr>
        <w:pStyle w:val="1"/>
        <w:numPr>
          <w:ilvl w:val="0"/>
          <w:numId w:val="3"/>
        </w:numPr>
        <w:shd w:val="clear" w:color="auto" w:fill="auto"/>
        <w:tabs>
          <w:tab w:val="left" w:pos="1070"/>
        </w:tabs>
        <w:spacing w:after="0" w:line="240" w:lineRule="auto"/>
        <w:ind w:right="40"/>
        <w:rPr>
          <w:sz w:val="28"/>
          <w:szCs w:val="28"/>
        </w:rPr>
      </w:pPr>
      <w:proofErr w:type="spellStart"/>
      <w:r w:rsidRPr="00365CE8">
        <w:rPr>
          <w:sz w:val="28"/>
          <w:szCs w:val="28"/>
        </w:rPr>
        <w:t>Федорчак</w:t>
      </w:r>
      <w:proofErr w:type="spellEnd"/>
      <w:r w:rsidRPr="00365CE8">
        <w:rPr>
          <w:sz w:val="28"/>
          <w:szCs w:val="28"/>
        </w:rPr>
        <w:t xml:space="preserve"> О. В. Міжнародні індекси інвестиційної привабливості України. </w:t>
      </w:r>
      <w:r w:rsidRPr="00365CE8">
        <w:rPr>
          <w:i/>
          <w:sz w:val="28"/>
          <w:szCs w:val="28"/>
        </w:rPr>
        <w:t>Вісник Національної академії державного управління при Президентові України</w:t>
      </w:r>
      <w:r w:rsidRPr="00365CE8">
        <w:rPr>
          <w:sz w:val="28"/>
          <w:szCs w:val="28"/>
        </w:rPr>
        <w:t xml:space="preserve">. </w:t>
      </w:r>
      <w:r w:rsidRPr="00365CE8">
        <w:rPr>
          <w:i/>
          <w:sz w:val="28"/>
          <w:szCs w:val="28"/>
        </w:rPr>
        <w:t>Серія : Державне управління</w:t>
      </w:r>
      <w:r w:rsidRPr="00365CE8">
        <w:rPr>
          <w:sz w:val="28"/>
          <w:szCs w:val="28"/>
        </w:rPr>
        <w:t>. 2016. № 3. С. 21</w:t>
      </w:r>
      <w:r w:rsidR="00E80622" w:rsidRPr="00365CE8">
        <w:rPr>
          <w:sz w:val="28"/>
          <w:szCs w:val="28"/>
        </w:rPr>
        <w:t>-</w:t>
      </w:r>
      <w:r w:rsidRPr="00365CE8">
        <w:rPr>
          <w:sz w:val="28"/>
          <w:szCs w:val="28"/>
        </w:rPr>
        <w:t xml:space="preserve">28. </w:t>
      </w:r>
    </w:p>
    <w:p w14:paraId="1D462171" w14:textId="77777777" w:rsidR="00833A1A" w:rsidRPr="00365CE8" w:rsidRDefault="00833A1A" w:rsidP="0028541E">
      <w:pPr>
        <w:pStyle w:val="1"/>
        <w:numPr>
          <w:ilvl w:val="0"/>
          <w:numId w:val="3"/>
        </w:numPr>
        <w:shd w:val="clear" w:color="auto" w:fill="auto"/>
        <w:tabs>
          <w:tab w:val="left" w:pos="1070"/>
        </w:tabs>
        <w:spacing w:after="0" w:line="240" w:lineRule="auto"/>
        <w:ind w:right="40"/>
        <w:rPr>
          <w:sz w:val="28"/>
          <w:szCs w:val="28"/>
        </w:rPr>
      </w:pPr>
      <w:r w:rsidRPr="00365CE8">
        <w:rPr>
          <w:sz w:val="28"/>
          <w:szCs w:val="28"/>
        </w:rPr>
        <w:t xml:space="preserve">Кулик А.М., Корецька О.В. Економічна сутність поняття інвестиційної привабливості. </w:t>
      </w:r>
      <w:r w:rsidRPr="00365CE8">
        <w:rPr>
          <w:i/>
          <w:sz w:val="28"/>
          <w:szCs w:val="28"/>
        </w:rPr>
        <w:t>Вісник НТУ «ХПІ». Серія «Економічні науки»</w:t>
      </w:r>
      <w:r w:rsidRPr="00365CE8">
        <w:rPr>
          <w:sz w:val="28"/>
          <w:szCs w:val="28"/>
        </w:rPr>
        <w:t>. 2018. № 15(1291). С. 7</w:t>
      </w:r>
      <w:r w:rsidR="00E80622" w:rsidRPr="00365CE8">
        <w:rPr>
          <w:sz w:val="28"/>
          <w:szCs w:val="28"/>
        </w:rPr>
        <w:t>-</w:t>
      </w:r>
      <w:r w:rsidRPr="00365CE8">
        <w:rPr>
          <w:sz w:val="28"/>
          <w:szCs w:val="28"/>
        </w:rPr>
        <w:t>11.</w:t>
      </w:r>
    </w:p>
    <w:p w14:paraId="267DC032" w14:textId="77777777" w:rsidR="006736F7" w:rsidRPr="00365CE8" w:rsidRDefault="006736F7" w:rsidP="0028541E">
      <w:pPr>
        <w:pStyle w:val="1"/>
        <w:numPr>
          <w:ilvl w:val="0"/>
          <w:numId w:val="3"/>
        </w:numPr>
        <w:shd w:val="clear" w:color="auto" w:fill="auto"/>
        <w:tabs>
          <w:tab w:val="left" w:pos="1070"/>
        </w:tabs>
        <w:spacing w:after="0" w:line="240" w:lineRule="auto"/>
        <w:ind w:right="40"/>
        <w:rPr>
          <w:sz w:val="28"/>
          <w:szCs w:val="28"/>
        </w:rPr>
      </w:pPr>
      <w:proofErr w:type="spellStart"/>
      <w:r w:rsidRPr="00365CE8">
        <w:rPr>
          <w:sz w:val="28"/>
          <w:szCs w:val="28"/>
        </w:rPr>
        <w:t>Вірянська</w:t>
      </w:r>
      <w:proofErr w:type="spellEnd"/>
      <w:r w:rsidRPr="00365CE8">
        <w:rPr>
          <w:sz w:val="28"/>
          <w:szCs w:val="28"/>
        </w:rPr>
        <w:t xml:space="preserve"> О. В. Оцінка інвестиційної привабливості </w:t>
      </w:r>
      <w:r w:rsidRPr="00365CE8">
        <w:rPr>
          <w:sz w:val="28"/>
          <w:szCs w:val="28"/>
          <w:shd w:val="clear" w:color="auto" w:fill="FFFFFF"/>
        </w:rPr>
        <w:t>URL:</w:t>
      </w:r>
      <w:r w:rsidRPr="00365CE8">
        <w:rPr>
          <w:sz w:val="28"/>
          <w:szCs w:val="28"/>
        </w:rPr>
        <w:t xml:space="preserve"> https://nau.edu.ua/ua/ </w:t>
      </w:r>
      <w:r w:rsidRPr="00365CE8">
        <w:rPr>
          <w:sz w:val="28"/>
          <w:szCs w:val="28"/>
          <w:shd w:val="clear" w:color="auto" w:fill="FFFFFF"/>
        </w:rPr>
        <w:t>(дата звернення 15.11.23).</w:t>
      </w:r>
    </w:p>
    <w:p w14:paraId="41431754" w14:textId="77777777" w:rsidR="006736F7" w:rsidRPr="00365CE8" w:rsidRDefault="00940F03"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Індекс інвестиційної привабливості України показав найнижче значен</w:t>
      </w:r>
      <w:r w:rsidR="006736F7" w:rsidRPr="00365CE8">
        <w:rPr>
          <w:sz w:val="28"/>
          <w:szCs w:val="28"/>
          <w:shd w:val="clear" w:color="auto" w:fill="FFFFFF"/>
        </w:rPr>
        <w:t>ня з 2013 року: Європейська біз</w:t>
      </w:r>
      <w:r w:rsidRPr="00365CE8">
        <w:rPr>
          <w:sz w:val="28"/>
          <w:szCs w:val="28"/>
          <w:shd w:val="clear" w:color="auto" w:fill="FFFFFF"/>
        </w:rPr>
        <w:t xml:space="preserve">нес асоціація. URL: </w:t>
      </w:r>
      <w:hyperlink r:id="rId40" w:history="1">
        <w:r w:rsidRPr="00365CE8">
          <w:rPr>
            <w:sz w:val="28"/>
            <w:szCs w:val="28"/>
            <w:shd w:val="clear" w:color="auto" w:fill="FFFFFF"/>
          </w:rPr>
          <w:t>https://eba.com.ua/indeks-investytsijnoyi-pryvablyvosti-ukrayiny-pokazav-najnyzhche-</w:t>
        </w:r>
      </w:hyperlink>
      <w:r w:rsidRPr="00365CE8">
        <w:rPr>
          <w:sz w:val="28"/>
          <w:szCs w:val="28"/>
          <w:shd w:val="clear" w:color="auto" w:fill="FFFFFF"/>
        </w:rPr>
        <w:t xml:space="preserve"> znachennya-z-2013-roku.</w:t>
      </w:r>
      <w:r w:rsidR="006736F7" w:rsidRPr="00365CE8">
        <w:rPr>
          <w:sz w:val="28"/>
          <w:szCs w:val="28"/>
          <w:shd w:val="clear" w:color="auto" w:fill="FFFFFF"/>
        </w:rPr>
        <w:t xml:space="preserve"> (дата звернення 15.11.23).</w:t>
      </w:r>
    </w:p>
    <w:p w14:paraId="45E2D133" w14:textId="77777777" w:rsidR="0028541E" w:rsidRPr="00365CE8" w:rsidRDefault="0028541E"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lastRenderedPageBreak/>
        <w:t xml:space="preserve">Данилишин Б. Щодо стану інвестиційних процесів в економіці України та шляхів їх активізації. URL:  </w:t>
      </w:r>
      <w:hyperlink r:id="rId41" w:history="1">
        <w:r w:rsidRPr="00365CE8">
          <w:rPr>
            <w:sz w:val="28"/>
            <w:szCs w:val="28"/>
            <w:shd w:val="clear" w:color="auto" w:fill="FFFFFF"/>
          </w:rPr>
          <w:t>https://lb.ua/blog/bogdan_danylysyn/503439_shchodo_stanu_investitsiynih_protsesiv</w:t>
        </w:r>
      </w:hyperlink>
      <w:r w:rsidRPr="00365CE8">
        <w:rPr>
          <w:sz w:val="28"/>
          <w:szCs w:val="28"/>
          <w:shd w:val="clear" w:color="auto" w:fill="FFFFFF"/>
        </w:rPr>
        <w:t xml:space="preserve"> .</w:t>
      </w:r>
      <w:proofErr w:type="spellStart"/>
      <w:r w:rsidRPr="00365CE8">
        <w:rPr>
          <w:sz w:val="28"/>
          <w:szCs w:val="28"/>
          <w:shd w:val="clear" w:color="auto" w:fill="FFFFFF"/>
        </w:rPr>
        <w:t>htm</w:t>
      </w:r>
      <w:proofErr w:type="spellEnd"/>
      <w:r w:rsidRPr="00365CE8">
        <w:rPr>
          <w:sz w:val="28"/>
          <w:szCs w:val="28"/>
          <w:shd w:val="clear" w:color="auto" w:fill="FFFFFF"/>
        </w:rPr>
        <w:t>. (дата звернення 15.11.23).</w:t>
      </w:r>
    </w:p>
    <w:p w14:paraId="298069A5" w14:textId="77777777" w:rsidR="00833A1A" w:rsidRPr="00365CE8" w:rsidRDefault="00833A1A"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Нікітенко Д.</w:t>
      </w:r>
      <w:r w:rsidR="002C323E" w:rsidRPr="00365CE8">
        <w:rPr>
          <w:sz w:val="28"/>
          <w:szCs w:val="28"/>
        </w:rPr>
        <w:t xml:space="preserve"> </w:t>
      </w:r>
      <w:r w:rsidRPr="00365CE8">
        <w:rPr>
          <w:sz w:val="28"/>
          <w:szCs w:val="28"/>
        </w:rPr>
        <w:t xml:space="preserve">В. Оцінка інвестиційної привабливості України в глобальному індексі конкурентоспроможності. </w:t>
      </w:r>
      <w:r w:rsidRPr="00365CE8">
        <w:rPr>
          <w:i/>
          <w:sz w:val="28"/>
          <w:szCs w:val="28"/>
        </w:rPr>
        <w:t>Вісник УВГП. Серія : Економічні науки</w:t>
      </w:r>
      <w:r w:rsidRPr="00365CE8">
        <w:rPr>
          <w:sz w:val="28"/>
          <w:szCs w:val="28"/>
        </w:rPr>
        <w:t>. 2016. Випуск 3(75).  С. 128</w:t>
      </w:r>
      <w:r w:rsidR="00E80622" w:rsidRPr="00365CE8">
        <w:rPr>
          <w:sz w:val="28"/>
          <w:szCs w:val="28"/>
        </w:rPr>
        <w:t>-</w:t>
      </w:r>
      <w:r w:rsidRPr="00365CE8">
        <w:rPr>
          <w:sz w:val="28"/>
          <w:szCs w:val="28"/>
        </w:rPr>
        <w:t>138.</w:t>
      </w:r>
    </w:p>
    <w:p w14:paraId="3E61A9CC" w14:textId="77777777" w:rsidR="0028541E" w:rsidRPr="00365CE8" w:rsidRDefault="00833A1A"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Якушко</w:t>
      </w:r>
      <w:proofErr w:type="spellEnd"/>
      <w:r w:rsidRPr="00365CE8">
        <w:rPr>
          <w:sz w:val="28"/>
          <w:szCs w:val="28"/>
        </w:rPr>
        <w:t xml:space="preserve"> І.В. Вплив іноземних інвестицій на загальноекономічну динаміку у контексті формування інвестиційної привабливості України. </w:t>
      </w:r>
      <w:r w:rsidRPr="00365CE8">
        <w:rPr>
          <w:i/>
          <w:sz w:val="28"/>
          <w:szCs w:val="28"/>
        </w:rPr>
        <w:t>Причорноморські економічні студії: науковий журнал</w:t>
      </w:r>
      <w:r w:rsidRPr="00365CE8">
        <w:rPr>
          <w:sz w:val="28"/>
          <w:szCs w:val="28"/>
        </w:rPr>
        <w:t xml:space="preserve">. 2018. </w:t>
      </w:r>
      <w:proofErr w:type="spellStart"/>
      <w:r w:rsidRPr="00365CE8">
        <w:rPr>
          <w:sz w:val="28"/>
          <w:szCs w:val="28"/>
        </w:rPr>
        <w:t>Вип</w:t>
      </w:r>
      <w:proofErr w:type="spellEnd"/>
      <w:r w:rsidRPr="00365CE8">
        <w:rPr>
          <w:sz w:val="28"/>
          <w:szCs w:val="28"/>
        </w:rPr>
        <w:t>. 29. Ч. 1. С. 153</w:t>
      </w:r>
      <w:r w:rsidR="00E80622" w:rsidRPr="00365CE8">
        <w:rPr>
          <w:sz w:val="28"/>
          <w:szCs w:val="28"/>
        </w:rPr>
        <w:t>-</w:t>
      </w:r>
      <w:r w:rsidRPr="00365CE8">
        <w:rPr>
          <w:sz w:val="28"/>
          <w:szCs w:val="28"/>
        </w:rPr>
        <w:t>159.</w:t>
      </w:r>
    </w:p>
    <w:p w14:paraId="43BBBC32" w14:textId="77777777" w:rsidR="00833A1A" w:rsidRPr="00365CE8" w:rsidRDefault="00833A1A"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Конакова</w:t>
      </w:r>
      <w:proofErr w:type="spellEnd"/>
      <w:r w:rsidRPr="00365CE8">
        <w:rPr>
          <w:sz w:val="28"/>
          <w:szCs w:val="28"/>
        </w:rPr>
        <w:t xml:space="preserve"> К. М. Оцінка та напрями покращення інвестиційної привабливості України: </w:t>
      </w:r>
      <w:proofErr w:type="spellStart"/>
      <w:r w:rsidRPr="00365CE8">
        <w:rPr>
          <w:sz w:val="28"/>
          <w:szCs w:val="28"/>
        </w:rPr>
        <w:t>рейтиговий</w:t>
      </w:r>
      <w:proofErr w:type="spellEnd"/>
      <w:r w:rsidRPr="00365CE8">
        <w:rPr>
          <w:sz w:val="28"/>
          <w:szCs w:val="28"/>
        </w:rPr>
        <w:t xml:space="preserve"> підхід. Науковий вісник Ужгородського національного університету. 2019. Випуск 29, частина 1. С.84-90.</w:t>
      </w:r>
    </w:p>
    <w:p w14:paraId="142F8FC7" w14:textId="77777777" w:rsidR="00833A1A" w:rsidRPr="00365CE8" w:rsidRDefault="00833A1A"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Активізація інвестиційного процесу в Україні : колективна монографія / за ред. М.І. Диби. Київ : КНЕУ, 2012. 472 с.</w:t>
      </w:r>
    </w:p>
    <w:p w14:paraId="7FAB6EF3" w14:textId="77777777" w:rsidR="00833A1A" w:rsidRPr="00365CE8" w:rsidRDefault="00833A1A"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Сазонець</w:t>
      </w:r>
      <w:proofErr w:type="spellEnd"/>
      <w:r w:rsidRPr="00365CE8">
        <w:rPr>
          <w:sz w:val="28"/>
          <w:szCs w:val="28"/>
        </w:rPr>
        <w:t xml:space="preserve"> І.</w:t>
      </w:r>
      <w:r w:rsidRPr="00365CE8">
        <w:rPr>
          <w:sz w:val="28"/>
          <w:szCs w:val="28"/>
          <w:lang w:val="ru-RU"/>
        </w:rPr>
        <w:t xml:space="preserve"> </w:t>
      </w:r>
      <w:r w:rsidRPr="00365CE8">
        <w:rPr>
          <w:sz w:val="28"/>
          <w:szCs w:val="28"/>
        </w:rPr>
        <w:t>Л., Федорова В.</w:t>
      </w:r>
      <w:r w:rsidRPr="00365CE8">
        <w:rPr>
          <w:sz w:val="28"/>
          <w:szCs w:val="28"/>
          <w:lang w:val="ru-RU"/>
        </w:rPr>
        <w:t xml:space="preserve"> </w:t>
      </w:r>
      <w:r w:rsidRPr="00365CE8">
        <w:rPr>
          <w:sz w:val="28"/>
          <w:szCs w:val="28"/>
        </w:rPr>
        <w:t>А. Інвестування: міжнародний аспект. Київ : Центр учбової літератури, 2014. 272 с.</w:t>
      </w:r>
    </w:p>
    <w:p w14:paraId="6ECC602D" w14:textId="77777777" w:rsidR="00833A1A" w:rsidRPr="00365CE8" w:rsidRDefault="00833A1A"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Жаліло Я.</w:t>
      </w:r>
      <w:r w:rsidRPr="00365CE8">
        <w:rPr>
          <w:sz w:val="28"/>
          <w:szCs w:val="28"/>
          <w:lang w:val="ru-RU"/>
        </w:rPr>
        <w:t xml:space="preserve"> </w:t>
      </w:r>
      <w:r w:rsidRPr="00365CE8">
        <w:rPr>
          <w:sz w:val="28"/>
          <w:szCs w:val="28"/>
        </w:rPr>
        <w:t>А. Теорія та практика формування ефективної економічної стратегії держави : монографія. Київ : НІСД, 2009. 178 с.</w:t>
      </w:r>
    </w:p>
    <w:p w14:paraId="3192A0F3" w14:textId="77777777" w:rsidR="00940F03" w:rsidRPr="00365CE8" w:rsidRDefault="00940F03"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 xml:space="preserve">Рейтинг конкурентоспроможності країн. IMD. URL: </w:t>
      </w:r>
      <w:hyperlink r:id="rId42" w:history="1">
        <w:r w:rsidRPr="00365CE8">
          <w:rPr>
            <w:sz w:val="28"/>
            <w:szCs w:val="28"/>
            <w:shd w:val="clear" w:color="auto" w:fill="FFFFFF"/>
          </w:rPr>
          <w:t>https://www.imd.org</w:t>
        </w:r>
      </w:hyperlink>
      <w:r w:rsidRPr="00365CE8">
        <w:rPr>
          <w:sz w:val="28"/>
          <w:szCs w:val="28"/>
          <w:shd w:val="clear" w:color="auto" w:fill="FFFFFF"/>
        </w:rPr>
        <w:t>.</w:t>
      </w:r>
      <w:r w:rsidR="006736F7" w:rsidRPr="00365CE8">
        <w:rPr>
          <w:sz w:val="28"/>
          <w:szCs w:val="28"/>
          <w:shd w:val="clear" w:color="auto" w:fill="FFFFFF"/>
        </w:rPr>
        <w:t xml:space="preserve"> (дата звернення 15.11.23)</w:t>
      </w:r>
    </w:p>
    <w:p w14:paraId="613554D4" w14:textId="77777777" w:rsidR="00940F03" w:rsidRPr="00365CE8" w:rsidRDefault="00940F03"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 xml:space="preserve">Рейтинг глобальної конкурентоспроможності. GCI. URL: </w:t>
      </w:r>
      <w:hyperlink r:id="rId43" w:history="1">
        <w:r w:rsidRPr="00365CE8">
          <w:rPr>
            <w:sz w:val="28"/>
            <w:szCs w:val="28"/>
            <w:shd w:val="clear" w:color="auto" w:fill="FFFFFF"/>
          </w:rPr>
          <w:t>https://www.weforum.org</w:t>
        </w:r>
      </w:hyperlink>
      <w:r w:rsidRPr="00365CE8">
        <w:rPr>
          <w:sz w:val="28"/>
          <w:szCs w:val="28"/>
          <w:shd w:val="clear" w:color="auto" w:fill="FFFFFF"/>
        </w:rPr>
        <w:t>.</w:t>
      </w:r>
      <w:r w:rsidR="006736F7" w:rsidRPr="00365CE8">
        <w:rPr>
          <w:sz w:val="28"/>
          <w:szCs w:val="28"/>
          <w:shd w:val="clear" w:color="auto" w:fill="FFFFFF"/>
        </w:rPr>
        <w:t xml:space="preserve"> (дата звернення 15.11.23)</w:t>
      </w:r>
    </w:p>
    <w:p w14:paraId="56043EF4" w14:textId="77777777" w:rsidR="006736F7" w:rsidRPr="00365CE8" w:rsidRDefault="006736F7"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 xml:space="preserve">Рейтинг інвестиційної привабливості країн світу </w:t>
      </w:r>
      <w:proofErr w:type="spellStart"/>
      <w:r w:rsidRPr="00365CE8">
        <w:rPr>
          <w:sz w:val="28"/>
          <w:szCs w:val="28"/>
          <w:shd w:val="clear" w:color="auto" w:fill="FFFFFF"/>
        </w:rPr>
        <w:t>International</w:t>
      </w:r>
      <w:proofErr w:type="spellEnd"/>
      <w:r w:rsidRPr="00365CE8">
        <w:rPr>
          <w:sz w:val="28"/>
          <w:szCs w:val="28"/>
          <w:shd w:val="clear" w:color="auto" w:fill="FFFFFF"/>
        </w:rPr>
        <w:t xml:space="preserve"> </w:t>
      </w:r>
      <w:proofErr w:type="spellStart"/>
      <w:r w:rsidRPr="00365CE8">
        <w:rPr>
          <w:sz w:val="28"/>
          <w:szCs w:val="28"/>
          <w:shd w:val="clear" w:color="auto" w:fill="FFFFFF"/>
        </w:rPr>
        <w:t>Business</w:t>
      </w:r>
      <w:proofErr w:type="spellEnd"/>
      <w:r w:rsidRPr="00365CE8">
        <w:rPr>
          <w:sz w:val="28"/>
          <w:szCs w:val="28"/>
          <w:shd w:val="clear" w:color="auto" w:fill="FFFFFF"/>
        </w:rPr>
        <w:t xml:space="preserve"> </w:t>
      </w:r>
      <w:proofErr w:type="spellStart"/>
      <w:r w:rsidRPr="00365CE8">
        <w:rPr>
          <w:sz w:val="28"/>
          <w:szCs w:val="28"/>
          <w:shd w:val="clear" w:color="auto" w:fill="FFFFFF"/>
        </w:rPr>
        <w:t>Compass</w:t>
      </w:r>
      <w:proofErr w:type="spellEnd"/>
      <w:r w:rsidRPr="00365CE8">
        <w:rPr>
          <w:sz w:val="28"/>
          <w:szCs w:val="28"/>
          <w:shd w:val="clear" w:color="auto" w:fill="FFFFFF"/>
        </w:rPr>
        <w:t xml:space="preserve">. URL: https://www.bdo.ge/ </w:t>
      </w:r>
      <w:proofErr w:type="spellStart"/>
      <w:r w:rsidRPr="00365CE8">
        <w:rPr>
          <w:sz w:val="28"/>
          <w:szCs w:val="28"/>
          <w:shd w:val="clear" w:color="auto" w:fill="FFFFFF"/>
        </w:rPr>
        <w:t>en-gb</w:t>
      </w:r>
      <w:proofErr w:type="spellEnd"/>
      <w:r w:rsidRPr="00365CE8">
        <w:rPr>
          <w:sz w:val="28"/>
          <w:szCs w:val="28"/>
          <w:shd w:val="clear" w:color="auto" w:fill="FFFFFF"/>
        </w:rPr>
        <w:t>/</w:t>
      </w:r>
      <w:proofErr w:type="spellStart"/>
      <w:r w:rsidRPr="00365CE8">
        <w:rPr>
          <w:sz w:val="28"/>
          <w:szCs w:val="28"/>
          <w:shd w:val="clear" w:color="auto" w:fill="FFFFFF"/>
        </w:rPr>
        <w:t>home-uk</w:t>
      </w:r>
      <w:proofErr w:type="spellEnd"/>
      <w:r w:rsidRPr="00365CE8">
        <w:rPr>
          <w:sz w:val="28"/>
          <w:szCs w:val="28"/>
          <w:shd w:val="clear" w:color="auto" w:fill="FFFFFF"/>
        </w:rPr>
        <w:t>. (дата звернення 15.11.23)</w:t>
      </w:r>
    </w:p>
    <w:p w14:paraId="7BEFECBB" w14:textId="77777777" w:rsidR="006736F7" w:rsidRPr="00365CE8" w:rsidRDefault="006736F7"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Рейтинг за індексом економічної свободи. URL:  https://www.heritage.org/index/ranking. (дата звернення 15.11.23)</w:t>
      </w:r>
    </w:p>
    <w:p w14:paraId="3E59B6D2" w14:textId="77777777" w:rsidR="006736F7" w:rsidRPr="00365CE8" w:rsidRDefault="006736F7"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Індекс інвестиційної привабливості. URL:  https://eba.com.ua/en. (дата звернення 15.11.23)</w:t>
      </w:r>
    </w:p>
    <w:p w14:paraId="12C77DEB" w14:textId="77777777" w:rsidR="006736F7" w:rsidRPr="00365CE8" w:rsidRDefault="006736F7"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 xml:space="preserve">Рейтинг ведення бізнесу. </w:t>
      </w:r>
      <w:proofErr w:type="spellStart"/>
      <w:r w:rsidRPr="00365CE8">
        <w:rPr>
          <w:sz w:val="28"/>
          <w:szCs w:val="28"/>
          <w:shd w:val="clear" w:color="auto" w:fill="FFFFFF"/>
        </w:rPr>
        <w:t>Doing</w:t>
      </w:r>
      <w:proofErr w:type="spellEnd"/>
      <w:r w:rsidRPr="00365CE8">
        <w:rPr>
          <w:sz w:val="28"/>
          <w:szCs w:val="28"/>
          <w:shd w:val="clear" w:color="auto" w:fill="FFFFFF"/>
        </w:rPr>
        <w:t xml:space="preserve"> </w:t>
      </w:r>
      <w:proofErr w:type="spellStart"/>
      <w:r w:rsidRPr="00365CE8">
        <w:rPr>
          <w:sz w:val="28"/>
          <w:szCs w:val="28"/>
          <w:shd w:val="clear" w:color="auto" w:fill="FFFFFF"/>
        </w:rPr>
        <w:t>Business</w:t>
      </w:r>
      <w:proofErr w:type="spellEnd"/>
      <w:r w:rsidRPr="00365CE8">
        <w:rPr>
          <w:sz w:val="28"/>
          <w:szCs w:val="28"/>
          <w:shd w:val="clear" w:color="auto" w:fill="FFFFFF"/>
        </w:rPr>
        <w:t>. URL:  http://gtmarket.ru/ratings/doing-business. (дата звернення 15.11.23)</w:t>
      </w:r>
    </w:p>
    <w:p w14:paraId="0A365BDE" w14:textId="77777777" w:rsidR="006736F7" w:rsidRPr="00365CE8" w:rsidRDefault="006736F7"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shd w:val="clear" w:color="auto" w:fill="FFFFFF"/>
        </w:rPr>
        <w:t>Україна в рейтингах. URL: https://countryeconomy.com/ratings/ukraine. (дата звернення 15.11.23)</w:t>
      </w:r>
    </w:p>
    <w:p w14:paraId="626F0FAA" w14:textId="77777777" w:rsidR="00833A1A" w:rsidRPr="00365CE8" w:rsidRDefault="00833A1A"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Штулер</w:t>
      </w:r>
      <w:proofErr w:type="spellEnd"/>
      <w:r w:rsidRPr="00365CE8">
        <w:rPr>
          <w:sz w:val="28"/>
          <w:szCs w:val="28"/>
        </w:rPr>
        <w:t xml:space="preserve"> І.Ю. Позиції України у світових рейтингах конкурентоспроможності та економічної свободи протягом 2005</w:t>
      </w:r>
      <w:r w:rsidR="00E80622" w:rsidRPr="00365CE8">
        <w:rPr>
          <w:sz w:val="28"/>
          <w:szCs w:val="28"/>
        </w:rPr>
        <w:t>-</w:t>
      </w:r>
      <w:r w:rsidRPr="00365CE8">
        <w:rPr>
          <w:sz w:val="28"/>
          <w:szCs w:val="28"/>
        </w:rPr>
        <w:t xml:space="preserve">2015 років. </w:t>
      </w:r>
      <w:r w:rsidRPr="00365CE8">
        <w:rPr>
          <w:i/>
          <w:sz w:val="28"/>
          <w:szCs w:val="28"/>
        </w:rPr>
        <w:t>Науковий вісник Ужгородського національного університету</w:t>
      </w:r>
      <w:r w:rsidRPr="00365CE8">
        <w:rPr>
          <w:sz w:val="28"/>
          <w:szCs w:val="28"/>
        </w:rPr>
        <w:t>. 2015. Випуск 5. С. 214</w:t>
      </w:r>
      <w:r w:rsidR="00E80622" w:rsidRPr="00365CE8">
        <w:rPr>
          <w:sz w:val="28"/>
          <w:szCs w:val="28"/>
        </w:rPr>
        <w:t>-</w:t>
      </w:r>
      <w:r w:rsidRPr="00365CE8">
        <w:rPr>
          <w:sz w:val="28"/>
          <w:szCs w:val="28"/>
        </w:rPr>
        <w:t>217.</w:t>
      </w:r>
    </w:p>
    <w:p w14:paraId="59B8D98D" w14:textId="77777777" w:rsidR="00E80622" w:rsidRPr="00365CE8" w:rsidRDefault="00E80622"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Рзаєв</w:t>
      </w:r>
      <w:proofErr w:type="spellEnd"/>
      <w:r w:rsidRPr="00365CE8">
        <w:rPr>
          <w:sz w:val="28"/>
          <w:szCs w:val="28"/>
        </w:rPr>
        <w:t xml:space="preserve"> Г. І., </w:t>
      </w:r>
      <w:proofErr w:type="spellStart"/>
      <w:r w:rsidRPr="00365CE8">
        <w:rPr>
          <w:sz w:val="28"/>
          <w:szCs w:val="28"/>
        </w:rPr>
        <w:t>Вакулова</w:t>
      </w:r>
      <w:proofErr w:type="spellEnd"/>
      <w:r w:rsidRPr="00365CE8">
        <w:rPr>
          <w:sz w:val="28"/>
          <w:szCs w:val="28"/>
        </w:rPr>
        <w:t xml:space="preserve"> В. О. Методики оцінки інвестиційної привабливості на рівні країни та перспективи їх використання в економічному аналізі. Вісник Хмельницького національного університету. </w:t>
      </w:r>
      <w:r w:rsidRPr="00365CE8">
        <w:rPr>
          <w:i/>
          <w:sz w:val="28"/>
          <w:szCs w:val="28"/>
        </w:rPr>
        <w:t>Економічні науки</w:t>
      </w:r>
      <w:r w:rsidRPr="00365CE8">
        <w:rPr>
          <w:sz w:val="28"/>
          <w:szCs w:val="28"/>
        </w:rPr>
        <w:t>. 2016. № 3 (1). С. 137-143.</w:t>
      </w:r>
    </w:p>
    <w:p w14:paraId="237EEC89" w14:textId="77777777" w:rsidR="0028541E" w:rsidRPr="00365CE8" w:rsidRDefault="0028541E"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lastRenderedPageBreak/>
        <w:t xml:space="preserve">Носова О.В. Оцінка інвестиційної привабливості України: основні підходи. </w:t>
      </w:r>
      <w:r w:rsidRPr="00365CE8">
        <w:rPr>
          <w:i/>
          <w:sz w:val="28"/>
          <w:szCs w:val="28"/>
        </w:rPr>
        <w:t>Економіка та прогнозування</w:t>
      </w:r>
      <w:r w:rsidRPr="00365CE8">
        <w:rPr>
          <w:sz w:val="28"/>
          <w:szCs w:val="28"/>
        </w:rPr>
        <w:t xml:space="preserve">. 2003. </w:t>
      </w:r>
      <w:proofErr w:type="spellStart"/>
      <w:r w:rsidRPr="00365CE8">
        <w:rPr>
          <w:sz w:val="28"/>
          <w:szCs w:val="28"/>
        </w:rPr>
        <w:t>Вип</w:t>
      </w:r>
      <w:proofErr w:type="spellEnd"/>
      <w:r w:rsidRPr="00365CE8">
        <w:rPr>
          <w:sz w:val="28"/>
          <w:szCs w:val="28"/>
        </w:rPr>
        <w:t>. 3. С. 119</w:t>
      </w:r>
      <w:r w:rsidR="00E80622" w:rsidRPr="00365CE8">
        <w:rPr>
          <w:sz w:val="28"/>
          <w:szCs w:val="28"/>
        </w:rPr>
        <w:t>-</w:t>
      </w:r>
      <w:r w:rsidRPr="00365CE8">
        <w:rPr>
          <w:sz w:val="28"/>
          <w:szCs w:val="28"/>
        </w:rPr>
        <w:t>137.</w:t>
      </w:r>
    </w:p>
    <w:p w14:paraId="57451657" w14:textId="77777777" w:rsidR="0028541E" w:rsidRPr="00365CE8" w:rsidRDefault="0028541E"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Онікієнко</w:t>
      </w:r>
      <w:proofErr w:type="spellEnd"/>
      <w:r w:rsidRPr="00365CE8">
        <w:rPr>
          <w:sz w:val="28"/>
          <w:szCs w:val="28"/>
        </w:rPr>
        <w:t xml:space="preserve"> С. Облікові методи оцінки інвестиційної привабливості. </w:t>
      </w:r>
      <w:r w:rsidRPr="00365CE8">
        <w:rPr>
          <w:i/>
          <w:sz w:val="28"/>
          <w:szCs w:val="28"/>
        </w:rPr>
        <w:t>Вісник Нацбанку України</w:t>
      </w:r>
      <w:r w:rsidRPr="00365CE8">
        <w:rPr>
          <w:sz w:val="28"/>
          <w:szCs w:val="28"/>
        </w:rPr>
        <w:t xml:space="preserve">. 2001. </w:t>
      </w:r>
      <w:proofErr w:type="spellStart"/>
      <w:r w:rsidRPr="00365CE8">
        <w:rPr>
          <w:sz w:val="28"/>
          <w:szCs w:val="28"/>
        </w:rPr>
        <w:t>Вип</w:t>
      </w:r>
      <w:proofErr w:type="spellEnd"/>
      <w:r w:rsidRPr="00365CE8">
        <w:rPr>
          <w:sz w:val="28"/>
          <w:szCs w:val="28"/>
        </w:rPr>
        <w:t>. 7. С. 49</w:t>
      </w:r>
      <w:r w:rsidR="00E80622" w:rsidRPr="00365CE8">
        <w:rPr>
          <w:sz w:val="28"/>
          <w:szCs w:val="28"/>
        </w:rPr>
        <w:t>-</w:t>
      </w:r>
      <w:r w:rsidRPr="00365CE8">
        <w:rPr>
          <w:sz w:val="28"/>
          <w:szCs w:val="28"/>
        </w:rPr>
        <w:t>51.</w:t>
      </w:r>
    </w:p>
    <w:p w14:paraId="1076E7E4" w14:textId="77777777" w:rsidR="00E80622" w:rsidRPr="00365CE8" w:rsidRDefault="00E80622"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Толстов</w:t>
      </w:r>
      <w:proofErr w:type="spellEnd"/>
      <w:r w:rsidRPr="00365CE8">
        <w:rPr>
          <w:sz w:val="28"/>
          <w:szCs w:val="28"/>
        </w:rPr>
        <w:t xml:space="preserve"> В.М., Цибульський Л.С. Підходи до оцінювання привабливості країн і регіонів щодо формування інвестиційного і бізнесового клімату. </w:t>
      </w:r>
      <w:r w:rsidRPr="00365CE8">
        <w:rPr>
          <w:i/>
          <w:sz w:val="28"/>
          <w:szCs w:val="28"/>
        </w:rPr>
        <w:t>Науково-технічна інформація</w:t>
      </w:r>
      <w:r w:rsidRPr="00365CE8">
        <w:rPr>
          <w:sz w:val="28"/>
          <w:szCs w:val="28"/>
        </w:rPr>
        <w:t>. 2014. № 3. С. 13-19</w:t>
      </w:r>
    </w:p>
    <w:p w14:paraId="3CAAD8F7" w14:textId="77777777" w:rsidR="00833A1A" w:rsidRPr="00365CE8" w:rsidRDefault="00833A1A"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Якушко</w:t>
      </w:r>
      <w:proofErr w:type="spellEnd"/>
      <w:r w:rsidRPr="00365CE8">
        <w:rPr>
          <w:sz w:val="28"/>
          <w:szCs w:val="28"/>
        </w:rPr>
        <w:t xml:space="preserve"> І.В. Забезпечення інвестиційної привабливості національної економіки у контексті реалізації моделі державного регулювання інвестиційної діяльності. </w:t>
      </w:r>
      <w:r w:rsidRPr="00365CE8">
        <w:rPr>
          <w:i/>
          <w:sz w:val="28"/>
          <w:szCs w:val="28"/>
        </w:rPr>
        <w:t>Науковий вісник Ужгородського національного університету. Серія: Міжнародні економічні відносини та світове господарство</w:t>
      </w:r>
      <w:r w:rsidRPr="00365CE8">
        <w:rPr>
          <w:sz w:val="28"/>
          <w:szCs w:val="28"/>
        </w:rPr>
        <w:t xml:space="preserve">. Ужгород, 2019. </w:t>
      </w:r>
      <w:proofErr w:type="spellStart"/>
      <w:r w:rsidRPr="00365CE8">
        <w:rPr>
          <w:sz w:val="28"/>
          <w:szCs w:val="28"/>
        </w:rPr>
        <w:t>Вип</w:t>
      </w:r>
      <w:proofErr w:type="spellEnd"/>
      <w:r w:rsidRPr="00365CE8">
        <w:rPr>
          <w:sz w:val="28"/>
          <w:szCs w:val="28"/>
        </w:rPr>
        <w:t>. 25. Ч. 2. С. 176</w:t>
      </w:r>
      <w:r w:rsidR="00E80622" w:rsidRPr="00365CE8">
        <w:rPr>
          <w:sz w:val="28"/>
          <w:szCs w:val="28"/>
        </w:rPr>
        <w:t>-</w:t>
      </w:r>
      <w:r w:rsidRPr="00365CE8">
        <w:rPr>
          <w:sz w:val="28"/>
          <w:szCs w:val="28"/>
        </w:rPr>
        <w:t>180</w:t>
      </w:r>
      <w:r w:rsidRPr="00365CE8">
        <w:rPr>
          <w:sz w:val="28"/>
          <w:szCs w:val="28"/>
          <w:lang w:val="ru-RU"/>
        </w:rPr>
        <w:t>.</w:t>
      </w:r>
    </w:p>
    <w:p w14:paraId="01524BFC" w14:textId="77777777" w:rsidR="00833A1A" w:rsidRPr="00365CE8" w:rsidRDefault="00833A1A"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 xml:space="preserve"> </w:t>
      </w:r>
      <w:proofErr w:type="spellStart"/>
      <w:r w:rsidR="00E80622" w:rsidRPr="00365CE8">
        <w:rPr>
          <w:sz w:val="28"/>
          <w:szCs w:val="28"/>
        </w:rPr>
        <w:t>Товстенюк</w:t>
      </w:r>
      <w:proofErr w:type="spellEnd"/>
      <w:r w:rsidR="00E80622" w:rsidRPr="00365CE8">
        <w:rPr>
          <w:sz w:val="28"/>
          <w:szCs w:val="28"/>
        </w:rPr>
        <w:t xml:space="preserve"> О. В. Інвестиційна привабливість як об’єкт діагностики. </w:t>
      </w:r>
      <w:r w:rsidR="00E80622" w:rsidRPr="00365CE8">
        <w:rPr>
          <w:i/>
          <w:sz w:val="28"/>
          <w:szCs w:val="28"/>
        </w:rPr>
        <w:t>Вісник Національного університету «Львівська політехніка». Серія «Менеджмент та підприємництво в Україні: етапи становлення і проблеми розвитку».</w:t>
      </w:r>
      <w:r w:rsidR="00E80622" w:rsidRPr="00365CE8">
        <w:rPr>
          <w:sz w:val="28"/>
          <w:szCs w:val="28"/>
        </w:rPr>
        <w:t xml:space="preserve">  2012. № 727. С. 381-386.</w:t>
      </w:r>
    </w:p>
    <w:p w14:paraId="4D39A444" w14:textId="77777777" w:rsidR="00F878C6" w:rsidRPr="00365CE8" w:rsidRDefault="00F878C6" w:rsidP="00F878C6">
      <w:pPr>
        <w:pStyle w:val="a5"/>
        <w:numPr>
          <w:ilvl w:val="0"/>
          <w:numId w:val="3"/>
        </w:numPr>
        <w:spacing w:after="0" w:line="240" w:lineRule="auto"/>
        <w:jc w:val="both"/>
        <w:rPr>
          <w:rFonts w:ascii="Times New Roman" w:hAnsi="Times New Roman" w:cs="Times New Roman"/>
          <w:sz w:val="28"/>
          <w:szCs w:val="28"/>
        </w:rPr>
      </w:pPr>
      <w:proofErr w:type="spellStart"/>
      <w:r w:rsidRPr="00365CE8">
        <w:rPr>
          <w:rFonts w:ascii="Times New Roman" w:hAnsi="Times New Roman" w:cs="Times New Roman"/>
          <w:sz w:val="28"/>
          <w:szCs w:val="28"/>
        </w:rPr>
        <w:t>Онишко</w:t>
      </w:r>
      <w:proofErr w:type="spellEnd"/>
      <w:r w:rsidRPr="00365CE8">
        <w:rPr>
          <w:rFonts w:ascii="Times New Roman" w:hAnsi="Times New Roman" w:cs="Times New Roman"/>
          <w:sz w:val="28"/>
          <w:szCs w:val="28"/>
        </w:rPr>
        <w:t xml:space="preserve"> С. В. Структура інвестиційного потенціалу України та перспективи економічного росту. </w:t>
      </w:r>
      <w:r w:rsidRPr="00365CE8">
        <w:rPr>
          <w:rFonts w:ascii="Times New Roman" w:hAnsi="Times New Roman" w:cs="Times New Roman"/>
          <w:i/>
          <w:sz w:val="28"/>
          <w:szCs w:val="28"/>
        </w:rPr>
        <w:t>Актуальні проблеми економіки</w:t>
      </w:r>
      <w:r w:rsidRPr="00365CE8">
        <w:rPr>
          <w:rFonts w:ascii="Times New Roman" w:hAnsi="Times New Roman" w:cs="Times New Roman"/>
          <w:sz w:val="28"/>
          <w:szCs w:val="28"/>
        </w:rPr>
        <w:t>. 2012. № 2. С. 18.</w:t>
      </w:r>
    </w:p>
    <w:p w14:paraId="375F9481" w14:textId="77777777" w:rsidR="00E80622" w:rsidRPr="00365CE8" w:rsidRDefault="00E80622"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Грицаєнко</w:t>
      </w:r>
      <w:proofErr w:type="spellEnd"/>
      <w:r w:rsidRPr="00365CE8">
        <w:rPr>
          <w:sz w:val="28"/>
          <w:szCs w:val="28"/>
        </w:rPr>
        <w:t xml:space="preserve"> Г., </w:t>
      </w:r>
      <w:proofErr w:type="spellStart"/>
      <w:r w:rsidRPr="00365CE8">
        <w:rPr>
          <w:sz w:val="28"/>
          <w:szCs w:val="28"/>
        </w:rPr>
        <w:t>Грицаєнко</w:t>
      </w:r>
      <w:proofErr w:type="spellEnd"/>
      <w:r w:rsidRPr="00365CE8">
        <w:rPr>
          <w:sz w:val="28"/>
          <w:szCs w:val="28"/>
        </w:rPr>
        <w:t xml:space="preserve"> М. Інвестиційна привабливість України. </w:t>
      </w:r>
      <w:proofErr w:type="spellStart"/>
      <w:r w:rsidRPr="00365CE8">
        <w:rPr>
          <w:i/>
          <w:sz w:val="28"/>
          <w:szCs w:val="28"/>
        </w:rPr>
        <w:t>Agricultural</w:t>
      </w:r>
      <w:proofErr w:type="spellEnd"/>
      <w:r w:rsidRPr="00365CE8">
        <w:rPr>
          <w:i/>
          <w:sz w:val="28"/>
          <w:szCs w:val="28"/>
        </w:rPr>
        <w:t xml:space="preserve"> </w:t>
      </w:r>
      <w:proofErr w:type="spellStart"/>
      <w:r w:rsidRPr="00365CE8">
        <w:rPr>
          <w:i/>
          <w:sz w:val="28"/>
          <w:szCs w:val="28"/>
        </w:rPr>
        <w:t>and</w:t>
      </w:r>
      <w:proofErr w:type="spellEnd"/>
      <w:r w:rsidRPr="00365CE8">
        <w:rPr>
          <w:i/>
          <w:sz w:val="28"/>
          <w:szCs w:val="28"/>
        </w:rPr>
        <w:t xml:space="preserve"> </w:t>
      </w:r>
      <w:proofErr w:type="spellStart"/>
      <w:r w:rsidRPr="00365CE8">
        <w:rPr>
          <w:i/>
          <w:sz w:val="28"/>
          <w:szCs w:val="28"/>
        </w:rPr>
        <w:t>resource</w:t>
      </w:r>
      <w:proofErr w:type="spellEnd"/>
      <w:r w:rsidRPr="00365CE8">
        <w:rPr>
          <w:i/>
          <w:sz w:val="28"/>
          <w:szCs w:val="28"/>
        </w:rPr>
        <w:t xml:space="preserve"> </w:t>
      </w:r>
      <w:proofErr w:type="spellStart"/>
      <w:r w:rsidRPr="00365CE8">
        <w:rPr>
          <w:i/>
          <w:sz w:val="28"/>
          <w:szCs w:val="28"/>
        </w:rPr>
        <w:t>economics</w:t>
      </w:r>
      <w:proofErr w:type="spellEnd"/>
      <w:r w:rsidRPr="00365CE8">
        <w:rPr>
          <w:sz w:val="28"/>
          <w:szCs w:val="28"/>
        </w:rPr>
        <w:t xml:space="preserve">. 2017. </w:t>
      </w:r>
      <w:proofErr w:type="spellStart"/>
      <w:r w:rsidRPr="00365CE8">
        <w:rPr>
          <w:sz w:val="28"/>
          <w:szCs w:val="28"/>
        </w:rPr>
        <w:t>Vol</w:t>
      </w:r>
      <w:proofErr w:type="spellEnd"/>
      <w:r w:rsidRPr="00365CE8">
        <w:rPr>
          <w:sz w:val="28"/>
          <w:szCs w:val="28"/>
        </w:rPr>
        <w:t>. 3. № 1. С. 80-93.</w:t>
      </w:r>
    </w:p>
    <w:p w14:paraId="68D0E8F6" w14:textId="77777777" w:rsidR="00E80622" w:rsidRPr="00365CE8" w:rsidRDefault="00E80622"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 xml:space="preserve"> </w:t>
      </w:r>
      <w:proofErr w:type="spellStart"/>
      <w:r w:rsidRPr="00365CE8">
        <w:rPr>
          <w:sz w:val="28"/>
          <w:szCs w:val="28"/>
        </w:rPr>
        <w:t>Гусарова</w:t>
      </w:r>
      <w:proofErr w:type="spellEnd"/>
      <w:r w:rsidRPr="00365CE8">
        <w:rPr>
          <w:sz w:val="28"/>
          <w:szCs w:val="28"/>
        </w:rPr>
        <w:t xml:space="preserve"> М. Ю. Вплив «жорстких» та «м’яких» факторів конкурентоспроможності на інвестиційну привабливість регіонів країни. </w:t>
      </w:r>
      <w:r w:rsidRPr="00365CE8">
        <w:rPr>
          <w:i/>
          <w:sz w:val="28"/>
          <w:szCs w:val="28"/>
        </w:rPr>
        <w:t>Економічний вісник Запорізької державної інженерної академії</w:t>
      </w:r>
      <w:r w:rsidRPr="00365CE8">
        <w:rPr>
          <w:sz w:val="28"/>
          <w:szCs w:val="28"/>
        </w:rPr>
        <w:t xml:space="preserve">. 2017. </w:t>
      </w:r>
      <w:proofErr w:type="spellStart"/>
      <w:r w:rsidRPr="00365CE8">
        <w:rPr>
          <w:sz w:val="28"/>
          <w:szCs w:val="28"/>
        </w:rPr>
        <w:t>Вип</w:t>
      </w:r>
      <w:proofErr w:type="spellEnd"/>
      <w:r w:rsidRPr="00365CE8">
        <w:rPr>
          <w:sz w:val="28"/>
          <w:szCs w:val="28"/>
        </w:rPr>
        <w:t>. 1 (2). С. 47-50.</w:t>
      </w:r>
    </w:p>
    <w:p w14:paraId="318605E0" w14:textId="77777777" w:rsidR="00F878C6" w:rsidRPr="00365CE8" w:rsidRDefault="00F878C6"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 xml:space="preserve">Маркевич К. Л. Регулювання ПІІ в контексті національної безпеки: міжнародний досвід та висновки для України. </w:t>
      </w:r>
      <w:r w:rsidRPr="00365CE8">
        <w:rPr>
          <w:i/>
          <w:sz w:val="28"/>
          <w:szCs w:val="28"/>
        </w:rPr>
        <w:t>Теоретичні і прикладні питання економіки : збірник наукових праць</w:t>
      </w:r>
      <w:r w:rsidRPr="00365CE8">
        <w:rPr>
          <w:sz w:val="28"/>
          <w:szCs w:val="28"/>
        </w:rPr>
        <w:t xml:space="preserve">. 2020. </w:t>
      </w:r>
      <w:proofErr w:type="spellStart"/>
      <w:r w:rsidRPr="00365CE8">
        <w:rPr>
          <w:sz w:val="28"/>
          <w:szCs w:val="28"/>
        </w:rPr>
        <w:t>No</w:t>
      </w:r>
      <w:proofErr w:type="spellEnd"/>
      <w:r w:rsidRPr="00365CE8">
        <w:rPr>
          <w:sz w:val="28"/>
          <w:szCs w:val="28"/>
        </w:rPr>
        <w:t xml:space="preserve"> 1 (40), С. 141-153.</w:t>
      </w:r>
    </w:p>
    <w:p w14:paraId="7D9C3A6A" w14:textId="77777777" w:rsidR="00E80622" w:rsidRPr="00365CE8" w:rsidRDefault="00E80622"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 xml:space="preserve">Маслак О. І., </w:t>
      </w:r>
      <w:proofErr w:type="spellStart"/>
      <w:r w:rsidRPr="00365CE8">
        <w:rPr>
          <w:sz w:val="28"/>
          <w:szCs w:val="28"/>
        </w:rPr>
        <w:t>Таловер</w:t>
      </w:r>
      <w:proofErr w:type="spellEnd"/>
      <w:r w:rsidRPr="00365CE8">
        <w:rPr>
          <w:sz w:val="28"/>
          <w:szCs w:val="28"/>
        </w:rPr>
        <w:t xml:space="preserve"> В. А. Комплексна оцінка інвестиційної привабливості країни. </w:t>
      </w:r>
      <w:r w:rsidRPr="00365CE8">
        <w:rPr>
          <w:i/>
          <w:sz w:val="28"/>
          <w:szCs w:val="28"/>
        </w:rPr>
        <w:t>Економічний форум</w:t>
      </w:r>
      <w:r w:rsidRPr="00365CE8">
        <w:rPr>
          <w:sz w:val="28"/>
          <w:szCs w:val="28"/>
        </w:rPr>
        <w:t>. 2016. № 3. С. 51-59.</w:t>
      </w:r>
    </w:p>
    <w:p w14:paraId="6D79DEC1" w14:textId="77777777" w:rsidR="00E80622" w:rsidRPr="00365CE8" w:rsidRDefault="00E80622"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proofErr w:type="spellStart"/>
      <w:r w:rsidRPr="00365CE8">
        <w:rPr>
          <w:sz w:val="28"/>
          <w:szCs w:val="28"/>
        </w:rPr>
        <w:t>Тарабукіна</w:t>
      </w:r>
      <w:proofErr w:type="spellEnd"/>
      <w:r w:rsidRPr="00365CE8">
        <w:rPr>
          <w:sz w:val="28"/>
          <w:szCs w:val="28"/>
        </w:rPr>
        <w:t xml:space="preserve"> О. М. Інвестиційна привабливість території як мотивуючий фактор інвестиційної діяльності. </w:t>
      </w:r>
      <w:r w:rsidRPr="00365CE8">
        <w:rPr>
          <w:i/>
          <w:sz w:val="28"/>
          <w:szCs w:val="28"/>
        </w:rPr>
        <w:t>Інвестиції: практика та досвід</w:t>
      </w:r>
      <w:r w:rsidRPr="00365CE8">
        <w:rPr>
          <w:sz w:val="28"/>
          <w:szCs w:val="28"/>
        </w:rPr>
        <w:t>. 2010. № 12. С.8-11.</w:t>
      </w:r>
    </w:p>
    <w:p w14:paraId="776381D4" w14:textId="77777777" w:rsidR="00F878C6" w:rsidRPr="00365CE8" w:rsidRDefault="00F878C6"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 xml:space="preserve">Яценко А. В. Формування інвестиційної політики зі стратегічних позицій розвитку України. </w:t>
      </w:r>
      <w:r w:rsidRPr="00365CE8">
        <w:rPr>
          <w:i/>
          <w:sz w:val="28"/>
          <w:szCs w:val="28"/>
        </w:rPr>
        <w:t>Інвестиції: практика та досвід</w:t>
      </w:r>
      <w:r w:rsidRPr="00365CE8">
        <w:rPr>
          <w:sz w:val="28"/>
          <w:szCs w:val="28"/>
        </w:rPr>
        <w:t>. 2010. № 8. С. 12–17.</w:t>
      </w:r>
    </w:p>
    <w:p w14:paraId="3F789BA0" w14:textId="77777777" w:rsidR="00F878C6" w:rsidRPr="00365CE8" w:rsidRDefault="00F878C6" w:rsidP="00F878C6">
      <w:pPr>
        <w:pStyle w:val="a5"/>
        <w:numPr>
          <w:ilvl w:val="0"/>
          <w:numId w:val="3"/>
        </w:numPr>
        <w:spacing w:after="0" w:line="240" w:lineRule="auto"/>
        <w:jc w:val="both"/>
        <w:rPr>
          <w:rFonts w:ascii="Times New Roman" w:hAnsi="Times New Roman" w:cs="Times New Roman"/>
          <w:sz w:val="28"/>
          <w:szCs w:val="28"/>
        </w:rPr>
      </w:pPr>
      <w:proofErr w:type="spellStart"/>
      <w:r w:rsidRPr="00365CE8">
        <w:rPr>
          <w:rFonts w:ascii="Times New Roman" w:hAnsi="Times New Roman" w:cs="Times New Roman"/>
          <w:sz w:val="28"/>
          <w:szCs w:val="28"/>
        </w:rPr>
        <w:t>Марцин</w:t>
      </w:r>
      <w:proofErr w:type="spellEnd"/>
      <w:r w:rsidRPr="00365CE8">
        <w:rPr>
          <w:rFonts w:ascii="Times New Roman" w:hAnsi="Times New Roman" w:cs="Times New Roman"/>
          <w:sz w:val="28"/>
          <w:szCs w:val="28"/>
        </w:rPr>
        <w:t xml:space="preserve"> В. С. Заходи щодо покращення інвестиційної привабливості регіону в умовах виходу з кризи. </w:t>
      </w:r>
      <w:r w:rsidRPr="00365CE8">
        <w:rPr>
          <w:rFonts w:ascii="Times New Roman" w:hAnsi="Times New Roman" w:cs="Times New Roman"/>
          <w:i/>
          <w:sz w:val="28"/>
          <w:szCs w:val="28"/>
        </w:rPr>
        <w:t>Регіональна економіка</w:t>
      </w:r>
      <w:r w:rsidRPr="00365CE8">
        <w:rPr>
          <w:rFonts w:ascii="Times New Roman" w:hAnsi="Times New Roman" w:cs="Times New Roman"/>
          <w:sz w:val="28"/>
          <w:szCs w:val="28"/>
        </w:rPr>
        <w:t>. 2010. № 4. С. 46–55.</w:t>
      </w:r>
    </w:p>
    <w:p w14:paraId="10F71B79" w14:textId="77777777" w:rsidR="00F878C6" w:rsidRPr="00365CE8" w:rsidRDefault="00F878C6" w:rsidP="0028541E">
      <w:pPr>
        <w:pStyle w:val="1"/>
        <w:numPr>
          <w:ilvl w:val="0"/>
          <w:numId w:val="3"/>
        </w:numPr>
        <w:shd w:val="clear" w:color="auto" w:fill="auto"/>
        <w:tabs>
          <w:tab w:val="left" w:pos="1070"/>
        </w:tabs>
        <w:spacing w:after="0" w:line="240" w:lineRule="auto"/>
        <w:ind w:left="782" w:right="40" w:hanging="357"/>
        <w:rPr>
          <w:sz w:val="28"/>
          <w:szCs w:val="28"/>
          <w:shd w:val="clear" w:color="auto" w:fill="FFFFFF"/>
        </w:rPr>
      </w:pPr>
      <w:r w:rsidRPr="00365CE8">
        <w:rPr>
          <w:sz w:val="28"/>
          <w:szCs w:val="28"/>
        </w:rPr>
        <w:t xml:space="preserve">Іваноньків О. О. Проблеми інвестування економіки України та шляхи їх вирішення. </w:t>
      </w:r>
      <w:r w:rsidRPr="00365CE8">
        <w:rPr>
          <w:i/>
          <w:sz w:val="28"/>
          <w:szCs w:val="28"/>
        </w:rPr>
        <w:t>Актуальні проблеми економіки</w:t>
      </w:r>
      <w:r w:rsidRPr="00365CE8">
        <w:rPr>
          <w:sz w:val="28"/>
          <w:szCs w:val="28"/>
        </w:rPr>
        <w:t>. Київ : Національна академія управління, 2007. № 11. С. 12–17.</w:t>
      </w:r>
    </w:p>
    <w:p w14:paraId="72E5BC55" w14:textId="77777777" w:rsidR="00807323" w:rsidRPr="00365CE8" w:rsidRDefault="00807323" w:rsidP="0028541E">
      <w:pPr>
        <w:spacing w:after="0" w:line="240" w:lineRule="auto"/>
        <w:jc w:val="center"/>
        <w:rPr>
          <w:rFonts w:ascii="Times New Roman" w:hAnsi="Times New Roman" w:cs="Times New Roman"/>
        </w:rPr>
      </w:pPr>
    </w:p>
    <w:p w14:paraId="7276FEBD" w14:textId="77777777" w:rsidR="00807323" w:rsidRPr="00365CE8" w:rsidRDefault="00807323" w:rsidP="0028541E">
      <w:pPr>
        <w:spacing w:after="0" w:line="240" w:lineRule="auto"/>
        <w:rPr>
          <w:rFonts w:ascii="Times New Roman" w:hAnsi="Times New Roman" w:cs="Times New Roman"/>
          <w:b/>
          <w:sz w:val="28"/>
          <w:szCs w:val="28"/>
        </w:rPr>
      </w:pPr>
      <w:r w:rsidRPr="00365CE8">
        <w:rPr>
          <w:rFonts w:ascii="Times New Roman" w:hAnsi="Times New Roman" w:cs="Times New Roman"/>
          <w:b/>
          <w:sz w:val="28"/>
          <w:szCs w:val="28"/>
        </w:rPr>
        <w:br w:type="page"/>
      </w:r>
    </w:p>
    <w:p w14:paraId="5A178E39" w14:textId="77777777" w:rsidR="00020B4A" w:rsidRPr="00365CE8" w:rsidRDefault="00020B4A" w:rsidP="0028541E">
      <w:pPr>
        <w:spacing w:after="0" w:line="240" w:lineRule="auto"/>
        <w:jc w:val="center"/>
        <w:rPr>
          <w:rFonts w:ascii="Times New Roman" w:hAnsi="Times New Roman" w:cs="Times New Roman"/>
          <w:b/>
          <w:sz w:val="28"/>
          <w:szCs w:val="28"/>
        </w:rPr>
      </w:pPr>
    </w:p>
    <w:p w14:paraId="54B7FA65" w14:textId="77777777" w:rsidR="00020B4A" w:rsidRPr="00365CE8" w:rsidRDefault="00020B4A" w:rsidP="0028541E">
      <w:pPr>
        <w:spacing w:after="0" w:line="240" w:lineRule="auto"/>
        <w:jc w:val="center"/>
        <w:rPr>
          <w:rFonts w:ascii="Times New Roman" w:hAnsi="Times New Roman" w:cs="Times New Roman"/>
          <w:b/>
          <w:sz w:val="28"/>
          <w:szCs w:val="28"/>
        </w:rPr>
      </w:pPr>
    </w:p>
    <w:p w14:paraId="310DDECB" w14:textId="77777777" w:rsidR="00020B4A" w:rsidRPr="00365CE8" w:rsidRDefault="00020B4A" w:rsidP="0028541E">
      <w:pPr>
        <w:spacing w:after="0" w:line="240" w:lineRule="auto"/>
        <w:jc w:val="center"/>
        <w:rPr>
          <w:rFonts w:ascii="Times New Roman" w:hAnsi="Times New Roman" w:cs="Times New Roman"/>
          <w:b/>
          <w:sz w:val="28"/>
          <w:szCs w:val="28"/>
        </w:rPr>
      </w:pPr>
    </w:p>
    <w:p w14:paraId="7C28CD03" w14:textId="77777777" w:rsidR="00020B4A" w:rsidRPr="00365CE8" w:rsidRDefault="00020B4A" w:rsidP="0028541E">
      <w:pPr>
        <w:spacing w:after="0" w:line="240" w:lineRule="auto"/>
        <w:jc w:val="center"/>
        <w:rPr>
          <w:rFonts w:ascii="Times New Roman" w:hAnsi="Times New Roman" w:cs="Times New Roman"/>
          <w:b/>
          <w:sz w:val="28"/>
          <w:szCs w:val="28"/>
        </w:rPr>
      </w:pPr>
    </w:p>
    <w:p w14:paraId="444DDFEE" w14:textId="77777777" w:rsidR="00020B4A" w:rsidRPr="00365CE8" w:rsidRDefault="00020B4A" w:rsidP="0028541E">
      <w:pPr>
        <w:spacing w:after="0" w:line="240" w:lineRule="auto"/>
        <w:jc w:val="center"/>
        <w:rPr>
          <w:rFonts w:ascii="Times New Roman" w:hAnsi="Times New Roman" w:cs="Times New Roman"/>
          <w:b/>
          <w:sz w:val="28"/>
          <w:szCs w:val="28"/>
        </w:rPr>
      </w:pPr>
    </w:p>
    <w:p w14:paraId="7A948067" w14:textId="77777777" w:rsidR="00020B4A" w:rsidRPr="00365CE8" w:rsidRDefault="00020B4A" w:rsidP="0028541E">
      <w:pPr>
        <w:spacing w:after="0" w:line="240" w:lineRule="auto"/>
        <w:jc w:val="center"/>
        <w:rPr>
          <w:rFonts w:ascii="Times New Roman" w:hAnsi="Times New Roman" w:cs="Times New Roman"/>
          <w:b/>
          <w:sz w:val="28"/>
          <w:szCs w:val="28"/>
        </w:rPr>
      </w:pPr>
    </w:p>
    <w:p w14:paraId="2E0EF28B" w14:textId="77777777" w:rsidR="00020B4A" w:rsidRPr="00365CE8" w:rsidRDefault="00020B4A" w:rsidP="0028541E">
      <w:pPr>
        <w:spacing w:after="0" w:line="240" w:lineRule="auto"/>
        <w:jc w:val="center"/>
        <w:rPr>
          <w:rFonts w:ascii="Times New Roman" w:hAnsi="Times New Roman" w:cs="Times New Roman"/>
          <w:b/>
          <w:sz w:val="28"/>
          <w:szCs w:val="28"/>
        </w:rPr>
      </w:pPr>
    </w:p>
    <w:p w14:paraId="0E7B938B" w14:textId="77777777" w:rsidR="00020B4A" w:rsidRPr="00365CE8" w:rsidRDefault="00020B4A" w:rsidP="0028541E">
      <w:pPr>
        <w:spacing w:after="0" w:line="240" w:lineRule="auto"/>
        <w:jc w:val="center"/>
        <w:rPr>
          <w:rFonts w:ascii="Times New Roman" w:hAnsi="Times New Roman" w:cs="Times New Roman"/>
          <w:b/>
          <w:sz w:val="28"/>
          <w:szCs w:val="28"/>
        </w:rPr>
      </w:pPr>
    </w:p>
    <w:p w14:paraId="35D7F531" w14:textId="77777777" w:rsidR="00020B4A" w:rsidRPr="00365CE8" w:rsidRDefault="00020B4A" w:rsidP="0028541E">
      <w:pPr>
        <w:spacing w:after="0" w:line="240" w:lineRule="auto"/>
        <w:jc w:val="center"/>
        <w:rPr>
          <w:rFonts w:ascii="Times New Roman" w:hAnsi="Times New Roman" w:cs="Times New Roman"/>
          <w:b/>
          <w:sz w:val="28"/>
          <w:szCs w:val="28"/>
        </w:rPr>
      </w:pPr>
    </w:p>
    <w:p w14:paraId="38E62D65" w14:textId="77777777" w:rsidR="00020B4A" w:rsidRPr="00365CE8" w:rsidRDefault="00020B4A" w:rsidP="0028541E">
      <w:pPr>
        <w:spacing w:after="0" w:line="240" w:lineRule="auto"/>
        <w:jc w:val="center"/>
        <w:rPr>
          <w:rFonts w:ascii="Times New Roman" w:hAnsi="Times New Roman" w:cs="Times New Roman"/>
          <w:b/>
          <w:sz w:val="28"/>
          <w:szCs w:val="28"/>
        </w:rPr>
      </w:pPr>
    </w:p>
    <w:p w14:paraId="7168584D" w14:textId="77777777" w:rsidR="00020B4A" w:rsidRPr="00365CE8" w:rsidRDefault="00020B4A" w:rsidP="0028541E">
      <w:pPr>
        <w:spacing w:after="0" w:line="240" w:lineRule="auto"/>
        <w:jc w:val="center"/>
        <w:rPr>
          <w:rFonts w:ascii="Times New Roman" w:hAnsi="Times New Roman" w:cs="Times New Roman"/>
          <w:b/>
          <w:sz w:val="28"/>
          <w:szCs w:val="28"/>
        </w:rPr>
      </w:pPr>
    </w:p>
    <w:p w14:paraId="4B106F4B" w14:textId="77777777" w:rsidR="00020B4A" w:rsidRPr="00365CE8" w:rsidRDefault="00020B4A" w:rsidP="0028541E">
      <w:pPr>
        <w:spacing w:after="0" w:line="240" w:lineRule="auto"/>
        <w:jc w:val="center"/>
        <w:rPr>
          <w:rFonts w:ascii="Times New Roman" w:hAnsi="Times New Roman" w:cs="Times New Roman"/>
          <w:b/>
          <w:sz w:val="28"/>
          <w:szCs w:val="28"/>
        </w:rPr>
      </w:pPr>
    </w:p>
    <w:p w14:paraId="508A6AAF" w14:textId="77777777" w:rsidR="00020B4A" w:rsidRPr="00365CE8" w:rsidRDefault="00020B4A" w:rsidP="0028541E">
      <w:pPr>
        <w:spacing w:after="0" w:line="240" w:lineRule="auto"/>
        <w:jc w:val="center"/>
        <w:rPr>
          <w:rFonts w:ascii="Times New Roman" w:hAnsi="Times New Roman" w:cs="Times New Roman"/>
          <w:b/>
          <w:sz w:val="28"/>
          <w:szCs w:val="28"/>
        </w:rPr>
      </w:pPr>
    </w:p>
    <w:p w14:paraId="692B9EA1" w14:textId="77777777" w:rsidR="00020B4A" w:rsidRPr="00365CE8" w:rsidRDefault="00020B4A" w:rsidP="0028541E">
      <w:pPr>
        <w:spacing w:after="0" w:line="240" w:lineRule="auto"/>
        <w:jc w:val="center"/>
        <w:rPr>
          <w:rFonts w:ascii="Times New Roman" w:hAnsi="Times New Roman" w:cs="Times New Roman"/>
          <w:b/>
          <w:sz w:val="28"/>
          <w:szCs w:val="28"/>
        </w:rPr>
      </w:pPr>
    </w:p>
    <w:p w14:paraId="49716546" w14:textId="77777777" w:rsidR="00020B4A" w:rsidRPr="00365CE8" w:rsidRDefault="00020B4A" w:rsidP="0028541E">
      <w:pPr>
        <w:spacing w:after="0" w:line="240" w:lineRule="auto"/>
        <w:jc w:val="center"/>
        <w:rPr>
          <w:rFonts w:ascii="Times New Roman" w:hAnsi="Times New Roman" w:cs="Times New Roman"/>
          <w:b/>
          <w:sz w:val="28"/>
          <w:szCs w:val="28"/>
        </w:rPr>
      </w:pPr>
    </w:p>
    <w:p w14:paraId="1E46FFA8" w14:textId="77777777" w:rsidR="00020B4A" w:rsidRPr="00365CE8" w:rsidRDefault="00020B4A" w:rsidP="0028541E">
      <w:pPr>
        <w:spacing w:after="0" w:line="240" w:lineRule="auto"/>
        <w:jc w:val="center"/>
        <w:rPr>
          <w:rFonts w:ascii="Times New Roman" w:hAnsi="Times New Roman" w:cs="Times New Roman"/>
          <w:b/>
          <w:sz w:val="28"/>
          <w:szCs w:val="28"/>
        </w:rPr>
      </w:pPr>
    </w:p>
    <w:p w14:paraId="24CA7F9D" w14:textId="77777777" w:rsidR="00020B4A" w:rsidRPr="00365CE8" w:rsidRDefault="00020B4A" w:rsidP="0028541E">
      <w:pPr>
        <w:spacing w:after="0" w:line="240" w:lineRule="auto"/>
        <w:jc w:val="center"/>
        <w:rPr>
          <w:rFonts w:ascii="Times New Roman" w:hAnsi="Times New Roman" w:cs="Times New Roman"/>
          <w:b/>
          <w:sz w:val="28"/>
          <w:szCs w:val="28"/>
        </w:rPr>
      </w:pPr>
    </w:p>
    <w:p w14:paraId="078E6AA1" w14:textId="77777777" w:rsidR="00020B4A" w:rsidRPr="00365CE8" w:rsidRDefault="00020B4A" w:rsidP="0028541E">
      <w:pPr>
        <w:spacing w:after="0" w:line="240" w:lineRule="auto"/>
        <w:jc w:val="center"/>
        <w:rPr>
          <w:rFonts w:ascii="Times New Roman" w:hAnsi="Times New Roman" w:cs="Times New Roman"/>
          <w:b/>
          <w:sz w:val="28"/>
          <w:szCs w:val="28"/>
        </w:rPr>
      </w:pPr>
    </w:p>
    <w:p w14:paraId="7D9D45A0" w14:textId="77777777" w:rsidR="00020B4A" w:rsidRPr="00365CE8" w:rsidRDefault="00020B4A" w:rsidP="0028541E">
      <w:pPr>
        <w:spacing w:after="0" w:line="240" w:lineRule="auto"/>
        <w:jc w:val="center"/>
        <w:rPr>
          <w:rFonts w:ascii="Times New Roman" w:hAnsi="Times New Roman" w:cs="Times New Roman"/>
          <w:b/>
          <w:sz w:val="28"/>
          <w:szCs w:val="28"/>
        </w:rPr>
      </w:pPr>
    </w:p>
    <w:p w14:paraId="15851299" w14:textId="77777777" w:rsidR="00020B4A" w:rsidRPr="00365CE8" w:rsidRDefault="00020B4A" w:rsidP="0028541E">
      <w:pPr>
        <w:spacing w:after="0" w:line="240" w:lineRule="auto"/>
        <w:jc w:val="center"/>
        <w:rPr>
          <w:rFonts w:ascii="Times New Roman" w:hAnsi="Times New Roman" w:cs="Times New Roman"/>
          <w:b/>
          <w:sz w:val="28"/>
          <w:szCs w:val="28"/>
        </w:rPr>
      </w:pPr>
    </w:p>
    <w:p w14:paraId="2D273AA5" w14:textId="77777777" w:rsidR="00807323" w:rsidRPr="00365CE8" w:rsidRDefault="00807323" w:rsidP="0028541E">
      <w:pPr>
        <w:spacing w:after="0" w:line="240" w:lineRule="auto"/>
        <w:jc w:val="center"/>
        <w:rPr>
          <w:rFonts w:ascii="Times New Roman" w:hAnsi="Times New Roman" w:cs="Times New Roman"/>
          <w:b/>
          <w:sz w:val="28"/>
          <w:szCs w:val="28"/>
        </w:rPr>
      </w:pPr>
      <w:r w:rsidRPr="00365CE8">
        <w:rPr>
          <w:rFonts w:ascii="Times New Roman" w:hAnsi="Times New Roman" w:cs="Times New Roman"/>
          <w:b/>
          <w:sz w:val="28"/>
          <w:szCs w:val="28"/>
        </w:rPr>
        <w:t>ДОДАТКИ</w:t>
      </w:r>
    </w:p>
    <w:p w14:paraId="55019538" w14:textId="77777777" w:rsidR="001516DF" w:rsidRPr="00365CE8" w:rsidRDefault="001516DF" w:rsidP="0028541E">
      <w:pPr>
        <w:spacing w:after="0" w:line="240" w:lineRule="auto"/>
        <w:rPr>
          <w:rFonts w:ascii="Times New Roman" w:hAnsi="Times New Roman" w:cs="Times New Roman"/>
        </w:rPr>
      </w:pPr>
      <w:r w:rsidRPr="00365CE8">
        <w:rPr>
          <w:rFonts w:ascii="Times New Roman" w:hAnsi="Times New Roman" w:cs="Times New Roman"/>
        </w:rPr>
        <w:br w:type="page"/>
      </w:r>
    </w:p>
    <w:p w14:paraId="38C677E9" w14:textId="77777777" w:rsidR="0028541E" w:rsidRPr="00365CE8" w:rsidRDefault="0028541E" w:rsidP="0028541E">
      <w:pPr>
        <w:autoSpaceDE w:val="0"/>
        <w:autoSpaceDN w:val="0"/>
        <w:adjustRightInd w:val="0"/>
        <w:spacing w:after="0" w:line="240" w:lineRule="auto"/>
        <w:jc w:val="right"/>
        <w:rPr>
          <w:rFonts w:ascii="Times New Roman" w:eastAsia="Times New Roman" w:hAnsi="Times New Roman" w:cs="Times New Roman"/>
          <w:b/>
          <w:sz w:val="24"/>
          <w:szCs w:val="28"/>
          <w:lang w:eastAsia="ru-RU"/>
        </w:rPr>
      </w:pPr>
      <w:r w:rsidRPr="00365CE8">
        <w:rPr>
          <w:rFonts w:ascii="Times New Roman" w:eastAsia="Times New Roman" w:hAnsi="Times New Roman" w:cs="Times New Roman"/>
          <w:b/>
          <w:sz w:val="24"/>
          <w:szCs w:val="28"/>
          <w:lang w:eastAsia="ru-RU"/>
        </w:rPr>
        <w:lastRenderedPageBreak/>
        <w:t>Додаток А</w:t>
      </w:r>
    </w:p>
    <w:p w14:paraId="30F2F51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65CE8">
        <w:rPr>
          <w:rFonts w:ascii="Times New Roman" w:eastAsia="Times New Roman" w:hAnsi="Times New Roman" w:cs="Times New Roman"/>
          <w:b/>
          <w:sz w:val="28"/>
          <w:szCs w:val="28"/>
          <w:lang w:eastAsia="ru-RU"/>
        </w:rPr>
        <w:t>Таблиця А.1 - Динаміка кредитних рейтингів України (боргових зобов’язань) у 2004 - 2023 рр. з[2</w:t>
      </w:r>
      <w:r w:rsidR="00833A1A" w:rsidRPr="00365CE8">
        <w:rPr>
          <w:rFonts w:ascii="Times New Roman" w:eastAsia="Times New Roman" w:hAnsi="Times New Roman" w:cs="Times New Roman"/>
          <w:b/>
          <w:sz w:val="28"/>
          <w:szCs w:val="28"/>
          <w:lang w:val="ru-RU" w:eastAsia="ru-RU"/>
        </w:rPr>
        <w:t>7</w:t>
      </w:r>
      <w:r w:rsidRPr="00365CE8">
        <w:rPr>
          <w:rFonts w:ascii="Times New Roman" w:eastAsia="Times New Roman" w:hAnsi="Times New Roman" w:cs="Times New Roman"/>
          <w:b/>
          <w:sz w:val="28"/>
          <w:szCs w:val="28"/>
          <w:lang w:eastAsia="ru-RU"/>
        </w:rPr>
        <w:t>]</w:t>
      </w:r>
    </w:p>
    <w:tbl>
      <w:tblPr>
        <w:tblpPr w:leftFromText="180" w:rightFromText="180" w:bottomFromText="200" w:vertAnchor="text" w:horzAnchor="margin" w:tblpXSpec="center" w:tblpY="184"/>
        <w:tblW w:w="10620" w:type="dxa"/>
        <w:tblLayout w:type="fixed"/>
        <w:tblCellMar>
          <w:left w:w="0" w:type="dxa"/>
          <w:right w:w="0" w:type="dxa"/>
        </w:tblCellMar>
        <w:tblLook w:val="04A0" w:firstRow="1" w:lastRow="0" w:firstColumn="1" w:lastColumn="0" w:noHBand="0" w:noVBand="1"/>
      </w:tblPr>
      <w:tblGrid>
        <w:gridCol w:w="1686"/>
        <w:gridCol w:w="710"/>
        <w:gridCol w:w="284"/>
        <w:gridCol w:w="850"/>
        <w:gridCol w:w="284"/>
        <w:gridCol w:w="708"/>
        <w:gridCol w:w="284"/>
        <w:gridCol w:w="850"/>
        <w:gridCol w:w="284"/>
        <w:gridCol w:w="1135"/>
        <w:gridCol w:w="283"/>
        <w:gridCol w:w="1277"/>
        <w:gridCol w:w="283"/>
        <w:gridCol w:w="1702"/>
      </w:tblGrid>
      <w:tr w:rsidR="0028541E" w:rsidRPr="00365CE8" w14:paraId="3C3EF8A4" w14:textId="77777777" w:rsidTr="0028541E">
        <w:trPr>
          <w:cantSplit/>
          <w:trHeight w:val="405"/>
        </w:trPr>
        <w:tc>
          <w:tcPr>
            <w:tcW w:w="1686" w:type="dxa"/>
            <w:vMerge w:val="restart"/>
            <w:tcBorders>
              <w:top w:val="single" w:sz="4" w:space="0" w:color="auto"/>
              <w:left w:val="single" w:sz="8" w:space="0" w:color="auto"/>
              <w:bottom w:val="nil"/>
              <w:right w:val="single" w:sz="4" w:space="0" w:color="auto"/>
            </w:tcBorders>
            <w:shd w:val="clear" w:color="auto" w:fill="auto"/>
            <w:noWrap/>
            <w:tcMar>
              <w:top w:w="17" w:type="dxa"/>
              <w:left w:w="17" w:type="dxa"/>
              <w:bottom w:w="0" w:type="dxa"/>
              <w:right w:w="17" w:type="dxa"/>
            </w:tcMar>
            <w:vAlign w:val="center"/>
          </w:tcPr>
          <w:p w14:paraId="73B07BB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65CE8">
              <w:rPr>
                <w:rFonts w:ascii="Times New Roman" w:eastAsia="Times New Roman" w:hAnsi="Times New Roman" w:cs="Times New Roman"/>
                <w:b/>
                <w:bCs/>
                <w:sz w:val="24"/>
                <w:szCs w:val="24"/>
                <w:lang w:eastAsia="ru-RU"/>
              </w:rPr>
              <w:t>Рейтингове</w:t>
            </w:r>
          </w:p>
          <w:p w14:paraId="5486326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65CE8">
              <w:rPr>
                <w:rFonts w:ascii="Times New Roman" w:eastAsia="Times New Roman" w:hAnsi="Times New Roman" w:cs="Times New Roman"/>
                <w:b/>
                <w:bCs/>
                <w:sz w:val="24"/>
                <w:szCs w:val="24"/>
                <w:lang w:eastAsia="ru-RU"/>
              </w:rPr>
              <w:t>агентство</w:t>
            </w:r>
          </w:p>
          <w:p w14:paraId="3B498CFD"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
                <w:bCs/>
                <w:sz w:val="20"/>
                <w:szCs w:val="20"/>
                <w:lang w:eastAsia="ru-RU"/>
              </w:rPr>
            </w:pPr>
            <w:r w:rsidRPr="00365CE8">
              <w:rPr>
                <w:rFonts w:ascii="Times New Roman" w:eastAsia="Arial Unicode MS" w:hAnsi="Times New Roman" w:cs="Times New Roman"/>
                <w:b/>
                <w:bCs/>
                <w:sz w:val="20"/>
                <w:szCs w:val="20"/>
                <w:lang w:eastAsia="ru-RU"/>
              </w:rPr>
              <w:t xml:space="preserve">"Standard &amp; </w:t>
            </w:r>
            <w:proofErr w:type="spellStart"/>
            <w:r w:rsidRPr="00365CE8">
              <w:rPr>
                <w:rFonts w:ascii="Times New Roman" w:eastAsia="Arial Unicode MS" w:hAnsi="Times New Roman" w:cs="Times New Roman"/>
                <w:b/>
                <w:bCs/>
                <w:sz w:val="20"/>
                <w:szCs w:val="20"/>
                <w:lang w:eastAsia="ru-RU"/>
              </w:rPr>
              <w:t>Poor's</w:t>
            </w:r>
            <w:proofErr w:type="spellEnd"/>
            <w:r w:rsidRPr="00365CE8">
              <w:rPr>
                <w:rFonts w:ascii="Times New Roman" w:eastAsia="Arial Unicode MS" w:hAnsi="Times New Roman" w:cs="Times New Roman"/>
                <w:b/>
                <w:bCs/>
                <w:sz w:val="20"/>
                <w:szCs w:val="20"/>
                <w:lang w:eastAsia="ru-RU"/>
              </w:rPr>
              <w:t>”</w:t>
            </w:r>
          </w:p>
          <w:p w14:paraId="0FB29663"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
                <w:bCs/>
                <w:sz w:val="20"/>
                <w:szCs w:val="20"/>
                <w:lang w:eastAsia="ru-RU"/>
              </w:rPr>
            </w:pPr>
          </w:p>
          <w:p w14:paraId="51400A96"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
                <w:bCs/>
                <w:sz w:val="20"/>
                <w:szCs w:val="20"/>
                <w:lang w:eastAsia="ru-RU"/>
              </w:rPr>
            </w:pPr>
            <w:r w:rsidRPr="00365CE8">
              <w:rPr>
                <w:rFonts w:ascii="Times New Roman" w:eastAsia="Arial Unicode MS" w:hAnsi="Times New Roman" w:cs="Times New Roman"/>
                <w:b/>
                <w:bCs/>
                <w:sz w:val="20"/>
                <w:szCs w:val="20"/>
                <w:lang w:eastAsia="ru-RU"/>
              </w:rPr>
              <w:t>(S&amp;P)</w:t>
            </w:r>
          </w:p>
        </w:tc>
        <w:tc>
          <w:tcPr>
            <w:tcW w:w="2128" w:type="dxa"/>
            <w:gridSpan w:val="4"/>
            <w:tcBorders>
              <w:top w:val="single" w:sz="4" w:space="0" w:color="auto"/>
              <w:left w:val="nil"/>
              <w:bottom w:val="nil"/>
              <w:right w:val="single" w:sz="4" w:space="0" w:color="auto"/>
            </w:tcBorders>
            <w:shd w:val="clear" w:color="auto" w:fill="auto"/>
            <w:tcMar>
              <w:top w:w="17" w:type="dxa"/>
              <w:left w:w="17" w:type="dxa"/>
              <w:bottom w:w="0" w:type="dxa"/>
              <w:right w:w="17" w:type="dxa"/>
            </w:tcMar>
            <w:hideMark/>
          </w:tcPr>
          <w:p w14:paraId="20E3064B"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Cs/>
                <w:sz w:val="20"/>
                <w:szCs w:val="20"/>
                <w:lang w:eastAsia="ru-RU"/>
              </w:rPr>
            </w:pPr>
            <w:r w:rsidRPr="00365CE8">
              <w:rPr>
                <w:rFonts w:ascii="Times New Roman" w:eastAsia="Times New Roman" w:hAnsi="Times New Roman" w:cs="Times New Roman"/>
                <w:bCs/>
                <w:sz w:val="20"/>
                <w:szCs w:val="20"/>
                <w:lang w:eastAsia="ru-RU"/>
              </w:rPr>
              <w:t>Рейтинг боргових зобов’язань в іноземній валюті</w:t>
            </w:r>
          </w:p>
        </w:tc>
        <w:tc>
          <w:tcPr>
            <w:tcW w:w="2126" w:type="dxa"/>
            <w:gridSpan w:val="4"/>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hideMark/>
          </w:tcPr>
          <w:p w14:paraId="40753101"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Cs/>
                <w:sz w:val="20"/>
                <w:szCs w:val="20"/>
                <w:lang w:eastAsia="ru-RU"/>
              </w:rPr>
            </w:pPr>
            <w:r w:rsidRPr="00365CE8">
              <w:rPr>
                <w:rFonts w:ascii="Times New Roman" w:eastAsia="Times New Roman" w:hAnsi="Times New Roman" w:cs="Times New Roman"/>
                <w:bCs/>
                <w:sz w:val="20"/>
                <w:szCs w:val="20"/>
                <w:lang w:eastAsia="ru-RU"/>
              </w:rPr>
              <w:t>Рейтинг боргових зобов’язань в національній валюті</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AE5D152"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Рейтинг країни за національною шкалою</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D9C2E74"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Прогноз</w:t>
            </w:r>
          </w:p>
        </w:tc>
        <w:tc>
          <w:tcPr>
            <w:tcW w:w="1702" w:type="dxa"/>
            <w:vMerge w:val="restart"/>
            <w:tcBorders>
              <w:top w:val="single" w:sz="4" w:space="0" w:color="auto"/>
              <w:left w:val="single" w:sz="4" w:space="0" w:color="auto"/>
              <w:bottom w:val="single" w:sz="4" w:space="0" w:color="auto"/>
              <w:right w:val="single" w:sz="8" w:space="0" w:color="auto"/>
            </w:tcBorders>
            <w:shd w:val="clear" w:color="auto" w:fill="auto"/>
            <w:tcMar>
              <w:top w:w="17" w:type="dxa"/>
              <w:left w:w="17" w:type="dxa"/>
              <w:bottom w:w="0" w:type="dxa"/>
              <w:right w:w="17" w:type="dxa"/>
            </w:tcMar>
            <w:vAlign w:val="center"/>
            <w:hideMark/>
          </w:tcPr>
          <w:p w14:paraId="3BAECEC4" w14:textId="77777777" w:rsidR="0028541E" w:rsidRPr="00365CE8" w:rsidRDefault="0028541E" w:rsidP="0028541E">
            <w:pPr>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Дата присвоєння / підтвердження рейтингу</w:t>
            </w:r>
          </w:p>
        </w:tc>
      </w:tr>
      <w:tr w:rsidR="0028541E" w:rsidRPr="00365CE8" w14:paraId="52A26714" w14:textId="77777777" w:rsidTr="0028541E">
        <w:trPr>
          <w:cantSplit/>
          <w:trHeight w:val="1425"/>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56D57156"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994" w:type="dxa"/>
            <w:gridSpan w:val="2"/>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textDirection w:val="btLr"/>
            <w:vAlign w:val="center"/>
            <w:hideMark/>
          </w:tcPr>
          <w:p w14:paraId="5569CE3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Довгострокові</w:t>
            </w:r>
          </w:p>
          <w:p w14:paraId="5718723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зобов’язання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extDirection w:val="btLr"/>
            <w:vAlign w:val="center"/>
            <w:hideMark/>
          </w:tcPr>
          <w:p w14:paraId="5FE17859"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Короткострокові зобов’язання</w:t>
            </w:r>
          </w:p>
        </w:tc>
        <w:tc>
          <w:tcPr>
            <w:tcW w:w="992" w:type="dxa"/>
            <w:gridSpan w:val="2"/>
            <w:tcBorders>
              <w:top w:val="nil"/>
              <w:left w:val="nil"/>
              <w:bottom w:val="single" w:sz="4" w:space="0" w:color="auto"/>
              <w:right w:val="single" w:sz="4" w:space="0" w:color="auto"/>
            </w:tcBorders>
            <w:shd w:val="clear" w:color="auto" w:fill="auto"/>
            <w:noWrap/>
            <w:tcMar>
              <w:top w:w="17" w:type="dxa"/>
              <w:left w:w="17" w:type="dxa"/>
              <w:bottom w:w="0" w:type="dxa"/>
              <w:right w:w="17" w:type="dxa"/>
            </w:tcMar>
            <w:textDirection w:val="btLr"/>
            <w:vAlign w:val="center"/>
            <w:hideMark/>
          </w:tcPr>
          <w:p w14:paraId="67D2D129"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Довгострокові</w:t>
            </w:r>
          </w:p>
          <w:p w14:paraId="1DAF022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зобов’язання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5DF1D64C"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Короткострокові зобов’язання</w:t>
            </w: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B71CCB" w14:textId="77777777" w:rsidR="0028541E" w:rsidRPr="00365CE8" w:rsidRDefault="0028541E" w:rsidP="0028541E">
            <w:pPr>
              <w:spacing w:after="0" w:line="240" w:lineRule="auto"/>
              <w:rPr>
                <w:rFonts w:ascii="Times New Roman" w:eastAsia="Times New Roman" w:hAnsi="Times New Roman" w:cs="Times New Roman"/>
                <w:sz w:val="20"/>
                <w:szCs w:val="20"/>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8D862E7" w14:textId="77777777" w:rsidR="0028541E" w:rsidRPr="00365CE8" w:rsidRDefault="0028541E" w:rsidP="0028541E">
            <w:pPr>
              <w:spacing w:after="0" w:line="240" w:lineRule="auto"/>
              <w:rPr>
                <w:rFonts w:ascii="Times New Roman" w:eastAsia="Times New Roman" w:hAnsi="Times New Roman" w:cs="Times New Roman"/>
                <w:sz w:val="20"/>
                <w:szCs w:val="20"/>
                <w:lang w:eastAsia="ru-RU"/>
              </w:rPr>
            </w:pPr>
          </w:p>
        </w:tc>
        <w:tc>
          <w:tcPr>
            <w:tcW w:w="1702"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14:paraId="7056F282" w14:textId="77777777" w:rsidR="0028541E" w:rsidRPr="00365CE8" w:rsidRDefault="0028541E" w:rsidP="0028541E">
            <w:pPr>
              <w:spacing w:after="0" w:line="240" w:lineRule="auto"/>
              <w:rPr>
                <w:rFonts w:ascii="Times New Roman" w:eastAsia="Arial Unicode MS" w:hAnsi="Times New Roman" w:cs="Times New Roman"/>
                <w:sz w:val="20"/>
                <w:szCs w:val="20"/>
                <w:lang w:eastAsia="ru-RU"/>
              </w:rPr>
            </w:pPr>
          </w:p>
        </w:tc>
      </w:tr>
      <w:tr w:rsidR="0028541E" w:rsidRPr="00365CE8" w14:paraId="6671A6F2" w14:textId="77777777" w:rsidTr="0028541E">
        <w:trPr>
          <w:trHeight w:val="309"/>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3B593BDD"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95A5FB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B16751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79731D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E5F3B2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66D164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1FD0DE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40ACB1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D1DA3A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51BD89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850148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33087C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7D616D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B361FD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10 червня 2016 р.</w:t>
            </w:r>
          </w:p>
        </w:tc>
      </w:tr>
      <w:tr w:rsidR="0028541E" w:rsidRPr="00365CE8" w14:paraId="0B3B69EB" w14:textId="77777777" w:rsidTr="0028541E">
        <w:trPr>
          <w:trHeight w:val="20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311E7259"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815916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E780AC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E42B04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F71D6A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D45BC3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75225C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5802C0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126794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C07D6D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3C8B59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5EC3B5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2ADB41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CE2289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9 грудня 2016 р.</w:t>
            </w:r>
          </w:p>
        </w:tc>
      </w:tr>
      <w:tr w:rsidR="0028541E" w:rsidRPr="00365CE8" w14:paraId="35E1CA8E"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015B2009"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FE8AD9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C578BA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594CA2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81B81A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24A7EF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EF5E7F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AD153A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B826AA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543869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A8EAEC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ED438C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E91EE9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F7B3D0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12 травня 2017 р.</w:t>
            </w:r>
          </w:p>
        </w:tc>
      </w:tr>
      <w:tr w:rsidR="0028541E" w:rsidRPr="00365CE8" w14:paraId="352569C4"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3224714B"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B1B1D9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A4A1CE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84423A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918DE6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A186D8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62FC88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22C20F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1F928E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EA2EDE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B8E65E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0E9243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B1F3A3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808D02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10 листопада 2017 р.</w:t>
            </w:r>
          </w:p>
        </w:tc>
      </w:tr>
      <w:tr w:rsidR="0028541E" w:rsidRPr="00365CE8" w14:paraId="74D184CB" w14:textId="77777777" w:rsidTr="0028541E">
        <w:trPr>
          <w:trHeight w:val="16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77574DA1"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B4A19F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4D3EC8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125ED5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70F8EA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ADF96C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EA7ED1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B3E756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62B9EA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273492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BCA7C7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215C1A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7B367D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8A31E6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20 квітня 2018 р.</w:t>
            </w:r>
          </w:p>
        </w:tc>
      </w:tr>
      <w:tr w:rsidR="0028541E" w:rsidRPr="00365CE8" w14:paraId="32CA260A"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24E04EDE"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C3E5C8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F6FDA7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11CEF0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E09E92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D427DA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ADBF6A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392C70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0EA274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1F13FB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26D59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FDC772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7D37AE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71E5C5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27 червня 2018 р.</w:t>
            </w:r>
          </w:p>
        </w:tc>
      </w:tr>
      <w:tr w:rsidR="0028541E" w:rsidRPr="00365CE8" w14:paraId="445A60FD"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102227B3"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959BE3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2E41D8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44E799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19ABD9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86824B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E56738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59AC81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DFB60E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FC1D82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A8F617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99BA6C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35A7DE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19DF8B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19 жовтня 2018 р.</w:t>
            </w:r>
          </w:p>
        </w:tc>
      </w:tr>
      <w:tr w:rsidR="0028541E" w:rsidRPr="00365CE8" w14:paraId="244AF04A"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5A4796B6"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76DA4E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45CE5A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AE2EB1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7E60DC3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4EE140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C836B1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8B1538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5DE8F5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62E4EC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991156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DEE62C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D50A17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94F5A5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12 квітня 2019 р.</w:t>
            </w:r>
          </w:p>
        </w:tc>
      </w:tr>
      <w:tr w:rsidR="0028541E" w:rsidRPr="00365CE8" w14:paraId="55036DAA"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69F1116F"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036C54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hideMark/>
          </w:tcPr>
          <w:p w14:paraId="303A716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D1E7DD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5CED57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ADFCB5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6896AC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0D3274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F96520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4D5360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uaА</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86647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8C8EC5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F20A26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202EB2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27 вересня 2019 р.</w:t>
            </w:r>
          </w:p>
        </w:tc>
      </w:tr>
      <w:tr w:rsidR="0028541E" w:rsidRPr="00365CE8" w14:paraId="23D6C792"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7F92E553"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174A7C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35626A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B16DEC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76DD5B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BAC50E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CA97B9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CF68A5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925566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870E63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uaА</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E3BBCC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4C68D2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02260C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1E8321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13 березня 2020 р.</w:t>
            </w:r>
          </w:p>
        </w:tc>
      </w:tr>
      <w:tr w:rsidR="0028541E" w:rsidRPr="00365CE8" w14:paraId="218BBFCB"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01B2E164"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67D796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56A6D6C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98AA54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6F265F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C3F574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5050E3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E00689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0B963A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3313F6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uaА</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35B548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1C6725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51E6A3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ADED48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11 вересня 2020 р.</w:t>
            </w:r>
          </w:p>
        </w:tc>
      </w:tr>
      <w:tr w:rsidR="0028541E" w:rsidRPr="00365CE8" w14:paraId="28077830"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0949A18C"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8C7205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3A2FC6E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5EF437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6FC367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4C29EA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94DD06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93FCCF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FA5F9C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D6BA13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uaА</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51523C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70A973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C57A72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9B3F69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12 березня 2021 р.</w:t>
            </w:r>
          </w:p>
        </w:tc>
      </w:tr>
      <w:tr w:rsidR="0028541E" w:rsidRPr="00365CE8" w14:paraId="65B4FE82"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419A9CE8"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382577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1A6201E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CF042C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83DAA4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0BB0AB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295DD0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A4E10C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FE60F4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7E451E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uaА</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D281A8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68DE18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C115B3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0E469A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10 вересня 2021 р.</w:t>
            </w:r>
          </w:p>
        </w:tc>
      </w:tr>
      <w:tr w:rsidR="0028541E" w:rsidRPr="00365CE8" w14:paraId="38B2BF12"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6B94A3D4"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05DFDB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0DB3F8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620128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77396C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86CA3B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AD27A2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7A4101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1C0B175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08BCA5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E1BA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CD7005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Перегляд з можливим зниженням</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44E4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4AB3F9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25 лютого 2022 р.</w:t>
            </w:r>
          </w:p>
        </w:tc>
      </w:tr>
      <w:tr w:rsidR="0028541E" w:rsidRPr="00365CE8" w14:paraId="2F78B109"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3C58F91F"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C59DD1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cPr>
          <w:p w14:paraId="5E83E2D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4A16AD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F8D21D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458C7A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CEFCCC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6908F5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2D8DA4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43B649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58E933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9B1FB0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Перегляд з можливим зниженням</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BF7D37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D77941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11 березня 2022 р.</w:t>
            </w:r>
          </w:p>
        </w:tc>
      </w:tr>
      <w:tr w:rsidR="0028541E" w:rsidRPr="00365CE8" w14:paraId="5A651A05" w14:textId="77777777" w:rsidTr="0028541E">
        <w:trPr>
          <w:trHeight w:val="402"/>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442C8414"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AD3DCF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CD1BB1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502370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1067FD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163CCC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CB2B39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E9FCF5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3E30F2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8C857D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8DF317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57A8CD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Негативний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978B97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76FE30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27 травня 2022 р.</w:t>
            </w:r>
          </w:p>
        </w:tc>
      </w:tr>
      <w:tr w:rsidR="0028541E" w:rsidRPr="00365CE8" w14:paraId="2468D694" w14:textId="77777777" w:rsidTr="0028541E">
        <w:trPr>
          <w:trHeight w:val="402"/>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73A41E89"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A345D1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5E4F86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C1968C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75D61F7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283066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799915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96943A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654DBA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07B267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uaВВВ</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F7EFDF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5E2C88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Негативний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834837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1A3650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29 липня 2022 р.</w:t>
            </w:r>
          </w:p>
        </w:tc>
      </w:tr>
      <w:tr w:rsidR="0028541E" w:rsidRPr="00365CE8" w14:paraId="7EC19303" w14:textId="77777777" w:rsidTr="0028541E">
        <w:trPr>
          <w:trHeight w:val="402"/>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64FCB56B"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DC8B8E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SD</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86ACA3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3DB83D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SD</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75D478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08E45B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CCC+</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D15230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EED50B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13EEE9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65352C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uaBB</w:t>
            </w:r>
            <w:proofErr w:type="spellEnd"/>
            <w:r w:rsidRPr="00365CE8">
              <w:rPr>
                <w:rFonts w:ascii="Times New Roman" w:eastAsia="Times New Roman" w:hAnsi="Times New Roman" w:cs="Times New Roman"/>
                <w:sz w:val="20"/>
                <w:szCs w:val="20"/>
                <w:lang w:eastAsia="ru-RU"/>
              </w:rPr>
              <w:t>-</w:t>
            </w: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A3EF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96E011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C2D93A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B86002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12 серпня 2022 р.</w:t>
            </w:r>
          </w:p>
        </w:tc>
      </w:tr>
      <w:tr w:rsidR="0028541E" w:rsidRPr="00365CE8" w14:paraId="1D020F0B" w14:textId="77777777" w:rsidTr="0028541E">
        <w:trPr>
          <w:trHeight w:val="402"/>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6331E408"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C05F02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ADBF66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3893B5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2B5611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35AF1A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CCC+</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2F5208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0EEE1B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755D08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22D4A2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uaBB</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82406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5ECF2B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6E28B57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AC685A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19 серпня 2022 р.</w:t>
            </w:r>
          </w:p>
        </w:tc>
      </w:tr>
      <w:tr w:rsidR="0028541E" w:rsidRPr="00365CE8" w14:paraId="72458E89" w14:textId="77777777" w:rsidTr="0028541E">
        <w:trPr>
          <w:trHeight w:val="402"/>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7307D563"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E92203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6EBA5F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949E9F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3A1734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3D0871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CCC+</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1DB79D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BDCEF2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5CFE67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3CA272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uaBB</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D4C993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E9DFC9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DEFF62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9C2691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10 березня 2023 р.</w:t>
            </w:r>
          </w:p>
        </w:tc>
      </w:tr>
      <w:tr w:rsidR="0028541E" w:rsidRPr="00365CE8" w14:paraId="0D0E3E93" w14:textId="77777777" w:rsidTr="0028541E">
        <w:trPr>
          <w:trHeight w:val="402"/>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717A040B"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0FA17F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575AC2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E5A3D2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76E87A4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FA7B45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CCC+</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FBEFAA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CA37CB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76F539F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8BED59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uaBB</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C14AF5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09759E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Негативний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1960965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9751E0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 xml:space="preserve">6 квітня 2023 р. </w:t>
            </w:r>
          </w:p>
        </w:tc>
      </w:tr>
      <w:tr w:rsidR="0028541E" w:rsidRPr="00365CE8" w14:paraId="308C2434" w14:textId="77777777" w:rsidTr="0028541E">
        <w:trPr>
          <w:trHeight w:val="402"/>
        </w:trPr>
        <w:tc>
          <w:tcPr>
            <w:tcW w:w="1686" w:type="dxa"/>
            <w:tcBorders>
              <w:top w:val="nil"/>
              <w:left w:val="single" w:sz="4" w:space="0" w:color="auto"/>
              <w:bottom w:val="single" w:sz="4" w:space="0" w:color="auto"/>
              <w:right w:val="single" w:sz="4" w:space="0" w:color="auto"/>
            </w:tcBorders>
            <w:shd w:val="clear" w:color="auto" w:fill="auto"/>
            <w:vAlign w:val="center"/>
          </w:tcPr>
          <w:p w14:paraId="7683582E" w14:textId="77777777" w:rsidR="0028541E" w:rsidRPr="00365CE8" w:rsidRDefault="0028541E" w:rsidP="0028541E">
            <w:pPr>
              <w:spacing w:after="0" w:line="240" w:lineRule="auto"/>
              <w:rPr>
                <w:rFonts w:ascii="Times New Roman" w:eastAsia="Arial Unicode MS" w:hAnsi="Times New Roman" w:cs="Times New Roman"/>
                <w:b/>
                <w:bCs/>
                <w:sz w:val="28"/>
                <w:szCs w:val="28"/>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7DAC13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CCC</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E323E9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89896E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0E2DB0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9F9D96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CCC+</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116759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5AB44D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167D553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13AAF5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uaBB</w:t>
            </w:r>
            <w:proofErr w:type="spellEnd"/>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36480D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1AF2D0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Негативний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85ED0C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87CA32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8 вересня 2023 р.</w:t>
            </w:r>
          </w:p>
        </w:tc>
      </w:tr>
    </w:tbl>
    <w:p w14:paraId="0B559D3C"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10"/>
          <w:szCs w:val="20"/>
          <w:lang w:eastAsia="ru-RU"/>
        </w:rPr>
      </w:pPr>
    </w:p>
    <w:p w14:paraId="6E7DBF11" w14:textId="77777777" w:rsidR="0028541E" w:rsidRPr="00365CE8" w:rsidRDefault="0028541E" w:rsidP="0028541E">
      <w:pPr>
        <w:spacing w:after="0" w:line="240" w:lineRule="auto"/>
        <w:rPr>
          <w:rFonts w:ascii="Times New Roman" w:eastAsia="Times New Roman" w:hAnsi="Times New Roman" w:cs="Times New Roman"/>
          <w:sz w:val="10"/>
          <w:szCs w:val="20"/>
          <w:lang w:eastAsia="ru-RU"/>
        </w:rPr>
      </w:pPr>
      <w:r w:rsidRPr="00365CE8">
        <w:rPr>
          <w:rFonts w:ascii="Times New Roman" w:eastAsia="Times New Roman" w:hAnsi="Times New Roman" w:cs="Times New Roman"/>
          <w:sz w:val="10"/>
          <w:szCs w:val="20"/>
          <w:lang w:eastAsia="ru-RU"/>
        </w:rPr>
        <w:br w:type="page"/>
      </w:r>
    </w:p>
    <w:p w14:paraId="6917D8D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65CE8">
        <w:rPr>
          <w:rFonts w:ascii="Times New Roman" w:eastAsia="Times New Roman" w:hAnsi="Times New Roman" w:cs="Times New Roman"/>
          <w:b/>
          <w:sz w:val="28"/>
          <w:szCs w:val="28"/>
          <w:lang w:eastAsia="ru-RU"/>
        </w:rPr>
        <w:lastRenderedPageBreak/>
        <w:t>Таблиця А.2 - Динаміка кредитних рейтингів України (боргових зобов’язань) у 2004 - 2023 рр. з[</w:t>
      </w:r>
      <w:r w:rsidR="00833A1A" w:rsidRPr="00365CE8">
        <w:rPr>
          <w:rFonts w:ascii="Times New Roman" w:eastAsia="Times New Roman" w:hAnsi="Times New Roman" w:cs="Times New Roman"/>
          <w:b/>
          <w:sz w:val="28"/>
          <w:szCs w:val="28"/>
          <w:lang w:eastAsia="ru-RU"/>
        </w:rPr>
        <w:t>2</w:t>
      </w:r>
      <w:r w:rsidR="00833A1A" w:rsidRPr="00365CE8">
        <w:rPr>
          <w:rFonts w:ascii="Times New Roman" w:eastAsia="Times New Roman" w:hAnsi="Times New Roman" w:cs="Times New Roman"/>
          <w:b/>
          <w:sz w:val="28"/>
          <w:szCs w:val="28"/>
          <w:lang w:val="ru-RU" w:eastAsia="ru-RU"/>
        </w:rPr>
        <w:t>7</w:t>
      </w:r>
      <w:r w:rsidRPr="00365CE8">
        <w:rPr>
          <w:rFonts w:ascii="Times New Roman" w:eastAsia="Times New Roman" w:hAnsi="Times New Roman" w:cs="Times New Roman"/>
          <w:b/>
          <w:sz w:val="28"/>
          <w:szCs w:val="28"/>
          <w:lang w:eastAsia="ru-RU"/>
        </w:rPr>
        <w:t>]</w:t>
      </w:r>
    </w:p>
    <w:p w14:paraId="52E5F4FC"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10"/>
          <w:szCs w:val="20"/>
          <w:lang w:eastAsia="ru-RU"/>
        </w:rPr>
      </w:pPr>
    </w:p>
    <w:tbl>
      <w:tblPr>
        <w:tblpPr w:leftFromText="180" w:rightFromText="180" w:bottomFromText="200" w:vertAnchor="text" w:horzAnchor="margin" w:tblpXSpec="center" w:tblpY="184"/>
        <w:tblW w:w="10620" w:type="dxa"/>
        <w:tblLayout w:type="fixed"/>
        <w:tblCellMar>
          <w:left w:w="0" w:type="dxa"/>
          <w:right w:w="0" w:type="dxa"/>
        </w:tblCellMar>
        <w:tblLook w:val="04A0" w:firstRow="1" w:lastRow="0" w:firstColumn="1" w:lastColumn="0" w:noHBand="0" w:noVBand="1"/>
      </w:tblPr>
      <w:tblGrid>
        <w:gridCol w:w="1686"/>
        <w:gridCol w:w="710"/>
        <w:gridCol w:w="284"/>
        <w:gridCol w:w="850"/>
        <w:gridCol w:w="284"/>
        <w:gridCol w:w="708"/>
        <w:gridCol w:w="284"/>
        <w:gridCol w:w="850"/>
        <w:gridCol w:w="284"/>
        <w:gridCol w:w="1135"/>
        <w:gridCol w:w="283"/>
        <w:gridCol w:w="1277"/>
        <w:gridCol w:w="283"/>
        <w:gridCol w:w="1702"/>
      </w:tblGrid>
      <w:tr w:rsidR="0028541E" w:rsidRPr="00365CE8" w14:paraId="1F8D21A9" w14:textId="77777777" w:rsidTr="0028541E">
        <w:trPr>
          <w:cantSplit/>
          <w:trHeight w:val="405"/>
        </w:trPr>
        <w:tc>
          <w:tcPr>
            <w:tcW w:w="1686" w:type="dxa"/>
            <w:vMerge w:val="restart"/>
            <w:tcBorders>
              <w:top w:val="single" w:sz="4" w:space="0" w:color="auto"/>
              <w:left w:val="single" w:sz="8" w:space="0" w:color="auto"/>
              <w:bottom w:val="nil"/>
              <w:right w:val="single" w:sz="4" w:space="0" w:color="auto"/>
            </w:tcBorders>
            <w:shd w:val="clear" w:color="auto" w:fill="auto"/>
            <w:noWrap/>
            <w:tcMar>
              <w:top w:w="17" w:type="dxa"/>
              <w:left w:w="17" w:type="dxa"/>
              <w:bottom w:w="0" w:type="dxa"/>
              <w:right w:w="17" w:type="dxa"/>
            </w:tcMar>
            <w:vAlign w:val="center"/>
          </w:tcPr>
          <w:p w14:paraId="5AF45BA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65CE8">
              <w:rPr>
                <w:rFonts w:ascii="Times New Roman" w:eastAsia="Times New Roman" w:hAnsi="Times New Roman" w:cs="Times New Roman"/>
                <w:b/>
                <w:bCs/>
                <w:sz w:val="24"/>
                <w:szCs w:val="24"/>
                <w:lang w:eastAsia="ru-RU"/>
              </w:rPr>
              <w:t>Рейтингове</w:t>
            </w:r>
          </w:p>
          <w:p w14:paraId="6B6E373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65CE8">
              <w:rPr>
                <w:rFonts w:ascii="Times New Roman" w:eastAsia="Times New Roman" w:hAnsi="Times New Roman" w:cs="Times New Roman"/>
                <w:b/>
                <w:bCs/>
                <w:sz w:val="24"/>
                <w:szCs w:val="24"/>
                <w:lang w:eastAsia="ru-RU"/>
              </w:rPr>
              <w:t>агентство</w:t>
            </w:r>
          </w:p>
          <w:p w14:paraId="7E4A2A39"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
                <w:bCs/>
                <w:sz w:val="20"/>
                <w:szCs w:val="20"/>
                <w:lang w:eastAsia="ru-RU"/>
              </w:rPr>
            </w:pPr>
            <w:r w:rsidRPr="00365CE8">
              <w:rPr>
                <w:rFonts w:ascii="Times New Roman" w:eastAsia="Arial Unicode MS" w:hAnsi="Times New Roman" w:cs="Times New Roman"/>
                <w:b/>
                <w:bCs/>
                <w:sz w:val="20"/>
                <w:szCs w:val="20"/>
                <w:lang w:eastAsia="ru-RU"/>
              </w:rPr>
              <w:t>“</w:t>
            </w:r>
            <w:proofErr w:type="spellStart"/>
            <w:r w:rsidRPr="00365CE8">
              <w:rPr>
                <w:rFonts w:ascii="Times New Roman" w:eastAsia="Arial Unicode MS" w:hAnsi="Times New Roman" w:cs="Times New Roman"/>
                <w:b/>
                <w:bCs/>
                <w:sz w:val="20"/>
                <w:szCs w:val="20"/>
                <w:lang w:eastAsia="ru-RU"/>
              </w:rPr>
              <w:t>Fitch</w:t>
            </w:r>
            <w:proofErr w:type="spellEnd"/>
            <w:r w:rsidRPr="00365CE8">
              <w:rPr>
                <w:rFonts w:ascii="Times New Roman" w:eastAsia="Arial Unicode MS" w:hAnsi="Times New Roman" w:cs="Times New Roman"/>
                <w:b/>
                <w:bCs/>
                <w:sz w:val="20"/>
                <w:szCs w:val="20"/>
                <w:lang w:eastAsia="ru-RU"/>
              </w:rPr>
              <w:t xml:space="preserve"> </w:t>
            </w:r>
            <w:proofErr w:type="spellStart"/>
            <w:r w:rsidRPr="00365CE8">
              <w:rPr>
                <w:rFonts w:ascii="Times New Roman" w:eastAsia="Arial Unicode MS" w:hAnsi="Times New Roman" w:cs="Times New Roman"/>
                <w:b/>
                <w:bCs/>
                <w:sz w:val="20"/>
                <w:szCs w:val="20"/>
                <w:lang w:eastAsia="ru-RU"/>
              </w:rPr>
              <w:t>Ratings</w:t>
            </w:r>
            <w:proofErr w:type="spellEnd"/>
            <w:r w:rsidRPr="00365CE8">
              <w:rPr>
                <w:rFonts w:ascii="Times New Roman" w:eastAsia="Arial Unicode MS" w:hAnsi="Times New Roman" w:cs="Times New Roman"/>
                <w:b/>
                <w:bCs/>
                <w:sz w:val="20"/>
                <w:szCs w:val="20"/>
                <w:lang w:eastAsia="ru-RU"/>
              </w:rPr>
              <w:t>”</w:t>
            </w:r>
          </w:p>
          <w:p w14:paraId="7E42D1B4"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
                <w:bCs/>
                <w:sz w:val="20"/>
                <w:szCs w:val="20"/>
                <w:lang w:eastAsia="ru-RU"/>
              </w:rPr>
            </w:pPr>
          </w:p>
          <w:p w14:paraId="6473D01D"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
                <w:bCs/>
                <w:sz w:val="20"/>
                <w:szCs w:val="20"/>
                <w:lang w:eastAsia="ru-RU"/>
              </w:rPr>
            </w:pPr>
            <w:r w:rsidRPr="00365CE8">
              <w:rPr>
                <w:rFonts w:ascii="Times New Roman" w:eastAsia="Arial Unicode MS" w:hAnsi="Times New Roman" w:cs="Times New Roman"/>
                <w:b/>
                <w:bCs/>
                <w:sz w:val="20"/>
                <w:szCs w:val="20"/>
                <w:lang w:eastAsia="ru-RU"/>
              </w:rPr>
              <w:t>(</w:t>
            </w:r>
            <w:proofErr w:type="spellStart"/>
            <w:r w:rsidRPr="00365CE8">
              <w:rPr>
                <w:rFonts w:ascii="Times New Roman" w:eastAsia="Arial Unicode MS" w:hAnsi="Times New Roman" w:cs="Times New Roman"/>
                <w:b/>
                <w:bCs/>
                <w:sz w:val="20"/>
                <w:szCs w:val="20"/>
                <w:lang w:eastAsia="ru-RU"/>
              </w:rPr>
              <w:t>Fitch</w:t>
            </w:r>
            <w:proofErr w:type="spellEnd"/>
            <w:r w:rsidRPr="00365CE8">
              <w:rPr>
                <w:rFonts w:ascii="Times New Roman" w:eastAsia="Arial Unicode MS" w:hAnsi="Times New Roman" w:cs="Times New Roman"/>
                <w:b/>
                <w:bCs/>
                <w:sz w:val="20"/>
                <w:szCs w:val="20"/>
                <w:lang w:eastAsia="ru-RU"/>
              </w:rPr>
              <w:t>)</w:t>
            </w:r>
          </w:p>
        </w:tc>
        <w:tc>
          <w:tcPr>
            <w:tcW w:w="2128" w:type="dxa"/>
            <w:gridSpan w:val="4"/>
            <w:tcBorders>
              <w:top w:val="single" w:sz="4" w:space="0" w:color="auto"/>
              <w:left w:val="nil"/>
              <w:bottom w:val="nil"/>
              <w:right w:val="single" w:sz="4" w:space="0" w:color="auto"/>
            </w:tcBorders>
            <w:shd w:val="clear" w:color="auto" w:fill="auto"/>
            <w:tcMar>
              <w:top w:w="17" w:type="dxa"/>
              <w:left w:w="17" w:type="dxa"/>
              <w:bottom w:w="0" w:type="dxa"/>
              <w:right w:w="17" w:type="dxa"/>
            </w:tcMar>
            <w:hideMark/>
          </w:tcPr>
          <w:p w14:paraId="4A03CDC3"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Cs/>
                <w:sz w:val="20"/>
                <w:szCs w:val="20"/>
                <w:lang w:eastAsia="ru-RU"/>
              </w:rPr>
            </w:pPr>
            <w:r w:rsidRPr="00365CE8">
              <w:rPr>
                <w:rFonts w:ascii="Times New Roman" w:eastAsia="Times New Roman" w:hAnsi="Times New Roman" w:cs="Times New Roman"/>
                <w:bCs/>
                <w:sz w:val="20"/>
                <w:szCs w:val="20"/>
                <w:lang w:eastAsia="ru-RU"/>
              </w:rPr>
              <w:t>Рейтинг боргових зобов’язань в іноземній валюті</w:t>
            </w:r>
          </w:p>
        </w:tc>
        <w:tc>
          <w:tcPr>
            <w:tcW w:w="2126" w:type="dxa"/>
            <w:gridSpan w:val="4"/>
            <w:tcBorders>
              <w:top w:val="single" w:sz="4" w:space="0" w:color="auto"/>
              <w:left w:val="nil"/>
              <w:bottom w:val="single" w:sz="4" w:space="0" w:color="auto"/>
              <w:right w:val="single" w:sz="4" w:space="0" w:color="auto"/>
            </w:tcBorders>
            <w:shd w:val="clear" w:color="auto" w:fill="auto"/>
            <w:tcMar>
              <w:top w:w="17" w:type="dxa"/>
              <w:left w:w="17" w:type="dxa"/>
              <w:bottom w:w="0" w:type="dxa"/>
              <w:right w:w="17" w:type="dxa"/>
            </w:tcMar>
            <w:hideMark/>
          </w:tcPr>
          <w:p w14:paraId="0EF99AE5"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Cs/>
                <w:sz w:val="20"/>
                <w:szCs w:val="20"/>
                <w:lang w:eastAsia="ru-RU"/>
              </w:rPr>
            </w:pPr>
            <w:r w:rsidRPr="00365CE8">
              <w:rPr>
                <w:rFonts w:ascii="Times New Roman" w:eastAsia="Times New Roman" w:hAnsi="Times New Roman" w:cs="Times New Roman"/>
                <w:bCs/>
                <w:sz w:val="20"/>
                <w:szCs w:val="20"/>
                <w:lang w:eastAsia="ru-RU"/>
              </w:rPr>
              <w:t>Рейтинг боргових зобов’язань в національній валюті</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8B7E9A2"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Рейтинг країни за національною шкалою</w:t>
            </w:r>
          </w:p>
        </w:tc>
        <w:tc>
          <w:tcPr>
            <w:tcW w:w="15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28AA64B"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Прогноз</w:t>
            </w:r>
          </w:p>
        </w:tc>
        <w:tc>
          <w:tcPr>
            <w:tcW w:w="1702" w:type="dxa"/>
            <w:vMerge w:val="restart"/>
            <w:tcBorders>
              <w:top w:val="single" w:sz="4" w:space="0" w:color="auto"/>
              <w:left w:val="single" w:sz="4" w:space="0" w:color="auto"/>
              <w:bottom w:val="single" w:sz="4" w:space="0" w:color="auto"/>
              <w:right w:val="single" w:sz="8" w:space="0" w:color="auto"/>
            </w:tcBorders>
            <w:shd w:val="clear" w:color="auto" w:fill="auto"/>
            <w:tcMar>
              <w:top w:w="17" w:type="dxa"/>
              <w:left w:w="17" w:type="dxa"/>
              <w:bottom w:w="0" w:type="dxa"/>
              <w:right w:w="17" w:type="dxa"/>
            </w:tcMar>
            <w:vAlign w:val="center"/>
            <w:hideMark/>
          </w:tcPr>
          <w:p w14:paraId="7C1A7F28" w14:textId="77777777" w:rsidR="0028541E" w:rsidRPr="00365CE8" w:rsidRDefault="0028541E" w:rsidP="0028541E">
            <w:pPr>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Дата присвоєння / підтвердження рейтингу</w:t>
            </w:r>
          </w:p>
        </w:tc>
      </w:tr>
      <w:tr w:rsidR="0028541E" w:rsidRPr="00365CE8" w14:paraId="04870839" w14:textId="77777777" w:rsidTr="0028541E">
        <w:trPr>
          <w:cantSplit/>
          <w:trHeight w:val="1425"/>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04511B40"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994" w:type="dxa"/>
            <w:gridSpan w:val="2"/>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textDirection w:val="btLr"/>
            <w:vAlign w:val="center"/>
            <w:hideMark/>
          </w:tcPr>
          <w:p w14:paraId="368F2B5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Довгострокові</w:t>
            </w:r>
          </w:p>
          <w:p w14:paraId="2D7E47D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зобов’язання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extDirection w:val="btLr"/>
            <w:vAlign w:val="center"/>
            <w:hideMark/>
          </w:tcPr>
          <w:p w14:paraId="60974638"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Короткострокові зобов’язання</w:t>
            </w:r>
          </w:p>
        </w:tc>
        <w:tc>
          <w:tcPr>
            <w:tcW w:w="992" w:type="dxa"/>
            <w:gridSpan w:val="2"/>
            <w:tcBorders>
              <w:top w:val="nil"/>
              <w:left w:val="nil"/>
              <w:bottom w:val="single" w:sz="4" w:space="0" w:color="auto"/>
              <w:right w:val="single" w:sz="4" w:space="0" w:color="auto"/>
            </w:tcBorders>
            <w:shd w:val="clear" w:color="auto" w:fill="auto"/>
            <w:noWrap/>
            <w:tcMar>
              <w:top w:w="17" w:type="dxa"/>
              <w:left w:w="17" w:type="dxa"/>
              <w:bottom w:w="0" w:type="dxa"/>
              <w:right w:w="17" w:type="dxa"/>
            </w:tcMar>
            <w:textDirection w:val="btLr"/>
            <w:vAlign w:val="center"/>
            <w:hideMark/>
          </w:tcPr>
          <w:p w14:paraId="266DABE3"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Довгострокові</w:t>
            </w:r>
          </w:p>
          <w:p w14:paraId="5867D94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зобов’язання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2306C937"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Короткострокові зобов’язання</w:t>
            </w:r>
          </w:p>
        </w:tc>
        <w:tc>
          <w:tcPr>
            <w:tcW w:w="170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620FB5" w14:textId="77777777" w:rsidR="0028541E" w:rsidRPr="00365CE8" w:rsidRDefault="0028541E" w:rsidP="0028541E">
            <w:pPr>
              <w:spacing w:after="0" w:line="240" w:lineRule="auto"/>
              <w:rPr>
                <w:rFonts w:ascii="Times New Roman" w:eastAsia="Times New Roman" w:hAnsi="Times New Roman" w:cs="Times New Roman"/>
                <w:sz w:val="20"/>
                <w:szCs w:val="20"/>
                <w:lang w:eastAsia="ru-RU"/>
              </w:rPr>
            </w:pPr>
          </w:p>
        </w:tc>
        <w:tc>
          <w:tcPr>
            <w:tcW w:w="1843"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016C99" w14:textId="77777777" w:rsidR="0028541E" w:rsidRPr="00365CE8" w:rsidRDefault="0028541E" w:rsidP="0028541E">
            <w:pPr>
              <w:spacing w:after="0" w:line="240" w:lineRule="auto"/>
              <w:rPr>
                <w:rFonts w:ascii="Times New Roman" w:eastAsia="Times New Roman" w:hAnsi="Times New Roman" w:cs="Times New Roman"/>
                <w:sz w:val="20"/>
                <w:szCs w:val="20"/>
                <w:lang w:eastAsia="ru-RU"/>
              </w:rPr>
            </w:pPr>
          </w:p>
        </w:tc>
        <w:tc>
          <w:tcPr>
            <w:tcW w:w="1702" w:type="dxa"/>
            <w:vMerge/>
            <w:tcBorders>
              <w:top w:val="single" w:sz="4" w:space="0" w:color="auto"/>
              <w:left w:val="single" w:sz="4" w:space="0" w:color="auto"/>
              <w:bottom w:val="single" w:sz="4" w:space="0" w:color="auto"/>
              <w:right w:val="single" w:sz="8" w:space="0" w:color="auto"/>
            </w:tcBorders>
            <w:shd w:val="clear" w:color="auto" w:fill="auto"/>
            <w:vAlign w:val="center"/>
            <w:hideMark/>
          </w:tcPr>
          <w:p w14:paraId="50AFD4E4" w14:textId="77777777" w:rsidR="0028541E" w:rsidRPr="00365CE8" w:rsidRDefault="0028541E" w:rsidP="0028541E">
            <w:pPr>
              <w:spacing w:after="0" w:line="240" w:lineRule="auto"/>
              <w:rPr>
                <w:rFonts w:ascii="Times New Roman" w:eastAsia="Arial Unicode MS" w:hAnsi="Times New Roman" w:cs="Times New Roman"/>
                <w:sz w:val="20"/>
                <w:szCs w:val="20"/>
                <w:lang w:eastAsia="ru-RU"/>
              </w:rPr>
            </w:pPr>
          </w:p>
        </w:tc>
      </w:tr>
      <w:tr w:rsidR="0028541E" w:rsidRPr="00365CE8" w14:paraId="71D721DC"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4B531A92"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E2F1EC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0BD1DB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22A231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590FDE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6685B8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C8D46F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2E8D05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88D8C8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955A2C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551ECC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72F480C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FC416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0651B5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13 травня 2016 р.</w:t>
            </w:r>
          </w:p>
        </w:tc>
      </w:tr>
      <w:tr w:rsidR="0028541E" w:rsidRPr="00365CE8" w14:paraId="1183559A"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653AF0ED"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139A59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B9358F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EC9E3C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233815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CF6983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B3B32A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912157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5CF55C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E1B307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41F891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8DB303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BD5874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9B435D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22 липня 2016 р.</w:t>
            </w:r>
          </w:p>
        </w:tc>
      </w:tr>
      <w:tr w:rsidR="0028541E" w:rsidRPr="00365CE8" w14:paraId="25849062"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7677A13A"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671155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B4BD05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68391F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084533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F79BA6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BEFDAB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BA5FF7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A46243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32"/>
                <w:szCs w:val="32"/>
                <w:lang w:eastAsia="ru-RU"/>
              </w:rPr>
              <w:t>↑</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FE81D6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6BE01C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25793C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44CBFFC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1200C4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11 листопада 2016 р.</w:t>
            </w:r>
          </w:p>
        </w:tc>
      </w:tr>
      <w:tr w:rsidR="0028541E" w:rsidRPr="00365CE8" w14:paraId="677EA4C1"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69A3D218"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CBFE26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85D2A4F"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92D0EF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0A2D8F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269618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FCF58E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093509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1E88930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87DD81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ED72AE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F954C8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DA515B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13E8B9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28 квітня 2017 р.</w:t>
            </w:r>
          </w:p>
        </w:tc>
      </w:tr>
      <w:tr w:rsidR="0028541E" w:rsidRPr="00365CE8" w14:paraId="3821FD39"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00836C17"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CD6580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5FB6AFE"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94479E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3054E6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D9DF48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FBAA57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66B094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34F6EB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957235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EF4B28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C71B5A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15325A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DD965C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27 жовтня 2017 р.</w:t>
            </w:r>
          </w:p>
        </w:tc>
      </w:tr>
      <w:tr w:rsidR="0028541E" w:rsidRPr="00365CE8" w14:paraId="34205453"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0AFC5890"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DDE528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51099BA"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8E62D2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15E9D3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5C2FAD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41EB1A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891151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0E2D9F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9CFAA1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EBC653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C84697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ECEDCC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0F7F93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27 квітня 2018 р.</w:t>
            </w:r>
          </w:p>
        </w:tc>
      </w:tr>
      <w:tr w:rsidR="0028541E" w:rsidRPr="00365CE8" w14:paraId="25CB036A"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574FC779"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AA4463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B25D2D0"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5156FE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2737C0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36A543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12E826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04C6B0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EB2B05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823569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EBEA58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2E19D8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14657B0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42D380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26 жовтня 2018 р.</w:t>
            </w:r>
          </w:p>
        </w:tc>
      </w:tr>
      <w:tr w:rsidR="0028541E" w:rsidRPr="00365CE8" w14:paraId="62BC8D0B"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784ECD0D"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21D59D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B0D7416"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E2B530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F1DE92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9861EF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95E9A2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D4BF13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57226F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74DDD5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1307BD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C0BB3E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01AC1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333BBE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8 березня 2019 р.</w:t>
            </w:r>
          </w:p>
        </w:tc>
      </w:tr>
      <w:tr w:rsidR="0028541E" w:rsidRPr="00365CE8" w14:paraId="38EAB075"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767BD00F"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6E9D35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35CE501"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DCA26A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F391BC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CEC401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E64A50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61BC71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2B2D85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222408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713048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FA11BA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Позитивний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72AE145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B4ECBB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6 вересня 2019 р.</w:t>
            </w:r>
          </w:p>
        </w:tc>
      </w:tr>
      <w:tr w:rsidR="0028541E" w:rsidRPr="00365CE8" w14:paraId="052245B4"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1E804515"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9E7028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E58F551"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5C8236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A04084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7BF6DE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5E8216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555D77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936C2E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4E0AC6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5A42CEF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00BF5D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Позитивний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5E2ED7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DBD604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6 березня 2020 р.</w:t>
            </w:r>
          </w:p>
        </w:tc>
      </w:tr>
      <w:tr w:rsidR="0028541E" w:rsidRPr="00365CE8" w14:paraId="2ADF7735"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0ED8C4B0"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CFE538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3D82A3B"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6D8E36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998318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EB08C0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5F840F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FE1BA9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1C12CA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ADA895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CD3887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A26864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22FB591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F94CF3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22 квітня 2020 р.</w:t>
            </w:r>
          </w:p>
        </w:tc>
      </w:tr>
      <w:tr w:rsidR="0028541E" w:rsidRPr="00365CE8" w14:paraId="6CC866A7"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59ED057E"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4F8996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022BE99"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FF6988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246153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5A89A4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03256B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635F05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7E5314F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4587FF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62328CD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851C09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3571CD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FF9CA0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4 вересня 2020 р.</w:t>
            </w:r>
          </w:p>
        </w:tc>
      </w:tr>
      <w:tr w:rsidR="0028541E" w:rsidRPr="00365CE8" w14:paraId="51942612"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5F16F506"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EC2D7C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3DD872C"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497899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485265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31CA6F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D3DC63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5E920B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1B97FD7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0E2BB6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53C591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732150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75C9EC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7451DC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26 лютого 2021 р.</w:t>
            </w:r>
          </w:p>
        </w:tc>
      </w:tr>
      <w:tr w:rsidR="0028541E" w:rsidRPr="00365CE8" w14:paraId="7307D673"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3B856505"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7813A8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3AFDC83"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CAB444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167954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DD6F98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B2F41A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EF6717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F6AEAB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3BB798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1A32CE7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A28A16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Позитивний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73C58A6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C5C111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6 серпня 2021 р.</w:t>
            </w:r>
          </w:p>
        </w:tc>
      </w:tr>
      <w:tr w:rsidR="0028541E" w:rsidRPr="00365CE8" w14:paraId="74349276"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0EBADDCF"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1DC148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30D7AED"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731D32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D7E5F1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41248E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C846AA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EFCC8E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B</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2B5564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1BB0F3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043D11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4B9B2B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30A731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2ED49C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4 лютого 2022 р.</w:t>
            </w:r>
          </w:p>
        </w:tc>
      </w:tr>
      <w:tr w:rsidR="0028541E" w:rsidRPr="00365CE8" w14:paraId="77C9ECA6"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1FE3AF08"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CBE8A9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4D89888"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46057A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F10392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C6D54B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95828F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627FA2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6B35D2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32"/>
                <w:szCs w:val="32"/>
                <w:lang w:eastAsia="ru-RU"/>
              </w:rPr>
              <w:t>↓</w:t>
            </w: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A09EF4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0A2E04B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27691C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9C26D5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2E9360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25 лютого 2022 р.</w:t>
            </w:r>
          </w:p>
        </w:tc>
      </w:tr>
      <w:tr w:rsidR="0028541E" w:rsidRPr="00365CE8" w14:paraId="1FCD426C"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18889B50"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BBAFB0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F3DAA90"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BC540C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9533D2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95CFA3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EF8316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28B137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C76325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D760E5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25111E8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1CCD3C1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886514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3E83F3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22 липня 2022 р.</w:t>
            </w:r>
          </w:p>
        </w:tc>
      </w:tr>
      <w:tr w:rsidR="0028541E" w:rsidRPr="00365CE8" w14:paraId="0A2E9968"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2079FA3C"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28190D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RD</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F9E2EB2"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2722B0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0EA47A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6CC62E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CCC-</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9FC2F4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AAFC44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40A158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1E8192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018FF5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A07E23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B7DB0A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FEE75E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12 серпня 2022 р.</w:t>
            </w:r>
          </w:p>
        </w:tc>
      </w:tr>
      <w:tr w:rsidR="0028541E" w:rsidRPr="00365CE8" w14:paraId="4593C113"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38BFE6E0"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508ECC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2705A1F"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B3E2A3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AE6100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7013E5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5C1AE7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24E74F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6EA76C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BDAC57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2D57F8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389509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5E51A0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12362D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17 серпня 2022 р.</w:t>
            </w:r>
          </w:p>
        </w:tc>
      </w:tr>
      <w:tr w:rsidR="0028541E" w:rsidRPr="00365CE8" w14:paraId="24B57469" w14:textId="77777777" w:rsidTr="0028541E">
        <w:trPr>
          <w:trHeight w:val="340"/>
        </w:trPr>
        <w:tc>
          <w:tcPr>
            <w:tcW w:w="1686" w:type="dxa"/>
            <w:vMerge/>
            <w:tcBorders>
              <w:top w:val="single" w:sz="4" w:space="0" w:color="auto"/>
              <w:left w:val="single" w:sz="8" w:space="0" w:color="auto"/>
              <w:bottom w:val="nil"/>
              <w:right w:val="single" w:sz="4" w:space="0" w:color="auto"/>
            </w:tcBorders>
            <w:shd w:val="clear" w:color="auto" w:fill="auto"/>
            <w:vAlign w:val="center"/>
            <w:hideMark/>
          </w:tcPr>
          <w:p w14:paraId="5062D01E"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9D6E88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4A2CCB8"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49494A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3185E8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8F03FC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3CBBF7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A7CE99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51AD40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145AA0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4899787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2AF022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4EF1C63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C4D189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20 січня 2023 р.</w:t>
            </w:r>
          </w:p>
        </w:tc>
      </w:tr>
      <w:tr w:rsidR="0028541E" w:rsidRPr="00365CE8" w14:paraId="1F7739AA" w14:textId="77777777" w:rsidTr="0028541E">
        <w:trPr>
          <w:trHeight w:val="340"/>
        </w:trPr>
        <w:tc>
          <w:tcPr>
            <w:tcW w:w="1686" w:type="dxa"/>
            <w:tcBorders>
              <w:top w:val="nil"/>
              <w:left w:val="single" w:sz="4" w:space="0" w:color="auto"/>
              <w:bottom w:val="nil"/>
              <w:right w:val="single" w:sz="4" w:space="0" w:color="auto"/>
            </w:tcBorders>
            <w:shd w:val="clear" w:color="auto" w:fill="auto"/>
            <w:vAlign w:val="center"/>
          </w:tcPr>
          <w:p w14:paraId="603F96EA" w14:textId="77777777" w:rsidR="0028541E" w:rsidRPr="00365CE8" w:rsidRDefault="0028541E" w:rsidP="0028541E">
            <w:pPr>
              <w:spacing w:after="0" w:line="240" w:lineRule="auto"/>
              <w:rPr>
                <w:rFonts w:ascii="Times New Roman" w:eastAsia="Arial Unicode MS" w:hAnsi="Times New Roman" w:cs="Times New Roman"/>
                <w:b/>
                <w:bCs/>
                <w:sz w:val="28"/>
                <w:szCs w:val="28"/>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28D86B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CC</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A770AE8"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3EA1EA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17A5E7B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2B7FF6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CCC-</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7CE34B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CCA849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04C67D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E38BA0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7144D82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79266DC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24E119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805541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23 червня 2023 р.</w:t>
            </w:r>
          </w:p>
        </w:tc>
      </w:tr>
      <w:tr w:rsidR="0028541E" w:rsidRPr="00365CE8" w14:paraId="629E450A" w14:textId="77777777" w:rsidTr="0028541E">
        <w:trPr>
          <w:trHeight w:val="340"/>
        </w:trPr>
        <w:tc>
          <w:tcPr>
            <w:tcW w:w="1686" w:type="dxa"/>
            <w:tcBorders>
              <w:top w:val="nil"/>
              <w:left w:val="single" w:sz="4" w:space="0" w:color="auto"/>
              <w:bottom w:val="single" w:sz="4" w:space="0" w:color="auto"/>
              <w:right w:val="single" w:sz="4" w:space="0" w:color="auto"/>
            </w:tcBorders>
            <w:shd w:val="clear" w:color="auto" w:fill="auto"/>
            <w:vAlign w:val="center"/>
          </w:tcPr>
          <w:p w14:paraId="3BEC03A7" w14:textId="77777777" w:rsidR="0028541E" w:rsidRPr="00365CE8" w:rsidRDefault="0028541E" w:rsidP="0028541E">
            <w:pPr>
              <w:spacing w:after="0" w:line="240" w:lineRule="auto"/>
              <w:rPr>
                <w:rFonts w:ascii="Times New Roman" w:eastAsia="Arial Unicode MS" w:hAnsi="Times New Roman" w:cs="Times New Roman"/>
                <w:b/>
                <w:bCs/>
                <w:sz w:val="28"/>
                <w:szCs w:val="28"/>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854EFC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D7FF539"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0EF413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5A55C4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3D106D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4FFA4F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E69840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00FB062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135"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92767B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vAlign w:val="center"/>
          </w:tcPr>
          <w:p w14:paraId="37C3EDF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277"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728D116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8E1226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2"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FF2045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8 грудня 2023 р.</w:t>
            </w:r>
          </w:p>
        </w:tc>
      </w:tr>
    </w:tbl>
    <w:p w14:paraId="6CCB87FE"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10"/>
          <w:szCs w:val="10"/>
          <w:lang w:eastAsia="ru-RU"/>
        </w:rPr>
      </w:pPr>
    </w:p>
    <w:p w14:paraId="572D02AC" w14:textId="77777777" w:rsidR="0028541E" w:rsidRPr="00365CE8" w:rsidRDefault="0028541E" w:rsidP="0028541E">
      <w:pPr>
        <w:spacing w:after="0" w:line="240" w:lineRule="auto"/>
        <w:rPr>
          <w:rFonts w:ascii="Times New Roman" w:eastAsia="Times New Roman" w:hAnsi="Times New Roman" w:cs="Times New Roman"/>
          <w:sz w:val="10"/>
          <w:szCs w:val="10"/>
          <w:lang w:eastAsia="ru-RU"/>
        </w:rPr>
      </w:pPr>
      <w:r w:rsidRPr="00365CE8">
        <w:rPr>
          <w:rFonts w:ascii="Times New Roman" w:eastAsia="Times New Roman" w:hAnsi="Times New Roman" w:cs="Times New Roman"/>
          <w:sz w:val="10"/>
          <w:szCs w:val="10"/>
          <w:lang w:eastAsia="ru-RU"/>
        </w:rPr>
        <w:br w:type="page"/>
      </w:r>
    </w:p>
    <w:p w14:paraId="74CC73C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65CE8">
        <w:rPr>
          <w:rFonts w:ascii="Times New Roman" w:eastAsia="Times New Roman" w:hAnsi="Times New Roman" w:cs="Times New Roman"/>
          <w:b/>
          <w:sz w:val="28"/>
          <w:szCs w:val="28"/>
          <w:lang w:eastAsia="ru-RU"/>
        </w:rPr>
        <w:lastRenderedPageBreak/>
        <w:t>Таблиця А.3 - Динаміка кредитних рейтингів України (боргових зобов’язань) у 2004 - 2023 рр. з[2</w:t>
      </w:r>
      <w:r w:rsidR="00833A1A" w:rsidRPr="00365CE8">
        <w:rPr>
          <w:rFonts w:ascii="Times New Roman" w:eastAsia="Times New Roman" w:hAnsi="Times New Roman" w:cs="Times New Roman"/>
          <w:b/>
          <w:sz w:val="28"/>
          <w:szCs w:val="28"/>
          <w:lang w:val="ru-RU" w:eastAsia="ru-RU"/>
        </w:rPr>
        <w:t>7</w:t>
      </w:r>
      <w:r w:rsidRPr="00365CE8">
        <w:rPr>
          <w:rFonts w:ascii="Times New Roman" w:eastAsia="Times New Roman" w:hAnsi="Times New Roman" w:cs="Times New Roman"/>
          <w:b/>
          <w:sz w:val="28"/>
          <w:szCs w:val="28"/>
          <w:lang w:eastAsia="ru-RU"/>
        </w:rPr>
        <w:t>]</w:t>
      </w:r>
    </w:p>
    <w:p w14:paraId="628347DA" w14:textId="77777777" w:rsidR="0028541E" w:rsidRPr="00365CE8" w:rsidRDefault="0028541E" w:rsidP="0028541E">
      <w:pPr>
        <w:autoSpaceDE w:val="0"/>
        <w:autoSpaceDN w:val="0"/>
        <w:adjustRightInd w:val="0"/>
        <w:spacing w:after="0" w:line="240" w:lineRule="auto"/>
        <w:rPr>
          <w:rFonts w:ascii="Times New Roman" w:eastAsia="Times New Roman" w:hAnsi="Times New Roman" w:cs="Times New Roman"/>
          <w:sz w:val="10"/>
          <w:szCs w:val="10"/>
          <w:lang w:eastAsia="ru-RU"/>
        </w:rPr>
      </w:pPr>
    </w:p>
    <w:tbl>
      <w:tblPr>
        <w:tblpPr w:leftFromText="180" w:rightFromText="180" w:bottomFromText="200" w:vertAnchor="text" w:horzAnchor="margin" w:tblpXSpec="center" w:tblpY="64"/>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710"/>
        <w:gridCol w:w="284"/>
        <w:gridCol w:w="850"/>
        <w:gridCol w:w="284"/>
        <w:gridCol w:w="601"/>
        <w:gridCol w:w="391"/>
        <w:gridCol w:w="850"/>
        <w:gridCol w:w="284"/>
        <w:gridCol w:w="1135"/>
        <w:gridCol w:w="283"/>
        <w:gridCol w:w="1277"/>
        <w:gridCol w:w="283"/>
        <w:gridCol w:w="1702"/>
      </w:tblGrid>
      <w:tr w:rsidR="0028541E" w:rsidRPr="00365CE8" w14:paraId="30D5A198" w14:textId="77777777" w:rsidTr="0028541E">
        <w:trPr>
          <w:cantSplit/>
          <w:trHeight w:val="405"/>
        </w:trPr>
        <w:tc>
          <w:tcPr>
            <w:tcW w:w="1688" w:type="dxa"/>
            <w:vMerge w:val="restart"/>
            <w:shd w:val="clear" w:color="auto" w:fill="auto"/>
            <w:noWrap/>
            <w:tcMar>
              <w:top w:w="17" w:type="dxa"/>
              <w:left w:w="17" w:type="dxa"/>
              <w:bottom w:w="0" w:type="dxa"/>
              <w:right w:w="17" w:type="dxa"/>
            </w:tcMar>
            <w:vAlign w:val="center"/>
          </w:tcPr>
          <w:p w14:paraId="6168620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65CE8">
              <w:rPr>
                <w:rFonts w:ascii="Times New Roman" w:eastAsia="Times New Roman" w:hAnsi="Times New Roman" w:cs="Times New Roman"/>
                <w:b/>
                <w:bCs/>
                <w:sz w:val="24"/>
                <w:szCs w:val="24"/>
                <w:lang w:eastAsia="ru-RU"/>
              </w:rPr>
              <w:t>Рейтингове</w:t>
            </w:r>
          </w:p>
          <w:p w14:paraId="7C851BE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65CE8">
              <w:rPr>
                <w:rFonts w:ascii="Times New Roman" w:eastAsia="Times New Roman" w:hAnsi="Times New Roman" w:cs="Times New Roman"/>
                <w:b/>
                <w:bCs/>
                <w:sz w:val="24"/>
                <w:szCs w:val="24"/>
                <w:lang w:eastAsia="ru-RU"/>
              </w:rPr>
              <w:t>агентство</w:t>
            </w:r>
          </w:p>
          <w:p w14:paraId="198C4EB4" w14:textId="77777777" w:rsidR="0028541E" w:rsidRPr="00365CE8" w:rsidRDefault="0028541E" w:rsidP="0028541E">
            <w:pPr>
              <w:shd w:val="clear" w:color="auto" w:fill="F5F7FA"/>
              <w:spacing w:after="0" w:line="240" w:lineRule="auto"/>
              <w:jc w:val="center"/>
              <w:textAlignment w:val="baseline"/>
              <w:rPr>
                <w:rFonts w:ascii="Times New Roman" w:eastAsia="Times New Roman" w:hAnsi="Times New Roman" w:cs="Times New Roman"/>
                <w:sz w:val="24"/>
                <w:szCs w:val="24"/>
                <w:lang w:eastAsia="ru-RU"/>
              </w:rPr>
            </w:pPr>
            <w:proofErr w:type="spellStart"/>
            <w:r w:rsidRPr="00365CE8">
              <w:rPr>
                <w:rFonts w:ascii="Times New Roman" w:eastAsia="Times New Roman" w:hAnsi="Times New Roman" w:cs="Times New Roman"/>
                <w:b/>
                <w:bCs/>
                <w:sz w:val="24"/>
                <w:szCs w:val="24"/>
                <w:bdr w:val="none" w:sz="0" w:space="0" w:color="auto" w:frame="1"/>
                <w:lang w:eastAsia="ru-RU"/>
              </w:rPr>
              <w:t>Rating</w:t>
            </w:r>
            <w:proofErr w:type="spellEnd"/>
            <w:r w:rsidRPr="00365CE8">
              <w:rPr>
                <w:rFonts w:ascii="Times New Roman" w:eastAsia="Times New Roman" w:hAnsi="Times New Roman" w:cs="Times New Roman"/>
                <w:b/>
                <w:bCs/>
                <w:sz w:val="24"/>
                <w:szCs w:val="24"/>
                <w:bdr w:val="none" w:sz="0" w:space="0" w:color="auto" w:frame="1"/>
                <w:lang w:eastAsia="ru-RU"/>
              </w:rPr>
              <w:t xml:space="preserve"> </w:t>
            </w:r>
            <w:proofErr w:type="spellStart"/>
            <w:r w:rsidRPr="00365CE8">
              <w:rPr>
                <w:rFonts w:ascii="Times New Roman" w:eastAsia="Times New Roman" w:hAnsi="Times New Roman" w:cs="Times New Roman"/>
                <w:b/>
                <w:bCs/>
                <w:sz w:val="24"/>
                <w:szCs w:val="24"/>
                <w:bdr w:val="none" w:sz="0" w:space="0" w:color="auto" w:frame="1"/>
                <w:lang w:eastAsia="ru-RU"/>
              </w:rPr>
              <w:t>and</w:t>
            </w:r>
            <w:proofErr w:type="spellEnd"/>
            <w:r w:rsidRPr="00365CE8">
              <w:rPr>
                <w:rFonts w:ascii="Times New Roman" w:eastAsia="Times New Roman" w:hAnsi="Times New Roman" w:cs="Times New Roman"/>
                <w:b/>
                <w:bCs/>
                <w:sz w:val="24"/>
                <w:szCs w:val="24"/>
                <w:bdr w:val="none" w:sz="0" w:space="0" w:color="auto" w:frame="1"/>
                <w:lang w:eastAsia="ru-RU"/>
              </w:rPr>
              <w:t xml:space="preserve"> </w:t>
            </w:r>
            <w:proofErr w:type="spellStart"/>
            <w:r w:rsidRPr="00365CE8">
              <w:rPr>
                <w:rFonts w:ascii="Times New Roman" w:eastAsia="Times New Roman" w:hAnsi="Times New Roman" w:cs="Times New Roman"/>
                <w:b/>
                <w:bCs/>
                <w:sz w:val="24"/>
                <w:szCs w:val="24"/>
                <w:bdr w:val="none" w:sz="0" w:space="0" w:color="auto" w:frame="1"/>
                <w:lang w:eastAsia="ru-RU"/>
              </w:rPr>
              <w:t>Investment</w:t>
            </w:r>
            <w:proofErr w:type="spellEnd"/>
          </w:p>
          <w:p w14:paraId="36B40484" w14:textId="77777777" w:rsidR="0028541E" w:rsidRPr="00365CE8" w:rsidRDefault="0028541E" w:rsidP="0028541E">
            <w:pPr>
              <w:shd w:val="clear" w:color="auto" w:fill="F5F7FA"/>
              <w:spacing w:after="0" w:line="240" w:lineRule="auto"/>
              <w:jc w:val="center"/>
              <w:textAlignment w:val="baseline"/>
              <w:rPr>
                <w:rFonts w:ascii="Times New Roman" w:eastAsia="Times New Roman" w:hAnsi="Times New Roman" w:cs="Times New Roman"/>
                <w:sz w:val="24"/>
                <w:szCs w:val="24"/>
                <w:lang w:eastAsia="ru-RU"/>
              </w:rPr>
            </w:pPr>
            <w:proofErr w:type="spellStart"/>
            <w:r w:rsidRPr="00365CE8">
              <w:rPr>
                <w:rFonts w:ascii="Times New Roman" w:eastAsia="Times New Roman" w:hAnsi="Times New Roman" w:cs="Times New Roman"/>
                <w:b/>
                <w:bCs/>
                <w:sz w:val="24"/>
                <w:szCs w:val="24"/>
                <w:bdr w:val="none" w:sz="0" w:space="0" w:color="auto" w:frame="1"/>
                <w:lang w:eastAsia="ru-RU"/>
              </w:rPr>
              <w:t>Information</w:t>
            </w:r>
            <w:proofErr w:type="spellEnd"/>
            <w:r w:rsidRPr="00365CE8">
              <w:rPr>
                <w:rFonts w:ascii="Times New Roman" w:eastAsia="Times New Roman" w:hAnsi="Times New Roman" w:cs="Times New Roman"/>
                <w:b/>
                <w:bCs/>
                <w:sz w:val="24"/>
                <w:szCs w:val="24"/>
                <w:bdr w:val="none" w:sz="0" w:space="0" w:color="auto" w:frame="1"/>
                <w:lang w:eastAsia="ru-RU"/>
              </w:rPr>
              <w:t>, Inc</w:t>
            </w:r>
            <w:r w:rsidRPr="00365CE8">
              <w:rPr>
                <w:rFonts w:ascii="Times New Roman" w:eastAsia="Times New Roman" w:hAnsi="Times New Roman" w:cs="Times New Roman"/>
                <w:sz w:val="24"/>
                <w:szCs w:val="24"/>
                <w:lang w:eastAsia="ru-RU"/>
              </w:rPr>
              <w:t>.*</w:t>
            </w:r>
          </w:p>
          <w:p w14:paraId="331E0D7A" w14:textId="77777777" w:rsidR="0028541E" w:rsidRPr="00365CE8" w:rsidRDefault="0028541E" w:rsidP="0028541E">
            <w:pPr>
              <w:shd w:val="clear" w:color="auto" w:fill="F5F7FA"/>
              <w:spacing w:after="0" w:line="240" w:lineRule="auto"/>
              <w:jc w:val="center"/>
              <w:textAlignment w:val="baseline"/>
              <w:rPr>
                <w:rFonts w:ascii="Times New Roman" w:eastAsia="Times New Roman" w:hAnsi="Times New Roman" w:cs="Times New Roman"/>
                <w:sz w:val="24"/>
                <w:szCs w:val="24"/>
                <w:lang w:eastAsia="ru-RU"/>
              </w:rPr>
            </w:pPr>
            <w:r w:rsidRPr="00365CE8">
              <w:rPr>
                <w:rFonts w:ascii="Times New Roman" w:eastAsia="Times New Roman" w:hAnsi="Times New Roman" w:cs="Times New Roman"/>
                <w:sz w:val="24"/>
                <w:szCs w:val="24"/>
                <w:lang w:eastAsia="ru-RU"/>
              </w:rPr>
              <w:t>(R&amp;I)</w:t>
            </w:r>
          </w:p>
          <w:p w14:paraId="22F7CCC6"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
                <w:bCs/>
                <w:sz w:val="20"/>
                <w:szCs w:val="20"/>
                <w:lang w:eastAsia="ru-RU"/>
              </w:rPr>
            </w:pPr>
          </w:p>
        </w:tc>
        <w:tc>
          <w:tcPr>
            <w:tcW w:w="2128" w:type="dxa"/>
            <w:gridSpan w:val="4"/>
            <w:shd w:val="clear" w:color="auto" w:fill="auto"/>
            <w:tcMar>
              <w:top w:w="17" w:type="dxa"/>
              <w:left w:w="17" w:type="dxa"/>
              <w:bottom w:w="0" w:type="dxa"/>
              <w:right w:w="17" w:type="dxa"/>
            </w:tcMar>
            <w:hideMark/>
          </w:tcPr>
          <w:p w14:paraId="17779E66"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Cs/>
                <w:sz w:val="20"/>
                <w:szCs w:val="20"/>
                <w:lang w:eastAsia="ru-RU"/>
              </w:rPr>
            </w:pPr>
            <w:r w:rsidRPr="00365CE8">
              <w:rPr>
                <w:rFonts w:ascii="Times New Roman" w:eastAsia="Times New Roman" w:hAnsi="Times New Roman" w:cs="Times New Roman"/>
                <w:bCs/>
                <w:sz w:val="20"/>
                <w:szCs w:val="20"/>
                <w:lang w:eastAsia="ru-RU"/>
              </w:rPr>
              <w:t>Рейтинг боргових зобов’язань в іноземній валюті</w:t>
            </w:r>
          </w:p>
        </w:tc>
        <w:tc>
          <w:tcPr>
            <w:tcW w:w="2126" w:type="dxa"/>
            <w:gridSpan w:val="4"/>
            <w:shd w:val="clear" w:color="auto" w:fill="auto"/>
            <w:tcMar>
              <w:top w:w="17" w:type="dxa"/>
              <w:left w:w="17" w:type="dxa"/>
              <w:bottom w:w="0" w:type="dxa"/>
              <w:right w:w="17" w:type="dxa"/>
            </w:tcMar>
            <w:hideMark/>
          </w:tcPr>
          <w:p w14:paraId="63047A0E"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bCs/>
                <w:sz w:val="20"/>
                <w:szCs w:val="20"/>
                <w:lang w:eastAsia="ru-RU"/>
              </w:rPr>
            </w:pPr>
            <w:r w:rsidRPr="00365CE8">
              <w:rPr>
                <w:rFonts w:ascii="Times New Roman" w:eastAsia="Times New Roman" w:hAnsi="Times New Roman" w:cs="Times New Roman"/>
                <w:bCs/>
                <w:sz w:val="20"/>
                <w:szCs w:val="20"/>
                <w:lang w:eastAsia="ru-RU"/>
              </w:rPr>
              <w:t>Рейтинг боргових зобов’язань в національній валюті</w:t>
            </w:r>
          </w:p>
        </w:tc>
        <w:tc>
          <w:tcPr>
            <w:tcW w:w="1419" w:type="dxa"/>
            <w:gridSpan w:val="2"/>
            <w:vMerge w:val="restart"/>
            <w:shd w:val="clear" w:color="auto" w:fill="auto"/>
            <w:tcMar>
              <w:top w:w="17" w:type="dxa"/>
              <w:left w:w="17" w:type="dxa"/>
              <w:bottom w:w="0" w:type="dxa"/>
              <w:right w:w="17" w:type="dxa"/>
            </w:tcMar>
            <w:vAlign w:val="center"/>
            <w:hideMark/>
          </w:tcPr>
          <w:p w14:paraId="3DCB6478"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Рейтинг країни за національною шкалою</w:t>
            </w:r>
          </w:p>
        </w:tc>
        <w:tc>
          <w:tcPr>
            <w:tcW w:w="1561" w:type="dxa"/>
            <w:gridSpan w:val="2"/>
            <w:vMerge w:val="restart"/>
            <w:shd w:val="clear" w:color="auto" w:fill="auto"/>
            <w:noWrap/>
            <w:tcMar>
              <w:top w:w="17" w:type="dxa"/>
              <w:left w:w="17" w:type="dxa"/>
              <w:bottom w:w="0" w:type="dxa"/>
              <w:right w:w="17" w:type="dxa"/>
            </w:tcMar>
            <w:vAlign w:val="center"/>
            <w:hideMark/>
          </w:tcPr>
          <w:p w14:paraId="3EDA3353"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Прогноз</w:t>
            </w:r>
          </w:p>
        </w:tc>
        <w:tc>
          <w:tcPr>
            <w:tcW w:w="1703" w:type="dxa"/>
            <w:vMerge w:val="restart"/>
            <w:shd w:val="clear" w:color="auto" w:fill="auto"/>
            <w:tcMar>
              <w:top w:w="17" w:type="dxa"/>
              <w:left w:w="17" w:type="dxa"/>
              <w:bottom w:w="0" w:type="dxa"/>
              <w:right w:w="17" w:type="dxa"/>
            </w:tcMar>
            <w:vAlign w:val="center"/>
            <w:hideMark/>
          </w:tcPr>
          <w:p w14:paraId="53EFC7ED" w14:textId="77777777" w:rsidR="0028541E" w:rsidRPr="00365CE8" w:rsidRDefault="0028541E" w:rsidP="0028541E">
            <w:pPr>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Дата присвоєння / підтвердження рейтингу</w:t>
            </w:r>
          </w:p>
        </w:tc>
      </w:tr>
      <w:tr w:rsidR="0028541E" w:rsidRPr="00365CE8" w14:paraId="39B45DFE" w14:textId="77777777" w:rsidTr="0028541E">
        <w:trPr>
          <w:cantSplit/>
          <w:trHeight w:val="1425"/>
        </w:trPr>
        <w:tc>
          <w:tcPr>
            <w:tcW w:w="1688" w:type="dxa"/>
            <w:vMerge/>
            <w:shd w:val="clear" w:color="auto" w:fill="auto"/>
            <w:vAlign w:val="center"/>
            <w:hideMark/>
          </w:tcPr>
          <w:p w14:paraId="0EA51D89"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994" w:type="dxa"/>
            <w:gridSpan w:val="2"/>
            <w:shd w:val="clear" w:color="auto" w:fill="auto"/>
            <w:noWrap/>
            <w:tcMar>
              <w:top w:w="17" w:type="dxa"/>
              <w:left w:w="17" w:type="dxa"/>
              <w:bottom w:w="0" w:type="dxa"/>
              <w:right w:w="17" w:type="dxa"/>
            </w:tcMar>
            <w:textDirection w:val="btLr"/>
            <w:vAlign w:val="center"/>
            <w:hideMark/>
          </w:tcPr>
          <w:p w14:paraId="6F6AD80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Довгострокові</w:t>
            </w:r>
          </w:p>
          <w:p w14:paraId="70EE546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зобов’язання</w:t>
            </w:r>
          </w:p>
        </w:tc>
        <w:tc>
          <w:tcPr>
            <w:tcW w:w="1134" w:type="dxa"/>
            <w:gridSpan w:val="2"/>
            <w:shd w:val="clear" w:color="auto" w:fill="auto"/>
            <w:tcMar>
              <w:top w:w="17" w:type="dxa"/>
              <w:left w:w="17" w:type="dxa"/>
              <w:bottom w:w="0" w:type="dxa"/>
              <w:right w:w="17" w:type="dxa"/>
            </w:tcMar>
            <w:textDirection w:val="btLr"/>
            <w:vAlign w:val="center"/>
            <w:hideMark/>
          </w:tcPr>
          <w:p w14:paraId="022958A1"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Короткострокові зобов’язання</w:t>
            </w:r>
          </w:p>
        </w:tc>
        <w:tc>
          <w:tcPr>
            <w:tcW w:w="992" w:type="dxa"/>
            <w:gridSpan w:val="2"/>
            <w:shd w:val="clear" w:color="auto" w:fill="auto"/>
            <w:noWrap/>
            <w:tcMar>
              <w:top w:w="17" w:type="dxa"/>
              <w:left w:w="17" w:type="dxa"/>
              <w:bottom w:w="0" w:type="dxa"/>
              <w:right w:w="17" w:type="dxa"/>
            </w:tcMar>
            <w:textDirection w:val="btLr"/>
            <w:vAlign w:val="center"/>
            <w:hideMark/>
          </w:tcPr>
          <w:p w14:paraId="0739BE2E"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Довгострокові</w:t>
            </w:r>
          </w:p>
          <w:p w14:paraId="4D41AC3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зобов’язання</w:t>
            </w:r>
          </w:p>
        </w:tc>
        <w:tc>
          <w:tcPr>
            <w:tcW w:w="1134" w:type="dxa"/>
            <w:gridSpan w:val="2"/>
            <w:shd w:val="clear" w:color="auto" w:fill="auto"/>
            <w:textDirection w:val="btLr"/>
            <w:vAlign w:val="center"/>
            <w:hideMark/>
          </w:tcPr>
          <w:p w14:paraId="6B7807EB"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Короткострокові зобов’язання</w:t>
            </w:r>
          </w:p>
        </w:tc>
        <w:tc>
          <w:tcPr>
            <w:tcW w:w="1702" w:type="dxa"/>
            <w:gridSpan w:val="2"/>
            <w:vMerge/>
            <w:shd w:val="clear" w:color="auto" w:fill="auto"/>
            <w:vAlign w:val="center"/>
            <w:hideMark/>
          </w:tcPr>
          <w:p w14:paraId="76D4A666" w14:textId="77777777" w:rsidR="0028541E" w:rsidRPr="00365CE8" w:rsidRDefault="0028541E" w:rsidP="0028541E">
            <w:pPr>
              <w:spacing w:after="0" w:line="240" w:lineRule="auto"/>
              <w:rPr>
                <w:rFonts w:ascii="Times New Roman" w:eastAsia="Times New Roman" w:hAnsi="Times New Roman" w:cs="Times New Roman"/>
                <w:sz w:val="20"/>
                <w:szCs w:val="20"/>
                <w:lang w:eastAsia="ru-RU"/>
              </w:rPr>
            </w:pPr>
          </w:p>
        </w:tc>
        <w:tc>
          <w:tcPr>
            <w:tcW w:w="1844" w:type="dxa"/>
            <w:gridSpan w:val="2"/>
            <w:vMerge/>
            <w:shd w:val="clear" w:color="auto" w:fill="auto"/>
            <w:vAlign w:val="center"/>
            <w:hideMark/>
          </w:tcPr>
          <w:p w14:paraId="570083C6" w14:textId="77777777" w:rsidR="0028541E" w:rsidRPr="00365CE8" w:rsidRDefault="0028541E" w:rsidP="0028541E">
            <w:pPr>
              <w:spacing w:after="0" w:line="240" w:lineRule="auto"/>
              <w:rPr>
                <w:rFonts w:ascii="Times New Roman" w:eastAsia="Times New Roman" w:hAnsi="Times New Roman" w:cs="Times New Roman"/>
                <w:sz w:val="20"/>
                <w:szCs w:val="20"/>
                <w:lang w:eastAsia="ru-RU"/>
              </w:rPr>
            </w:pPr>
          </w:p>
        </w:tc>
        <w:tc>
          <w:tcPr>
            <w:tcW w:w="1703" w:type="dxa"/>
            <w:vMerge/>
            <w:shd w:val="clear" w:color="auto" w:fill="auto"/>
            <w:vAlign w:val="center"/>
            <w:hideMark/>
          </w:tcPr>
          <w:p w14:paraId="49CC3259" w14:textId="77777777" w:rsidR="0028541E" w:rsidRPr="00365CE8" w:rsidRDefault="0028541E" w:rsidP="0028541E">
            <w:pPr>
              <w:spacing w:after="0" w:line="240" w:lineRule="auto"/>
              <w:rPr>
                <w:rFonts w:ascii="Times New Roman" w:eastAsia="Arial Unicode MS" w:hAnsi="Times New Roman" w:cs="Times New Roman"/>
                <w:sz w:val="20"/>
                <w:szCs w:val="20"/>
                <w:lang w:eastAsia="ru-RU"/>
              </w:rPr>
            </w:pPr>
          </w:p>
        </w:tc>
      </w:tr>
      <w:tr w:rsidR="0028541E" w:rsidRPr="00365CE8" w14:paraId="4004D2E3" w14:textId="77777777" w:rsidTr="0028541E">
        <w:trPr>
          <w:trHeight w:val="340"/>
        </w:trPr>
        <w:tc>
          <w:tcPr>
            <w:tcW w:w="1688" w:type="dxa"/>
            <w:vMerge/>
            <w:shd w:val="clear" w:color="auto" w:fill="auto"/>
            <w:vAlign w:val="center"/>
            <w:hideMark/>
          </w:tcPr>
          <w:p w14:paraId="5786B50F"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shd w:val="clear" w:color="auto" w:fill="auto"/>
            <w:noWrap/>
            <w:tcMar>
              <w:top w:w="17" w:type="dxa"/>
              <w:left w:w="17" w:type="dxa"/>
              <w:bottom w:w="0" w:type="dxa"/>
              <w:right w:w="17" w:type="dxa"/>
            </w:tcMar>
            <w:vAlign w:val="center"/>
            <w:hideMark/>
          </w:tcPr>
          <w:p w14:paraId="65DCEDD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CСС-</w:t>
            </w:r>
          </w:p>
        </w:tc>
        <w:tc>
          <w:tcPr>
            <w:tcW w:w="284" w:type="dxa"/>
            <w:shd w:val="clear" w:color="auto" w:fill="auto"/>
            <w:tcMar>
              <w:top w:w="17" w:type="dxa"/>
              <w:left w:w="17" w:type="dxa"/>
              <w:bottom w:w="0" w:type="dxa"/>
              <w:right w:w="17" w:type="dxa"/>
            </w:tcMar>
            <w:vAlign w:val="center"/>
            <w:hideMark/>
          </w:tcPr>
          <w:p w14:paraId="679D58C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shd w:val="clear" w:color="auto" w:fill="auto"/>
            <w:tcMar>
              <w:top w:w="17" w:type="dxa"/>
              <w:left w:w="17" w:type="dxa"/>
              <w:bottom w:w="0" w:type="dxa"/>
              <w:right w:w="17" w:type="dxa"/>
            </w:tcMar>
            <w:vAlign w:val="center"/>
            <w:hideMark/>
          </w:tcPr>
          <w:p w14:paraId="1A64887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shd w:val="clear" w:color="auto" w:fill="auto"/>
            <w:noWrap/>
            <w:tcMar>
              <w:top w:w="17" w:type="dxa"/>
              <w:left w:w="17" w:type="dxa"/>
              <w:bottom w:w="0" w:type="dxa"/>
              <w:right w:w="17" w:type="dxa"/>
            </w:tcMar>
            <w:vAlign w:val="center"/>
          </w:tcPr>
          <w:p w14:paraId="1DD313F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shd w:val="clear" w:color="auto" w:fill="auto"/>
            <w:noWrap/>
            <w:tcMar>
              <w:top w:w="17" w:type="dxa"/>
              <w:left w:w="17" w:type="dxa"/>
              <w:bottom w:w="0" w:type="dxa"/>
              <w:right w:w="17" w:type="dxa"/>
            </w:tcMar>
            <w:vAlign w:val="center"/>
            <w:hideMark/>
          </w:tcPr>
          <w:p w14:paraId="45B1DE6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391" w:type="dxa"/>
            <w:shd w:val="clear" w:color="auto" w:fill="auto"/>
            <w:tcMar>
              <w:top w:w="17" w:type="dxa"/>
              <w:left w:w="17" w:type="dxa"/>
              <w:bottom w:w="0" w:type="dxa"/>
              <w:right w:w="17" w:type="dxa"/>
            </w:tcMar>
            <w:vAlign w:val="center"/>
          </w:tcPr>
          <w:p w14:paraId="53AE9A1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Mar>
              <w:top w:w="17" w:type="dxa"/>
              <w:left w:w="17" w:type="dxa"/>
              <w:bottom w:w="0" w:type="dxa"/>
              <w:right w:w="17" w:type="dxa"/>
            </w:tcMar>
            <w:vAlign w:val="center"/>
            <w:hideMark/>
          </w:tcPr>
          <w:p w14:paraId="6C5A61C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shd w:val="clear" w:color="auto" w:fill="auto"/>
            <w:noWrap/>
            <w:tcMar>
              <w:top w:w="17" w:type="dxa"/>
              <w:left w:w="17" w:type="dxa"/>
              <w:bottom w:w="0" w:type="dxa"/>
              <w:right w:w="17" w:type="dxa"/>
            </w:tcMar>
            <w:vAlign w:val="center"/>
          </w:tcPr>
          <w:p w14:paraId="6266386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shd w:val="clear" w:color="auto" w:fill="auto"/>
            <w:tcMar>
              <w:top w:w="17" w:type="dxa"/>
              <w:left w:w="17" w:type="dxa"/>
              <w:bottom w:w="0" w:type="dxa"/>
              <w:right w:w="17" w:type="dxa"/>
            </w:tcMar>
            <w:vAlign w:val="center"/>
          </w:tcPr>
          <w:p w14:paraId="068EC64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shd w:val="clear" w:color="auto" w:fill="auto"/>
            <w:vAlign w:val="center"/>
          </w:tcPr>
          <w:p w14:paraId="2E5932C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shd w:val="clear" w:color="auto" w:fill="auto"/>
            <w:noWrap/>
            <w:tcMar>
              <w:top w:w="17" w:type="dxa"/>
              <w:left w:w="17" w:type="dxa"/>
              <w:bottom w:w="0" w:type="dxa"/>
              <w:right w:w="17" w:type="dxa"/>
            </w:tcMar>
            <w:vAlign w:val="center"/>
            <w:hideMark/>
          </w:tcPr>
          <w:p w14:paraId="2EFD39A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shd w:val="clear" w:color="auto" w:fill="auto"/>
            <w:vAlign w:val="center"/>
            <w:hideMark/>
          </w:tcPr>
          <w:p w14:paraId="439AB60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3" w:type="dxa"/>
            <w:shd w:val="clear" w:color="auto" w:fill="auto"/>
            <w:noWrap/>
            <w:tcMar>
              <w:top w:w="17" w:type="dxa"/>
              <w:left w:w="17" w:type="dxa"/>
              <w:bottom w:w="0" w:type="dxa"/>
              <w:right w:w="17" w:type="dxa"/>
            </w:tcMar>
            <w:vAlign w:val="center"/>
            <w:hideMark/>
          </w:tcPr>
          <w:p w14:paraId="21471BD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14 січня 2016 р.</w:t>
            </w:r>
          </w:p>
        </w:tc>
      </w:tr>
      <w:tr w:rsidR="0028541E" w:rsidRPr="00365CE8" w14:paraId="2E0FB086" w14:textId="77777777" w:rsidTr="0028541E">
        <w:trPr>
          <w:trHeight w:val="340"/>
        </w:trPr>
        <w:tc>
          <w:tcPr>
            <w:tcW w:w="1688" w:type="dxa"/>
            <w:vMerge/>
            <w:shd w:val="clear" w:color="auto" w:fill="auto"/>
            <w:vAlign w:val="center"/>
            <w:hideMark/>
          </w:tcPr>
          <w:p w14:paraId="141B33FF"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shd w:val="clear" w:color="auto" w:fill="auto"/>
            <w:noWrap/>
            <w:tcMar>
              <w:top w:w="17" w:type="dxa"/>
              <w:left w:w="17" w:type="dxa"/>
              <w:bottom w:w="0" w:type="dxa"/>
              <w:right w:w="17" w:type="dxa"/>
            </w:tcMar>
            <w:vAlign w:val="center"/>
            <w:hideMark/>
          </w:tcPr>
          <w:p w14:paraId="72A675D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CСС</w:t>
            </w:r>
          </w:p>
          <w:p w14:paraId="77034F0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shd w:val="clear" w:color="auto" w:fill="auto"/>
            <w:tcMar>
              <w:top w:w="17" w:type="dxa"/>
              <w:left w:w="17" w:type="dxa"/>
              <w:bottom w:w="0" w:type="dxa"/>
              <w:right w:w="17" w:type="dxa"/>
            </w:tcMar>
            <w:vAlign w:val="center"/>
            <w:hideMark/>
          </w:tcPr>
          <w:p w14:paraId="54FCD4D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shd w:val="clear" w:color="auto" w:fill="auto"/>
            <w:tcMar>
              <w:top w:w="17" w:type="dxa"/>
              <w:left w:w="17" w:type="dxa"/>
              <w:bottom w:w="0" w:type="dxa"/>
              <w:right w:w="17" w:type="dxa"/>
            </w:tcMar>
            <w:vAlign w:val="center"/>
            <w:hideMark/>
          </w:tcPr>
          <w:p w14:paraId="027DB5E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shd w:val="clear" w:color="auto" w:fill="auto"/>
            <w:noWrap/>
            <w:tcMar>
              <w:top w:w="17" w:type="dxa"/>
              <w:left w:w="17" w:type="dxa"/>
              <w:bottom w:w="0" w:type="dxa"/>
              <w:right w:w="17" w:type="dxa"/>
            </w:tcMar>
            <w:vAlign w:val="center"/>
          </w:tcPr>
          <w:p w14:paraId="2BB79C6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shd w:val="clear" w:color="auto" w:fill="auto"/>
            <w:noWrap/>
            <w:tcMar>
              <w:top w:w="17" w:type="dxa"/>
              <w:left w:w="17" w:type="dxa"/>
              <w:bottom w:w="0" w:type="dxa"/>
              <w:right w:w="17" w:type="dxa"/>
            </w:tcMar>
            <w:vAlign w:val="center"/>
            <w:hideMark/>
          </w:tcPr>
          <w:p w14:paraId="3DF72A0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391" w:type="dxa"/>
            <w:shd w:val="clear" w:color="auto" w:fill="auto"/>
            <w:tcMar>
              <w:top w:w="17" w:type="dxa"/>
              <w:left w:w="17" w:type="dxa"/>
              <w:bottom w:w="0" w:type="dxa"/>
              <w:right w:w="17" w:type="dxa"/>
            </w:tcMar>
            <w:vAlign w:val="center"/>
          </w:tcPr>
          <w:p w14:paraId="4E152C6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Mar>
              <w:top w:w="17" w:type="dxa"/>
              <w:left w:w="17" w:type="dxa"/>
              <w:bottom w:w="0" w:type="dxa"/>
              <w:right w:w="17" w:type="dxa"/>
            </w:tcMar>
            <w:vAlign w:val="center"/>
            <w:hideMark/>
          </w:tcPr>
          <w:p w14:paraId="1D54888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shd w:val="clear" w:color="auto" w:fill="auto"/>
            <w:noWrap/>
            <w:tcMar>
              <w:top w:w="17" w:type="dxa"/>
              <w:left w:w="17" w:type="dxa"/>
              <w:bottom w:w="0" w:type="dxa"/>
              <w:right w:w="17" w:type="dxa"/>
            </w:tcMar>
            <w:vAlign w:val="center"/>
          </w:tcPr>
          <w:p w14:paraId="4F05EC6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shd w:val="clear" w:color="auto" w:fill="auto"/>
            <w:tcMar>
              <w:top w:w="17" w:type="dxa"/>
              <w:left w:w="17" w:type="dxa"/>
              <w:bottom w:w="0" w:type="dxa"/>
              <w:right w:w="17" w:type="dxa"/>
            </w:tcMar>
            <w:vAlign w:val="center"/>
          </w:tcPr>
          <w:p w14:paraId="314BB51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shd w:val="clear" w:color="auto" w:fill="auto"/>
            <w:vAlign w:val="center"/>
          </w:tcPr>
          <w:p w14:paraId="406FF71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shd w:val="clear" w:color="auto" w:fill="auto"/>
            <w:noWrap/>
            <w:tcMar>
              <w:top w:w="17" w:type="dxa"/>
              <w:left w:w="17" w:type="dxa"/>
              <w:bottom w:w="0" w:type="dxa"/>
              <w:right w:w="17" w:type="dxa"/>
            </w:tcMar>
            <w:vAlign w:val="center"/>
            <w:hideMark/>
          </w:tcPr>
          <w:p w14:paraId="2268351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shd w:val="clear" w:color="auto" w:fill="auto"/>
            <w:vAlign w:val="center"/>
          </w:tcPr>
          <w:p w14:paraId="12C931C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3" w:type="dxa"/>
            <w:shd w:val="clear" w:color="auto" w:fill="auto"/>
            <w:noWrap/>
            <w:tcMar>
              <w:top w:w="17" w:type="dxa"/>
              <w:left w:w="17" w:type="dxa"/>
              <w:bottom w:w="0" w:type="dxa"/>
              <w:right w:w="17" w:type="dxa"/>
            </w:tcMar>
            <w:vAlign w:val="center"/>
            <w:hideMark/>
          </w:tcPr>
          <w:p w14:paraId="4B87A69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24 квітня 2017 р.</w:t>
            </w:r>
          </w:p>
        </w:tc>
      </w:tr>
      <w:tr w:rsidR="0028541E" w:rsidRPr="00365CE8" w14:paraId="3D9DA10B" w14:textId="77777777" w:rsidTr="0028541E">
        <w:trPr>
          <w:trHeight w:val="340"/>
        </w:trPr>
        <w:tc>
          <w:tcPr>
            <w:tcW w:w="1688" w:type="dxa"/>
            <w:vMerge/>
            <w:shd w:val="clear" w:color="auto" w:fill="auto"/>
            <w:vAlign w:val="center"/>
            <w:hideMark/>
          </w:tcPr>
          <w:p w14:paraId="2AF3D634"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shd w:val="clear" w:color="auto" w:fill="auto"/>
            <w:noWrap/>
            <w:tcMar>
              <w:top w:w="17" w:type="dxa"/>
              <w:left w:w="17" w:type="dxa"/>
              <w:bottom w:w="0" w:type="dxa"/>
              <w:right w:w="17" w:type="dxa"/>
            </w:tcMar>
            <w:vAlign w:val="center"/>
            <w:hideMark/>
          </w:tcPr>
          <w:p w14:paraId="676D545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CСС+</w:t>
            </w:r>
          </w:p>
        </w:tc>
        <w:tc>
          <w:tcPr>
            <w:tcW w:w="284" w:type="dxa"/>
            <w:shd w:val="clear" w:color="auto" w:fill="auto"/>
            <w:tcMar>
              <w:top w:w="17" w:type="dxa"/>
              <w:left w:w="17" w:type="dxa"/>
              <w:bottom w:w="0" w:type="dxa"/>
              <w:right w:w="17" w:type="dxa"/>
            </w:tcMar>
            <w:vAlign w:val="center"/>
            <w:hideMark/>
          </w:tcPr>
          <w:p w14:paraId="68498A6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shd w:val="clear" w:color="auto" w:fill="auto"/>
            <w:tcMar>
              <w:top w:w="17" w:type="dxa"/>
              <w:left w:w="17" w:type="dxa"/>
              <w:bottom w:w="0" w:type="dxa"/>
              <w:right w:w="17" w:type="dxa"/>
            </w:tcMar>
            <w:vAlign w:val="center"/>
          </w:tcPr>
          <w:p w14:paraId="6850B5B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7B571A5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shd w:val="clear" w:color="auto" w:fill="auto"/>
            <w:noWrap/>
            <w:tcMar>
              <w:top w:w="17" w:type="dxa"/>
              <w:left w:w="17" w:type="dxa"/>
              <w:bottom w:w="0" w:type="dxa"/>
              <w:right w:w="17" w:type="dxa"/>
            </w:tcMar>
            <w:vAlign w:val="center"/>
          </w:tcPr>
          <w:p w14:paraId="57999F8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1" w:type="dxa"/>
            <w:shd w:val="clear" w:color="auto" w:fill="auto"/>
            <w:tcMar>
              <w:top w:w="17" w:type="dxa"/>
              <w:left w:w="17" w:type="dxa"/>
              <w:bottom w:w="0" w:type="dxa"/>
              <w:right w:w="17" w:type="dxa"/>
            </w:tcMar>
            <w:vAlign w:val="center"/>
          </w:tcPr>
          <w:p w14:paraId="3B89822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Mar>
              <w:top w:w="17" w:type="dxa"/>
              <w:left w:w="17" w:type="dxa"/>
              <w:bottom w:w="0" w:type="dxa"/>
              <w:right w:w="17" w:type="dxa"/>
            </w:tcMar>
            <w:vAlign w:val="center"/>
          </w:tcPr>
          <w:p w14:paraId="25535EB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0A65B46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shd w:val="clear" w:color="auto" w:fill="auto"/>
            <w:tcMar>
              <w:top w:w="17" w:type="dxa"/>
              <w:left w:w="17" w:type="dxa"/>
              <w:bottom w:w="0" w:type="dxa"/>
              <w:right w:w="17" w:type="dxa"/>
            </w:tcMar>
            <w:vAlign w:val="center"/>
          </w:tcPr>
          <w:p w14:paraId="7AC69B0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shd w:val="clear" w:color="auto" w:fill="auto"/>
            <w:vAlign w:val="center"/>
          </w:tcPr>
          <w:p w14:paraId="30370E1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shd w:val="clear" w:color="auto" w:fill="auto"/>
            <w:noWrap/>
            <w:tcMar>
              <w:top w:w="17" w:type="dxa"/>
              <w:left w:w="17" w:type="dxa"/>
              <w:bottom w:w="0" w:type="dxa"/>
              <w:right w:w="17" w:type="dxa"/>
            </w:tcMar>
            <w:vAlign w:val="center"/>
            <w:hideMark/>
          </w:tcPr>
          <w:p w14:paraId="4B23CC5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shd w:val="clear" w:color="auto" w:fill="auto"/>
            <w:vAlign w:val="center"/>
          </w:tcPr>
          <w:p w14:paraId="3762EC7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3" w:type="dxa"/>
            <w:shd w:val="clear" w:color="auto" w:fill="auto"/>
            <w:noWrap/>
            <w:tcMar>
              <w:top w:w="17" w:type="dxa"/>
              <w:left w:w="17" w:type="dxa"/>
              <w:bottom w:w="0" w:type="dxa"/>
              <w:right w:w="17" w:type="dxa"/>
            </w:tcMar>
            <w:vAlign w:val="center"/>
            <w:hideMark/>
          </w:tcPr>
          <w:p w14:paraId="69174AC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21 травня 2018 р.</w:t>
            </w:r>
          </w:p>
        </w:tc>
      </w:tr>
      <w:tr w:rsidR="0028541E" w:rsidRPr="00365CE8" w14:paraId="7762537D" w14:textId="77777777" w:rsidTr="0028541E">
        <w:trPr>
          <w:trHeight w:val="340"/>
        </w:trPr>
        <w:tc>
          <w:tcPr>
            <w:tcW w:w="1688" w:type="dxa"/>
            <w:vMerge/>
            <w:shd w:val="clear" w:color="auto" w:fill="auto"/>
            <w:vAlign w:val="center"/>
            <w:hideMark/>
          </w:tcPr>
          <w:p w14:paraId="63380586"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shd w:val="clear" w:color="auto" w:fill="auto"/>
            <w:noWrap/>
            <w:tcMar>
              <w:top w:w="17" w:type="dxa"/>
              <w:left w:w="17" w:type="dxa"/>
              <w:bottom w:w="0" w:type="dxa"/>
              <w:right w:w="17" w:type="dxa"/>
            </w:tcMar>
            <w:vAlign w:val="center"/>
            <w:hideMark/>
          </w:tcPr>
          <w:p w14:paraId="7738E06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shd w:val="clear" w:color="auto" w:fill="auto"/>
            <w:tcMar>
              <w:top w:w="17" w:type="dxa"/>
              <w:left w:w="17" w:type="dxa"/>
              <w:bottom w:w="0" w:type="dxa"/>
              <w:right w:w="17" w:type="dxa"/>
            </w:tcMar>
            <w:vAlign w:val="center"/>
            <w:hideMark/>
          </w:tcPr>
          <w:p w14:paraId="5C060A3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shd w:val="clear" w:color="auto" w:fill="auto"/>
            <w:tcMar>
              <w:top w:w="17" w:type="dxa"/>
              <w:left w:w="17" w:type="dxa"/>
              <w:bottom w:w="0" w:type="dxa"/>
              <w:right w:w="17" w:type="dxa"/>
            </w:tcMar>
            <w:vAlign w:val="center"/>
          </w:tcPr>
          <w:p w14:paraId="6EC2B36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3E684A1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shd w:val="clear" w:color="auto" w:fill="auto"/>
            <w:noWrap/>
            <w:tcMar>
              <w:top w:w="17" w:type="dxa"/>
              <w:left w:w="17" w:type="dxa"/>
              <w:bottom w:w="0" w:type="dxa"/>
              <w:right w:w="17" w:type="dxa"/>
            </w:tcMar>
            <w:vAlign w:val="center"/>
          </w:tcPr>
          <w:p w14:paraId="41EEEA2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1" w:type="dxa"/>
            <w:shd w:val="clear" w:color="auto" w:fill="auto"/>
            <w:tcMar>
              <w:top w:w="17" w:type="dxa"/>
              <w:left w:w="17" w:type="dxa"/>
              <w:bottom w:w="0" w:type="dxa"/>
              <w:right w:w="17" w:type="dxa"/>
            </w:tcMar>
            <w:vAlign w:val="center"/>
          </w:tcPr>
          <w:p w14:paraId="0599FB4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Mar>
              <w:top w:w="17" w:type="dxa"/>
              <w:left w:w="17" w:type="dxa"/>
              <w:bottom w:w="0" w:type="dxa"/>
              <w:right w:w="17" w:type="dxa"/>
            </w:tcMar>
            <w:vAlign w:val="center"/>
          </w:tcPr>
          <w:p w14:paraId="7F49276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3479BA7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shd w:val="clear" w:color="auto" w:fill="auto"/>
            <w:tcMar>
              <w:top w:w="17" w:type="dxa"/>
              <w:left w:w="17" w:type="dxa"/>
              <w:bottom w:w="0" w:type="dxa"/>
              <w:right w:w="17" w:type="dxa"/>
            </w:tcMar>
            <w:vAlign w:val="center"/>
          </w:tcPr>
          <w:p w14:paraId="3CF3407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shd w:val="clear" w:color="auto" w:fill="auto"/>
            <w:vAlign w:val="center"/>
          </w:tcPr>
          <w:p w14:paraId="5AFD223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shd w:val="clear" w:color="auto" w:fill="auto"/>
            <w:noWrap/>
            <w:tcMar>
              <w:top w:w="17" w:type="dxa"/>
              <w:left w:w="17" w:type="dxa"/>
              <w:bottom w:w="0" w:type="dxa"/>
              <w:right w:w="17" w:type="dxa"/>
            </w:tcMar>
            <w:vAlign w:val="center"/>
            <w:hideMark/>
          </w:tcPr>
          <w:p w14:paraId="3C179EE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shd w:val="clear" w:color="auto" w:fill="auto"/>
            <w:vAlign w:val="center"/>
          </w:tcPr>
          <w:p w14:paraId="71370F5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3" w:type="dxa"/>
            <w:shd w:val="clear" w:color="auto" w:fill="auto"/>
            <w:noWrap/>
            <w:tcMar>
              <w:top w:w="17" w:type="dxa"/>
              <w:left w:w="17" w:type="dxa"/>
              <w:bottom w:w="0" w:type="dxa"/>
              <w:right w:w="17" w:type="dxa"/>
            </w:tcMar>
            <w:vAlign w:val="center"/>
            <w:hideMark/>
          </w:tcPr>
          <w:p w14:paraId="6853F17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09 серпня 2019 р.</w:t>
            </w:r>
          </w:p>
        </w:tc>
      </w:tr>
      <w:tr w:rsidR="0028541E" w:rsidRPr="00365CE8" w14:paraId="1B0FED0C" w14:textId="77777777" w:rsidTr="0028541E">
        <w:trPr>
          <w:trHeight w:val="340"/>
        </w:trPr>
        <w:tc>
          <w:tcPr>
            <w:tcW w:w="1688" w:type="dxa"/>
            <w:vMerge/>
            <w:shd w:val="clear" w:color="auto" w:fill="auto"/>
            <w:vAlign w:val="center"/>
            <w:hideMark/>
          </w:tcPr>
          <w:p w14:paraId="1229E1A4"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shd w:val="clear" w:color="auto" w:fill="auto"/>
            <w:noWrap/>
            <w:tcMar>
              <w:top w:w="17" w:type="dxa"/>
              <w:left w:w="17" w:type="dxa"/>
              <w:bottom w:w="0" w:type="dxa"/>
              <w:right w:w="17" w:type="dxa"/>
            </w:tcMar>
            <w:vAlign w:val="center"/>
            <w:hideMark/>
          </w:tcPr>
          <w:p w14:paraId="6BC2148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shd w:val="clear" w:color="auto" w:fill="auto"/>
            <w:tcMar>
              <w:top w:w="17" w:type="dxa"/>
              <w:left w:w="17" w:type="dxa"/>
              <w:bottom w:w="0" w:type="dxa"/>
              <w:right w:w="17" w:type="dxa"/>
            </w:tcMar>
            <w:vAlign w:val="center"/>
            <w:hideMark/>
          </w:tcPr>
          <w:p w14:paraId="0F9AC24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shd w:val="clear" w:color="auto" w:fill="auto"/>
            <w:tcMar>
              <w:top w:w="17" w:type="dxa"/>
              <w:left w:w="17" w:type="dxa"/>
              <w:bottom w:w="0" w:type="dxa"/>
              <w:right w:w="17" w:type="dxa"/>
            </w:tcMar>
            <w:vAlign w:val="center"/>
          </w:tcPr>
          <w:p w14:paraId="3F1D11F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5946EC3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shd w:val="clear" w:color="auto" w:fill="auto"/>
            <w:noWrap/>
            <w:tcMar>
              <w:top w:w="17" w:type="dxa"/>
              <w:left w:w="17" w:type="dxa"/>
              <w:bottom w:w="0" w:type="dxa"/>
              <w:right w:w="17" w:type="dxa"/>
            </w:tcMar>
            <w:vAlign w:val="center"/>
          </w:tcPr>
          <w:p w14:paraId="10E1291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1" w:type="dxa"/>
            <w:shd w:val="clear" w:color="auto" w:fill="auto"/>
            <w:tcMar>
              <w:top w:w="17" w:type="dxa"/>
              <w:left w:w="17" w:type="dxa"/>
              <w:bottom w:w="0" w:type="dxa"/>
              <w:right w:w="17" w:type="dxa"/>
            </w:tcMar>
            <w:vAlign w:val="center"/>
          </w:tcPr>
          <w:p w14:paraId="28F21DC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Mar>
              <w:top w:w="17" w:type="dxa"/>
              <w:left w:w="17" w:type="dxa"/>
              <w:bottom w:w="0" w:type="dxa"/>
              <w:right w:w="17" w:type="dxa"/>
            </w:tcMar>
            <w:vAlign w:val="center"/>
          </w:tcPr>
          <w:p w14:paraId="6B6D9E5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675FF57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shd w:val="clear" w:color="auto" w:fill="auto"/>
            <w:tcMar>
              <w:top w:w="17" w:type="dxa"/>
              <w:left w:w="17" w:type="dxa"/>
              <w:bottom w:w="0" w:type="dxa"/>
              <w:right w:w="17" w:type="dxa"/>
            </w:tcMar>
            <w:vAlign w:val="center"/>
          </w:tcPr>
          <w:p w14:paraId="67581D3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shd w:val="clear" w:color="auto" w:fill="auto"/>
            <w:vAlign w:val="center"/>
          </w:tcPr>
          <w:p w14:paraId="3A6571B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shd w:val="clear" w:color="auto" w:fill="auto"/>
            <w:noWrap/>
            <w:tcMar>
              <w:top w:w="17" w:type="dxa"/>
              <w:left w:w="17" w:type="dxa"/>
              <w:bottom w:w="0" w:type="dxa"/>
              <w:right w:w="17" w:type="dxa"/>
            </w:tcMar>
            <w:vAlign w:val="center"/>
            <w:hideMark/>
          </w:tcPr>
          <w:p w14:paraId="60C75B4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shd w:val="clear" w:color="auto" w:fill="auto"/>
            <w:vAlign w:val="center"/>
          </w:tcPr>
          <w:p w14:paraId="5B06AE8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3" w:type="dxa"/>
            <w:shd w:val="clear" w:color="auto" w:fill="auto"/>
            <w:noWrap/>
            <w:tcMar>
              <w:top w:w="17" w:type="dxa"/>
              <w:left w:w="17" w:type="dxa"/>
              <w:bottom w:w="0" w:type="dxa"/>
              <w:right w:w="17" w:type="dxa"/>
            </w:tcMar>
            <w:vAlign w:val="center"/>
            <w:hideMark/>
          </w:tcPr>
          <w:p w14:paraId="2A62602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03 вересня 2020 р</w:t>
            </w:r>
          </w:p>
        </w:tc>
      </w:tr>
      <w:tr w:rsidR="0028541E" w:rsidRPr="00365CE8" w14:paraId="6064A513" w14:textId="77777777" w:rsidTr="0028541E">
        <w:trPr>
          <w:trHeight w:val="340"/>
        </w:trPr>
        <w:tc>
          <w:tcPr>
            <w:tcW w:w="1688" w:type="dxa"/>
            <w:vMerge/>
            <w:shd w:val="clear" w:color="auto" w:fill="auto"/>
            <w:vAlign w:val="center"/>
            <w:hideMark/>
          </w:tcPr>
          <w:p w14:paraId="4D05AB44"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shd w:val="clear" w:color="auto" w:fill="auto"/>
            <w:noWrap/>
            <w:tcMar>
              <w:top w:w="17" w:type="dxa"/>
              <w:left w:w="17" w:type="dxa"/>
              <w:bottom w:w="0" w:type="dxa"/>
              <w:right w:w="17" w:type="dxa"/>
            </w:tcMar>
            <w:vAlign w:val="center"/>
            <w:hideMark/>
          </w:tcPr>
          <w:p w14:paraId="6D883B9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shd w:val="clear" w:color="auto" w:fill="auto"/>
            <w:tcMar>
              <w:top w:w="17" w:type="dxa"/>
              <w:left w:w="17" w:type="dxa"/>
              <w:bottom w:w="0" w:type="dxa"/>
              <w:right w:w="17" w:type="dxa"/>
            </w:tcMar>
            <w:vAlign w:val="center"/>
          </w:tcPr>
          <w:p w14:paraId="1E634C0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shd w:val="clear" w:color="auto" w:fill="auto"/>
            <w:tcMar>
              <w:top w:w="17" w:type="dxa"/>
              <w:left w:w="17" w:type="dxa"/>
              <w:bottom w:w="0" w:type="dxa"/>
              <w:right w:w="17" w:type="dxa"/>
            </w:tcMar>
            <w:vAlign w:val="center"/>
          </w:tcPr>
          <w:p w14:paraId="626779B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36B6040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shd w:val="clear" w:color="auto" w:fill="auto"/>
            <w:noWrap/>
            <w:tcMar>
              <w:top w:w="17" w:type="dxa"/>
              <w:left w:w="17" w:type="dxa"/>
              <w:bottom w:w="0" w:type="dxa"/>
              <w:right w:w="17" w:type="dxa"/>
            </w:tcMar>
            <w:vAlign w:val="center"/>
          </w:tcPr>
          <w:p w14:paraId="7FC64FF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1" w:type="dxa"/>
            <w:shd w:val="clear" w:color="auto" w:fill="auto"/>
            <w:tcMar>
              <w:top w:w="17" w:type="dxa"/>
              <w:left w:w="17" w:type="dxa"/>
              <w:bottom w:w="0" w:type="dxa"/>
              <w:right w:w="17" w:type="dxa"/>
            </w:tcMar>
            <w:vAlign w:val="center"/>
          </w:tcPr>
          <w:p w14:paraId="75F7CB5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Mar>
              <w:top w:w="17" w:type="dxa"/>
              <w:left w:w="17" w:type="dxa"/>
              <w:bottom w:w="0" w:type="dxa"/>
              <w:right w:w="17" w:type="dxa"/>
            </w:tcMar>
            <w:vAlign w:val="center"/>
          </w:tcPr>
          <w:p w14:paraId="3E40C36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5595884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shd w:val="clear" w:color="auto" w:fill="auto"/>
            <w:tcMar>
              <w:top w:w="17" w:type="dxa"/>
              <w:left w:w="17" w:type="dxa"/>
              <w:bottom w:w="0" w:type="dxa"/>
              <w:right w:w="17" w:type="dxa"/>
            </w:tcMar>
            <w:vAlign w:val="center"/>
          </w:tcPr>
          <w:p w14:paraId="6499222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shd w:val="clear" w:color="auto" w:fill="auto"/>
            <w:vAlign w:val="center"/>
          </w:tcPr>
          <w:p w14:paraId="61BFBAE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shd w:val="clear" w:color="auto" w:fill="auto"/>
            <w:noWrap/>
            <w:tcMar>
              <w:top w:w="17" w:type="dxa"/>
              <w:left w:w="17" w:type="dxa"/>
              <w:bottom w:w="0" w:type="dxa"/>
              <w:right w:w="17" w:type="dxa"/>
            </w:tcMar>
            <w:vAlign w:val="center"/>
            <w:hideMark/>
          </w:tcPr>
          <w:p w14:paraId="1373465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shd w:val="clear" w:color="auto" w:fill="auto"/>
            <w:vAlign w:val="center"/>
          </w:tcPr>
          <w:p w14:paraId="485DE6B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3" w:type="dxa"/>
            <w:shd w:val="clear" w:color="auto" w:fill="auto"/>
            <w:noWrap/>
            <w:tcMar>
              <w:top w:w="17" w:type="dxa"/>
              <w:left w:w="17" w:type="dxa"/>
              <w:bottom w:w="0" w:type="dxa"/>
              <w:right w:w="17" w:type="dxa"/>
            </w:tcMar>
            <w:vAlign w:val="center"/>
            <w:hideMark/>
          </w:tcPr>
          <w:p w14:paraId="556A0C3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27 вересня 2021 р</w:t>
            </w:r>
          </w:p>
        </w:tc>
      </w:tr>
      <w:tr w:rsidR="0028541E" w:rsidRPr="00365CE8" w14:paraId="7B36D559" w14:textId="77777777" w:rsidTr="0028541E">
        <w:trPr>
          <w:trHeight w:val="340"/>
        </w:trPr>
        <w:tc>
          <w:tcPr>
            <w:tcW w:w="1688" w:type="dxa"/>
            <w:vMerge/>
            <w:shd w:val="clear" w:color="auto" w:fill="auto"/>
            <w:vAlign w:val="center"/>
            <w:hideMark/>
          </w:tcPr>
          <w:p w14:paraId="101DC217"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shd w:val="clear" w:color="auto" w:fill="auto"/>
            <w:noWrap/>
            <w:tcMar>
              <w:top w:w="17" w:type="dxa"/>
              <w:left w:w="17" w:type="dxa"/>
              <w:bottom w:w="0" w:type="dxa"/>
              <w:right w:w="17" w:type="dxa"/>
            </w:tcMar>
            <w:vAlign w:val="center"/>
            <w:hideMark/>
          </w:tcPr>
          <w:p w14:paraId="60ABAD5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w:t>
            </w:r>
          </w:p>
        </w:tc>
        <w:tc>
          <w:tcPr>
            <w:tcW w:w="284" w:type="dxa"/>
            <w:shd w:val="clear" w:color="auto" w:fill="auto"/>
            <w:tcMar>
              <w:top w:w="17" w:type="dxa"/>
              <w:left w:w="17" w:type="dxa"/>
              <w:bottom w:w="0" w:type="dxa"/>
              <w:right w:w="17" w:type="dxa"/>
            </w:tcMar>
            <w:vAlign w:val="center"/>
            <w:hideMark/>
          </w:tcPr>
          <w:p w14:paraId="3524E8C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shd w:val="clear" w:color="auto" w:fill="auto"/>
            <w:tcMar>
              <w:top w:w="17" w:type="dxa"/>
              <w:left w:w="17" w:type="dxa"/>
              <w:bottom w:w="0" w:type="dxa"/>
              <w:right w:w="17" w:type="dxa"/>
            </w:tcMar>
            <w:vAlign w:val="center"/>
          </w:tcPr>
          <w:p w14:paraId="6402C06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589D274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shd w:val="clear" w:color="auto" w:fill="auto"/>
            <w:noWrap/>
            <w:tcMar>
              <w:top w:w="17" w:type="dxa"/>
              <w:left w:w="17" w:type="dxa"/>
              <w:bottom w:w="0" w:type="dxa"/>
              <w:right w:w="17" w:type="dxa"/>
            </w:tcMar>
            <w:vAlign w:val="center"/>
          </w:tcPr>
          <w:p w14:paraId="1FF7ED0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1" w:type="dxa"/>
            <w:shd w:val="clear" w:color="auto" w:fill="auto"/>
            <w:tcMar>
              <w:top w:w="17" w:type="dxa"/>
              <w:left w:w="17" w:type="dxa"/>
              <w:bottom w:w="0" w:type="dxa"/>
              <w:right w:w="17" w:type="dxa"/>
            </w:tcMar>
            <w:vAlign w:val="center"/>
          </w:tcPr>
          <w:p w14:paraId="054C645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Mar>
              <w:top w:w="17" w:type="dxa"/>
              <w:left w:w="17" w:type="dxa"/>
              <w:bottom w:w="0" w:type="dxa"/>
              <w:right w:w="17" w:type="dxa"/>
            </w:tcMar>
            <w:vAlign w:val="center"/>
          </w:tcPr>
          <w:p w14:paraId="5EB2CFD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0CDC9B0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shd w:val="clear" w:color="auto" w:fill="auto"/>
            <w:tcMar>
              <w:top w:w="17" w:type="dxa"/>
              <w:left w:w="17" w:type="dxa"/>
              <w:bottom w:w="0" w:type="dxa"/>
              <w:right w:w="17" w:type="dxa"/>
            </w:tcMar>
            <w:vAlign w:val="center"/>
          </w:tcPr>
          <w:p w14:paraId="063494F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shd w:val="clear" w:color="auto" w:fill="auto"/>
            <w:vAlign w:val="center"/>
          </w:tcPr>
          <w:p w14:paraId="2A449D4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shd w:val="clear" w:color="auto" w:fill="auto"/>
            <w:noWrap/>
            <w:tcMar>
              <w:top w:w="17" w:type="dxa"/>
              <w:left w:w="17" w:type="dxa"/>
              <w:bottom w:w="0" w:type="dxa"/>
              <w:right w:w="17" w:type="dxa"/>
            </w:tcMar>
            <w:vAlign w:val="center"/>
            <w:hideMark/>
          </w:tcPr>
          <w:p w14:paraId="25519D4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Перегляд з можливим зниженням</w:t>
            </w:r>
          </w:p>
        </w:tc>
        <w:tc>
          <w:tcPr>
            <w:tcW w:w="283" w:type="dxa"/>
            <w:shd w:val="clear" w:color="auto" w:fill="auto"/>
            <w:vAlign w:val="center"/>
            <w:hideMark/>
          </w:tcPr>
          <w:p w14:paraId="470C993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3" w:type="dxa"/>
            <w:shd w:val="clear" w:color="auto" w:fill="auto"/>
            <w:noWrap/>
            <w:tcMar>
              <w:top w:w="17" w:type="dxa"/>
              <w:left w:w="17" w:type="dxa"/>
              <w:bottom w:w="0" w:type="dxa"/>
              <w:right w:w="17" w:type="dxa"/>
            </w:tcMar>
            <w:vAlign w:val="center"/>
            <w:hideMark/>
          </w:tcPr>
          <w:p w14:paraId="495FCC8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28 лютого 2022 р.</w:t>
            </w:r>
          </w:p>
        </w:tc>
      </w:tr>
      <w:tr w:rsidR="0028541E" w:rsidRPr="00365CE8" w14:paraId="4FDC5681" w14:textId="77777777" w:rsidTr="0028541E">
        <w:trPr>
          <w:trHeight w:val="340"/>
        </w:trPr>
        <w:tc>
          <w:tcPr>
            <w:tcW w:w="1688" w:type="dxa"/>
            <w:vMerge/>
            <w:shd w:val="clear" w:color="auto" w:fill="auto"/>
            <w:vAlign w:val="center"/>
            <w:hideMark/>
          </w:tcPr>
          <w:p w14:paraId="01A3A3E8" w14:textId="77777777" w:rsidR="0028541E" w:rsidRPr="00365CE8" w:rsidRDefault="0028541E" w:rsidP="0028541E">
            <w:pPr>
              <w:spacing w:after="0" w:line="240" w:lineRule="auto"/>
              <w:rPr>
                <w:rFonts w:ascii="Times New Roman" w:eastAsia="Arial Unicode MS" w:hAnsi="Times New Roman" w:cs="Times New Roman"/>
                <w:b/>
                <w:bCs/>
                <w:sz w:val="20"/>
                <w:szCs w:val="20"/>
                <w:lang w:eastAsia="ru-RU"/>
              </w:rPr>
            </w:pPr>
          </w:p>
        </w:tc>
        <w:tc>
          <w:tcPr>
            <w:tcW w:w="710" w:type="dxa"/>
            <w:shd w:val="clear" w:color="auto" w:fill="auto"/>
            <w:noWrap/>
            <w:tcMar>
              <w:top w:w="17" w:type="dxa"/>
              <w:left w:w="17" w:type="dxa"/>
              <w:bottom w:w="0" w:type="dxa"/>
              <w:right w:w="17" w:type="dxa"/>
            </w:tcMar>
            <w:vAlign w:val="center"/>
            <w:hideMark/>
          </w:tcPr>
          <w:p w14:paraId="7DD3B66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ССС</w:t>
            </w:r>
          </w:p>
        </w:tc>
        <w:tc>
          <w:tcPr>
            <w:tcW w:w="284" w:type="dxa"/>
            <w:shd w:val="clear" w:color="auto" w:fill="auto"/>
            <w:tcMar>
              <w:top w:w="17" w:type="dxa"/>
              <w:left w:w="17" w:type="dxa"/>
              <w:bottom w:w="0" w:type="dxa"/>
              <w:right w:w="17" w:type="dxa"/>
            </w:tcMar>
            <w:vAlign w:val="center"/>
            <w:hideMark/>
          </w:tcPr>
          <w:p w14:paraId="3E094CF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shd w:val="clear" w:color="auto" w:fill="auto"/>
            <w:tcMar>
              <w:top w:w="17" w:type="dxa"/>
              <w:left w:w="17" w:type="dxa"/>
              <w:bottom w:w="0" w:type="dxa"/>
              <w:right w:w="17" w:type="dxa"/>
            </w:tcMar>
            <w:vAlign w:val="center"/>
          </w:tcPr>
          <w:p w14:paraId="05DA399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1FDFD62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shd w:val="clear" w:color="auto" w:fill="auto"/>
            <w:noWrap/>
            <w:tcMar>
              <w:top w:w="17" w:type="dxa"/>
              <w:left w:w="17" w:type="dxa"/>
              <w:bottom w:w="0" w:type="dxa"/>
              <w:right w:w="17" w:type="dxa"/>
            </w:tcMar>
            <w:vAlign w:val="center"/>
          </w:tcPr>
          <w:p w14:paraId="69278BE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391" w:type="dxa"/>
            <w:shd w:val="clear" w:color="auto" w:fill="auto"/>
            <w:tcMar>
              <w:top w:w="17" w:type="dxa"/>
              <w:left w:w="17" w:type="dxa"/>
              <w:bottom w:w="0" w:type="dxa"/>
              <w:right w:w="17" w:type="dxa"/>
            </w:tcMar>
            <w:vAlign w:val="center"/>
          </w:tcPr>
          <w:p w14:paraId="2D2E1E4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850" w:type="dxa"/>
            <w:shd w:val="clear" w:color="auto" w:fill="auto"/>
            <w:tcMar>
              <w:top w:w="17" w:type="dxa"/>
              <w:left w:w="17" w:type="dxa"/>
              <w:bottom w:w="0" w:type="dxa"/>
              <w:right w:w="17" w:type="dxa"/>
            </w:tcMar>
            <w:vAlign w:val="center"/>
          </w:tcPr>
          <w:p w14:paraId="5D4CD7C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shd w:val="clear" w:color="auto" w:fill="auto"/>
            <w:noWrap/>
            <w:tcMar>
              <w:top w:w="17" w:type="dxa"/>
              <w:left w:w="17" w:type="dxa"/>
              <w:bottom w:w="0" w:type="dxa"/>
              <w:right w:w="17" w:type="dxa"/>
            </w:tcMar>
            <w:vAlign w:val="center"/>
          </w:tcPr>
          <w:p w14:paraId="67FE871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shd w:val="clear" w:color="auto" w:fill="auto"/>
            <w:tcMar>
              <w:top w:w="17" w:type="dxa"/>
              <w:left w:w="17" w:type="dxa"/>
              <w:bottom w:w="0" w:type="dxa"/>
              <w:right w:w="17" w:type="dxa"/>
            </w:tcMar>
            <w:vAlign w:val="center"/>
          </w:tcPr>
          <w:p w14:paraId="2A90839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shd w:val="clear" w:color="auto" w:fill="auto"/>
            <w:vAlign w:val="center"/>
          </w:tcPr>
          <w:p w14:paraId="0515580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shd w:val="clear" w:color="auto" w:fill="auto"/>
            <w:noWrap/>
            <w:tcMar>
              <w:top w:w="17" w:type="dxa"/>
              <w:left w:w="17" w:type="dxa"/>
              <w:bottom w:w="0" w:type="dxa"/>
              <w:right w:w="17" w:type="dxa"/>
            </w:tcMar>
            <w:vAlign w:val="center"/>
            <w:hideMark/>
          </w:tcPr>
          <w:p w14:paraId="1EDFD1E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Перегляд з можливим зниженням</w:t>
            </w:r>
          </w:p>
        </w:tc>
        <w:tc>
          <w:tcPr>
            <w:tcW w:w="283" w:type="dxa"/>
            <w:shd w:val="clear" w:color="auto" w:fill="auto"/>
            <w:vAlign w:val="center"/>
          </w:tcPr>
          <w:p w14:paraId="0B8442F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3" w:type="dxa"/>
            <w:shd w:val="clear" w:color="auto" w:fill="auto"/>
            <w:noWrap/>
            <w:tcMar>
              <w:top w:w="17" w:type="dxa"/>
              <w:left w:w="17" w:type="dxa"/>
              <w:bottom w:w="0" w:type="dxa"/>
              <w:right w:w="17" w:type="dxa"/>
            </w:tcMar>
            <w:vAlign w:val="center"/>
            <w:hideMark/>
          </w:tcPr>
          <w:p w14:paraId="6C09D27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27 липня 2022 р.</w:t>
            </w:r>
          </w:p>
        </w:tc>
      </w:tr>
    </w:tbl>
    <w:p w14:paraId="52EF7817" w14:textId="77777777" w:rsidR="0028541E" w:rsidRPr="00365CE8" w:rsidRDefault="0028541E" w:rsidP="0028541E">
      <w:pPr>
        <w:spacing w:after="0" w:line="240" w:lineRule="auto"/>
        <w:rPr>
          <w:rFonts w:ascii="Times New Roman" w:eastAsia="Calibri" w:hAnsi="Times New Roman" w:cs="Times New Roman"/>
        </w:rPr>
      </w:pPr>
    </w:p>
    <w:p w14:paraId="47DEF368" w14:textId="77777777" w:rsidR="0028541E" w:rsidRPr="00365CE8" w:rsidRDefault="0028541E" w:rsidP="0028541E">
      <w:pPr>
        <w:spacing w:after="0" w:line="240" w:lineRule="auto"/>
        <w:rPr>
          <w:rFonts w:ascii="Times New Roman" w:hAnsi="Times New Roman" w:cs="Times New Roman"/>
        </w:rPr>
      </w:pPr>
    </w:p>
    <w:p w14:paraId="4F2CA995" w14:textId="77777777" w:rsidR="0028541E" w:rsidRPr="00365CE8" w:rsidRDefault="0028541E" w:rsidP="0028541E">
      <w:pPr>
        <w:spacing w:after="0" w:line="240" w:lineRule="auto"/>
        <w:rPr>
          <w:rFonts w:ascii="Times New Roman" w:hAnsi="Times New Roman" w:cs="Times New Roman"/>
        </w:rPr>
      </w:pPr>
    </w:p>
    <w:p w14:paraId="7F7299EF" w14:textId="77777777" w:rsidR="0028541E" w:rsidRPr="00365CE8" w:rsidRDefault="0028541E" w:rsidP="0028541E">
      <w:pPr>
        <w:spacing w:after="0" w:line="240" w:lineRule="auto"/>
        <w:rPr>
          <w:rFonts w:ascii="Times New Roman" w:hAnsi="Times New Roman" w:cs="Times New Roman"/>
        </w:rPr>
      </w:pPr>
    </w:p>
    <w:p w14:paraId="6A8859BC" w14:textId="77777777" w:rsidR="0028541E" w:rsidRPr="00365CE8" w:rsidRDefault="0028541E" w:rsidP="0028541E">
      <w:pPr>
        <w:spacing w:after="0" w:line="240" w:lineRule="auto"/>
        <w:rPr>
          <w:rFonts w:ascii="Times New Roman" w:hAnsi="Times New Roman" w:cs="Times New Roman"/>
        </w:rPr>
      </w:pPr>
      <w:r w:rsidRPr="00365CE8">
        <w:rPr>
          <w:rFonts w:ascii="Times New Roman" w:hAnsi="Times New Roman" w:cs="Times New Roman"/>
        </w:rPr>
        <w:br w:type="page"/>
      </w:r>
    </w:p>
    <w:p w14:paraId="0BE7818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365CE8">
        <w:rPr>
          <w:rFonts w:ascii="Times New Roman" w:eastAsia="Times New Roman" w:hAnsi="Times New Roman" w:cs="Times New Roman"/>
          <w:b/>
          <w:sz w:val="28"/>
          <w:szCs w:val="28"/>
          <w:lang w:eastAsia="ru-RU"/>
        </w:rPr>
        <w:lastRenderedPageBreak/>
        <w:t>Таблиця А.4 - Динаміка кредитних рейтингів України (боргових зобов’язань) у 2004 - 2023 рр. з[</w:t>
      </w:r>
      <w:r w:rsidR="00833A1A" w:rsidRPr="00365CE8">
        <w:rPr>
          <w:rFonts w:ascii="Times New Roman" w:eastAsia="Times New Roman" w:hAnsi="Times New Roman" w:cs="Times New Roman"/>
          <w:b/>
          <w:sz w:val="28"/>
          <w:szCs w:val="28"/>
          <w:lang w:eastAsia="ru-RU"/>
        </w:rPr>
        <w:t>2</w:t>
      </w:r>
      <w:r w:rsidR="00833A1A" w:rsidRPr="00365CE8">
        <w:rPr>
          <w:rFonts w:ascii="Times New Roman" w:eastAsia="Times New Roman" w:hAnsi="Times New Roman" w:cs="Times New Roman"/>
          <w:b/>
          <w:sz w:val="28"/>
          <w:szCs w:val="28"/>
          <w:lang w:val="ru-RU" w:eastAsia="ru-RU"/>
        </w:rPr>
        <w:t>7</w:t>
      </w:r>
      <w:r w:rsidRPr="00365CE8">
        <w:rPr>
          <w:rFonts w:ascii="Times New Roman" w:eastAsia="Times New Roman" w:hAnsi="Times New Roman" w:cs="Times New Roman"/>
          <w:b/>
          <w:sz w:val="28"/>
          <w:szCs w:val="28"/>
          <w:lang w:eastAsia="ru-RU"/>
        </w:rPr>
        <w:t>]</w:t>
      </w:r>
    </w:p>
    <w:p w14:paraId="4B5FDD2C" w14:textId="77777777" w:rsidR="0028541E" w:rsidRPr="00365CE8" w:rsidRDefault="0028541E" w:rsidP="0028541E">
      <w:pPr>
        <w:spacing w:after="0" w:line="240" w:lineRule="auto"/>
        <w:rPr>
          <w:rFonts w:ascii="Times New Roman" w:hAnsi="Times New Roman" w:cs="Times New Roman"/>
        </w:rPr>
      </w:pPr>
    </w:p>
    <w:tbl>
      <w:tblPr>
        <w:tblpPr w:leftFromText="180" w:rightFromText="180" w:bottomFromText="200" w:vertAnchor="text" w:horzAnchor="margin" w:tblpXSpec="center" w:tblpY="64"/>
        <w:tblW w:w="10620" w:type="dxa"/>
        <w:tblLayout w:type="fixed"/>
        <w:tblCellMar>
          <w:left w:w="0" w:type="dxa"/>
          <w:right w:w="0" w:type="dxa"/>
        </w:tblCellMar>
        <w:tblLook w:val="04A0" w:firstRow="1" w:lastRow="0" w:firstColumn="1" w:lastColumn="0" w:noHBand="0" w:noVBand="1"/>
      </w:tblPr>
      <w:tblGrid>
        <w:gridCol w:w="1686"/>
        <w:gridCol w:w="710"/>
        <w:gridCol w:w="284"/>
        <w:gridCol w:w="850"/>
        <w:gridCol w:w="284"/>
        <w:gridCol w:w="601"/>
        <w:gridCol w:w="391"/>
        <w:gridCol w:w="850"/>
        <w:gridCol w:w="284"/>
        <w:gridCol w:w="1135"/>
        <w:gridCol w:w="283"/>
        <w:gridCol w:w="1277"/>
        <w:gridCol w:w="283"/>
        <w:gridCol w:w="1702"/>
      </w:tblGrid>
      <w:tr w:rsidR="0028541E" w:rsidRPr="00365CE8" w14:paraId="58BDE1A2" w14:textId="77777777" w:rsidTr="0028541E">
        <w:trPr>
          <w:trHeight w:val="340"/>
        </w:trPr>
        <w:tc>
          <w:tcPr>
            <w:tcW w:w="1688" w:type="dxa"/>
            <w:vMerge w:val="restart"/>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7B4BA6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65CE8">
              <w:rPr>
                <w:rFonts w:ascii="Times New Roman" w:eastAsia="Times New Roman" w:hAnsi="Times New Roman" w:cs="Times New Roman"/>
                <w:b/>
                <w:bCs/>
                <w:sz w:val="24"/>
                <w:szCs w:val="24"/>
                <w:lang w:eastAsia="ru-RU"/>
              </w:rPr>
              <w:t>Рейтингове</w:t>
            </w:r>
          </w:p>
          <w:p w14:paraId="2B5EC31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365CE8">
              <w:rPr>
                <w:rFonts w:ascii="Times New Roman" w:eastAsia="Times New Roman" w:hAnsi="Times New Roman" w:cs="Times New Roman"/>
                <w:b/>
                <w:bCs/>
                <w:sz w:val="24"/>
                <w:szCs w:val="24"/>
                <w:lang w:eastAsia="ru-RU"/>
              </w:rPr>
              <w:t>Агентство</w:t>
            </w:r>
          </w:p>
          <w:p w14:paraId="6D6F8832" w14:textId="77777777" w:rsidR="0028541E" w:rsidRPr="00365CE8" w:rsidRDefault="0028541E" w:rsidP="0028541E">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365CE8">
              <w:rPr>
                <w:rFonts w:ascii="Times New Roman" w:eastAsia="Times New Roman" w:hAnsi="Times New Roman" w:cs="Times New Roman"/>
                <w:b/>
                <w:bCs/>
                <w:sz w:val="24"/>
                <w:szCs w:val="24"/>
                <w:bdr w:val="none" w:sz="0" w:space="0" w:color="auto" w:frame="1"/>
                <w:lang w:eastAsia="ru-RU"/>
              </w:rPr>
              <w:t>“</w:t>
            </w:r>
            <w:proofErr w:type="spellStart"/>
            <w:r w:rsidRPr="00365CE8">
              <w:rPr>
                <w:rFonts w:ascii="Times New Roman" w:eastAsia="Times New Roman" w:hAnsi="Times New Roman" w:cs="Times New Roman"/>
                <w:sz w:val="24"/>
                <w:szCs w:val="24"/>
                <w:lang w:eastAsia="ru-RU"/>
              </w:rPr>
              <w:t>Moody's</w:t>
            </w:r>
            <w:proofErr w:type="spellEnd"/>
            <w:r w:rsidRPr="00365CE8">
              <w:rPr>
                <w:rFonts w:ascii="Times New Roman" w:eastAsia="Times New Roman" w:hAnsi="Times New Roman" w:cs="Times New Roman"/>
                <w:sz w:val="24"/>
                <w:szCs w:val="24"/>
                <w:lang w:eastAsia="ru-RU"/>
              </w:rPr>
              <w:t xml:space="preserve"> </w:t>
            </w:r>
            <w:proofErr w:type="spellStart"/>
            <w:r w:rsidRPr="00365CE8">
              <w:rPr>
                <w:rFonts w:ascii="Times New Roman" w:eastAsia="Times New Roman" w:hAnsi="Times New Roman" w:cs="Times New Roman"/>
                <w:sz w:val="24"/>
                <w:szCs w:val="24"/>
                <w:lang w:eastAsia="ru-RU"/>
              </w:rPr>
              <w:t>Investors</w:t>
            </w:r>
            <w:proofErr w:type="spellEnd"/>
            <w:r w:rsidRPr="00365CE8">
              <w:rPr>
                <w:rFonts w:ascii="Times New Roman" w:eastAsia="Times New Roman" w:hAnsi="Times New Roman" w:cs="Times New Roman"/>
                <w:sz w:val="24"/>
                <w:szCs w:val="24"/>
                <w:lang w:eastAsia="ru-RU"/>
              </w:rPr>
              <w:t xml:space="preserve"> </w:t>
            </w:r>
            <w:proofErr w:type="spellStart"/>
            <w:r w:rsidRPr="00365CE8">
              <w:rPr>
                <w:rFonts w:ascii="Times New Roman" w:eastAsia="Times New Roman" w:hAnsi="Times New Roman" w:cs="Times New Roman"/>
                <w:sz w:val="24"/>
                <w:szCs w:val="24"/>
                <w:lang w:eastAsia="ru-RU"/>
              </w:rPr>
              <w:t>Service</w:t>
            </w:r>
            <w:proofErr w:type="spellEnd"/>
            <w:r w:rsidRPr="00365CE8">
              <w:rPr>
                <w:rFonts w:ascii="Times New Roman" w:eastAsia="Times New Roman" w:hAnsi="Times New Roman" w:cs="Times New Roman"/>
                <w:b/>
                <w:bCs/>
                <w:sz w:val="24"/>
                <w:szCs w:val="24"/>
                <w:bdr w:val="none" w:sz="0" w:space="0" w:color="auto" w:frame="1"/>
                <w:lang w:eastAsia="ru-RU"/>
              </w:rPr>
              <w:t>”</w:t>
            </w:r>
          </w:p>
          <w:p w14:paraId="6AC8D881" w14:textId="77777777" w:rsidR="0028541E" w:rsidRPr="00365CE8" w:rsidRDefault="0028541E" w:rsidP="0028541E">
            <w:pPr>
              <w:shd w:val="clear" w:color="auto" w:fill="FFFFFF"/>
              <w:spacing w:after="0" w:line="240" w:lineRule="auto"/>
              <w:jc w:val="center"/>
              <w:textAlignment w:val="baseline"/>
              <w:rPr>
                <w:rFonts w:ascii="Times New Roman" w:eastAsia="Times New Roman" w:hAnsi="Times New Roman" w:cs="Times New Roman"/>
                <w:sz w:val="24"/>
                <w:szCs w:val="24"/>
                <w:lang w:eastAsia="ru-RU"/>
              </w:rPr>
            </w:pPr>
            <w:r w:rsidRPr="00365CE8">
              <w:rPr>
                <w:rFonts w:ascii="Times New Roman" w:eastAsia="Times New Roman" w:hAnsi="Times New Roman" w:cs="Times New Roman"/>
                <w:sz w:val="24"/>
                <w:szCs w:val="24"/>
                <w:lang w:eastAsia="ru-RU"/>
              </w:rPr>
              <w:t>(</w:t>
            </w:r>
            <w:proofErr w:type="spellStart"/>
            <w:r w:rsidRPr="00365CE8">
              <w:rPr>
                <w:rFonts w:ascii="Times New Roman" w:eastAsia="Times New Roman" w:hAnsi="Times New Roman" w:cs="Times New Roman"/>
                <w:sz w:val="24"/>
                <w:szCs w:val="24"/>
                <w:lang w:eastAsia="ru-RU"/>
              </w:rPr>
              <w:t>Moody’s</w:t>
            </w:r>
            <w:proofErr w:type="spellEnd"/>
            <w:r w:rsidRPr="00365CE8">
              <w:rPr>
                <w:rFonts w:ascii="Times New Roman" w:eastAsia="Times New Roman" w:hAnsi="Times New Roman" w:cs="Times New Roman"/>
                <w:sz w:val="24"/>
                <w:szCs w:val="24"/>
                <w:lang w:eastAsia="ru-RU"/>
              </w:rPr>
              <w:t>)</w:t>
            </w:r>
          </w:p>
          <w:p w14:paraId="3626ADE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tc>
        <w:tc>
          <w:tcPr>
            <w:tcW w:w="2128" w:type="dxa"/>
            <w:gridSpan w:val="4"/>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04EA0CBA"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bCs/>
                <w:sz w:val="20"/>
                <w:szCs w:val="20"/>
                <w:lang w:eastAsia="ru-RU"/>
              </w:rPr>
              <w:t>Рейтинг боргових зобов’язань в іноземній валюті</w:t>
            </w:r>
          </w:p>
        </w:tc>
        <w:tc>
          <w:tcPr>
            <w:tcW w:w="2126" w:type="dxa"/>
            <w:gridSpan w:val="4"/>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hideMark/>
          </w:tcPr>
          <w:p w14:paraId="21F6E994"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bCs/>
                <w:sz w:val="20"/>
                <w:szCs w:val="20"/>
                <w:lang w:eastAsia="ru-RU"/>
              </w:rPr>
              <w:t>Рейтинг боргових зобов’язань в національній валюті</w:t>
            </w:r>
          </w:p>
        </w:tc>
        <w:tc>
          <w:tcPr>
            <w:tcW w:w="1419" w:type="dxa"/>
            <w:gridSpan w:val="2"/>
            <w:vMerge w:val="restart"/>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86B9A7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Рейтинг країни за національною шкалою</w:t>
            </w:r>
          </w:p>
        </w:tc>
        <w:tc>
          <w:tcPr>
            <w:tcW w:w="156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311E74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20"/>
                <w:szCs w:val="20"/>
                <w:lang w:eastAsia="ru-RU"/>
              </w:rPr>
              <w:t>Прогноз</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0E2680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sz w:val="20"/>
                <w:szCs w:val="20"/>
                <w:lang w:eastAsia="ru-RU"/>
              </w:rPr>
              <w:t>Дата присвоєння / підтвердження рейтингу</w:t>
            </w:r>
          </w:p>
        </w:tc>
      </w:tr>
      <w:tr w:rsidR="0028541E" w:rsidRPr="00365CE8" w14:paraId="2CE3DD89" w14:textId="77777777" w:rsidTr="0028541E">
        <w:trPr>
          <w:trHeight w:val="1664"/>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785DED1"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994" w:type="dxa"/>
            <w:gridSpan w:val="2"/>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extDirection w:val="btLr"/>
            <w:vAlign w:val="center"/>
            <w:hideMark/>
          </w:tcPr>
          <w:p w14:paraId="35C1BF0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Довгострокові</w:t>
            </w:r>
          </w:p>
          <w:p w14:paraId="64CA7E3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зобов’язання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extDirection w:val="btLr"/>
            <w:vAlign w:val="center"/>
            <w:hideMark/>
          </w:tcPr>
          <w:p w14:paraId="47588B19"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Короткострокові зобов’язання</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textDirection w:val="btLr"/>
            <w:vAlign w:val="center"/>
            <w:hideMark/>
          </w:tcPr>
          <w:p w14:paraId="2ADD21BD" w14:textId="77777777" w:rsidR="0028541E" w:rsidRPr="00365CE8" w:rsidRDefault="0028541E" w:rsidP="0028541E">
            <w:pPr>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Довгострокові</w:t>
            </w:r>
          </w:p>
          <w:p w14:paraId="0064197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зобов’язання</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textDirection w:val="btLr"/>
            <w:vAlign w:val="center"/>
            <w:hideMark/>
          </w:tcPr>
          <w:p w14:paraId="1B31C0DA" w14:textId="77777777" w:rsidR="0028541E" w:rsidRPr="00365CE8" w:rsidRDefault="0028541E" w:rsidP="0028541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365CE8">
              <w:rPr>
                <w:rFonts w:ascii="Times New Roman" w:eastAsia="Times New Roman" w:hAnsi="Times New Roman" w:cs="Times New Roman"/>
                <w:sz w:val="20"/>
                <w:szCs w:val="20"/>
                <w:lang w:eastAsia="ru-RU"/>
              </w:rPr>
              <w:t>Короткострокові зобов’язання</w:t>
            </w:r>
          </w:p>
        </w:tc>
        <w:tc>
          <w:tcPr>
            <w:tcW w:w="1702"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C01DC6" w14:textId="77777777" w:rsidR="0028541E" w:rsidRPr="00365CE8" w:rsidRDefault="0028541E" w:rsidP="0028541E">
            <w:pPr>
              <w:spacing w:after="0" w:line="240" w:lineRule="auto"/>
              <w:rPr>
                <w:rFonts w:ascii="Times New Roman" w:eastAsia="Times New Roman" w:hAnsi="Times New Roman" w:cs="Times New Roman"/>
                <w:sz w:val="20"/>
                <w:szCs w:val="20"/>
                <w:lang w:eastAsia="ru-RU"/>
              </w:rPr>
            </w:pPr>
          </w:p>
        </w:tc>
        <w:tc>
          <w:tcPr>
            <w:tcW w:w="1844"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B430E19" w14:textId="77777777" w:rsidR="0028541E" w:rsidRPr="00365CE8" w:rsidRDefault="0028541E" w:rsidP="0028541E">
            <w:pPr>
              <w:spacing w:after="0" w:line="240" w:lineRule="auto"/>
              <w:rPr>
                <w:rFonts w:ascii="Times New Roman" w:eastAsia="Times New Roman" w:hAnsi="Times New Roman" w:cs="Times New Roman"/>
                <w:sz w:val="32"/>
                <w:szCs w:val="32"/>
                <w:lang w:eastAsia="ru-RU"/>
              </w:rPr>
            </w:pPr>
          </w:p>
        </w:tc>
        <w:tc>
          <w:tcPr>
            <w:tcW w:w="170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808E67" w14:textId="77777777" w:rsidR="0028541E" w:rsidRPr="00365CE8" w:rsidRDefault="0028541E" w:rsidP="0028541E">
            <w:pPr>
              <w:spacing w:after="0" w:line="240" w:lineRule="auto"/>
              <w:rPr>
                <w:rFonts w:ascii="Times New Roman" w:eastAsia="Times New Roman" w:hAnsi="Times New Roman" w:cs="Times New Roman"/>
                <w:b/>
                <w:sz w:val="18"/>
                <w:szCs w:val="18"/>
                <w:lang w:eastAsia="ru-RU"/>
              </w:rPr>
            </w:pPr>
          </w:p>
        </w:tc>
      </w:tr>
      <w:tr w:rsidR="0028541E" w:rsidRPr="00365CE8" w14:paraId="6B408876" w14:textId="77777777" w:rsidTr="0028541E">
        <w:trPr>
          <w:trHeight w:val="340"/>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CB69BA0"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47D0E3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 xml:space="preserve">Саа2/ </w:t>
            </w:r>
            <w:proofErr w:type="spellStart"/>
            <w:r w:rsidRPr="00365CE8">
              <w:rPr>
                <w:rFonts w:ascii="Times New Roman" w:eastAsia="Times New Roman" w:hAnsi="Times New Roman" w:cs="Times New Roman"/>
                <w:sz w:val="20"/>
                <w:szCs w:val="20"/>
                <w:lang w:eastAsia="ru-RU"/>
              </w:rPr>
              <w:t>Са</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C96F33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5FDC81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3F21A4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9E6322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Саа2</w:t>
            </w:r>
          </w:p>
        </w:tc>
        <w:tc>
          <w:tcPr>
            <w:tcW w:w="39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F1E529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953379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688828F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A9883C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5803CF9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53FC87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Позитивний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1AF9892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210029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25 серпня 2017 р.</w:t>
            </w:r>
          </w:p>
        </w:tc>
      </w:tr>
      <w:tr w:rsidR="0028541E" w:rsidRPr="00365CE8" w14:paraId="5601A1CD" w14:textId="77777777" w:rsidTr="0028541E">
        <w:trPr>
          <w:trHeight w:val="340"/>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C011D4"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478A85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Саа1/</w:t>
            </w:r>
          </w:p>
          <w:p w14:paraId="33DEDF8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Са</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8323AA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A00CEC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C09149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367A11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Саа1</w:t>
            </w:r>
          </w:p>
        </w:tc>
        <w:tc>
          <w:tcPr>
            <w:tcW w:w="39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99C176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43B4DD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22544F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AD44D4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DA4FBC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D5ACA9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0F1BEF6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DBB503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21 грудня 2018 р.</w:t>
            </w:r>
          </w:p>
        </w:tc>
      </w:tr>
      <w:tr w:rsidR="0028541E" w:rsidRPr="00365CE8" w14:paraId="53C4688E" w14:textId="77777777" w:rsidTr="0028541E">
        <w:trPr>
          <w:trHeight w:val="340"/>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7A9226C"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E9A40C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Саа1/</w:t>
            </w:r>
          </w:p>
          <w:p w14:paraId="0EB31CC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Са</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864EBD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2B9861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25A873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601EE7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Саа1</w:t>
            </w:r>
          </w:p>
        </w:tc>
        <w:tc>
          <w:tcPr>
            <w:tcW w:w="39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3255E5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3BA1CC2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922FBF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5E292B3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C6BB9D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BC462C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Позитивний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380EAD8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62425A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22 листопада 2019 р.</w:t>
            </w:r>
          </w:p>
        </w:tc>
      </w:tr>
      <w:tr w:rsidR="0028541E" w:rsidRPr="00365CE8" w14:paraId="3E6BFABC" w14:textId="77777777" w:rsidTr="0028541E">
        <w:trPr>
          <w:trHeight w:val="340"/>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0EBEBF9"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5C887D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В3/</w:t>
            </w:r>
          </w:p>
          <w:p w14:paraId="59115CB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Са</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0A1F99A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955563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9D9FDB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AE7E92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В3</w:t>
            </w:r>
          </w:p>
        </w:tc>
        <w:tc>
          <w:tcPr>
            <w:tcW w:w="39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DE7EDB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5980F1A"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45882F1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48251C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68723E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978C64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95C8E6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ED0E19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12 червня 2020 р.</w:t>
            </w:r>
          </w:p>
        </w:tc>
      </w:tr>
      <w:tr w:rsidR="0028541E" w:rsidRPr="00365CE8" w14:paraId="26242E37" w14:textId="77777777" w:rsidTr="0028541E">
        <w:trPr>
          <w:trHeight w:val="340"/>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7EC8B3"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DE6630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В3</w:t>
            </w:r>
          </w:p>
          <w:p w14:paraId="1A71E1E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1DF3428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84B8A4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503EAA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24EF3D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В3</w:t>
            </w:r>
          </w:p>
        </w:tc>
        <w:tc>
          <w:tcPr>
            <w:tcW w:w="39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9ED8F1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998501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3451BD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D498AE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9638A0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AB3FA6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659A07A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123669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11 грудня 2020 р.</w:t>
            </w:r>
          </w:p>
        </w:tc>
      </w:tr>
      <w:tr w:rsidR="0028541E" w:rsidRPr="00365CE8" w14:paraId="3E61714E" w14:textId="77777777" w:rsidTr="0028541E">
        <w:trPr>
          <w:trHeight w:val="340"/>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0DA8A7"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80C031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В3</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FE006F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078EC2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1A078E2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EE416D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В3</w:t>
            </w:r>
          </w:p>
        </w:tc>
        <w:tc>
          <w:tcPr>
            <w:tcW w:w="39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7F4C752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336D3C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96729C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5BA586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38DE98E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E9D7B5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Перегляд з можливим зниженням</w:t>
            </w: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0A9177C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p>
        </w:tc>
        <w:tc>
          <w:tcPr>
            <w:tcW w:w="170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9AC9F2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25 лютого 2022 р.</w:t>
            </w:r>
          </w:p>
        </w:tc>
      </w:tr>
      <w:tr w:rsidR="0028541E" w:rsidRPr="00365CE8" w14:paraId="7A1E3B39" w14:textId="77777777" w:rsidTr="0028541E">
        <w:trPr>
          <w:trHeight w:val="340"/>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449FA4"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2AD3C6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Caa2</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5AF335D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F65BE6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3D45E62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3D9A7E1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Caa2</w:t>
            </w:r>
          </w:p>
        </w:tc>
        <w:tc>
          <w:tcPr>
            <w:tcW w:w="39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6AE42D17"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4EA2CB6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6623EF4"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215FF3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0EDB6E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A8DA8E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Перегляд з можливим зниженням</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795BE19"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6AA9B8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4 березня 2022 р.</w:t>
            </w:r>
          </w:p>
        </w:tc>
      </w:tr>
      <w:tr w:rsidR="0028541E" w:rsidRPr="00365CE8" w14:paraId="7B39BFBD" w14:textId="77777777" w:rsidTr="0028541E">
        <w:trPr>
          <w:trHeight w:val="340"/>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2F317"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5BC49D1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Caa3</w:t>
            </w:r>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20CB25D8"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2C77829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7FD8F03B"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4084F56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Caa3</w:t>
            </w:r>
          </w:p>
        </w:tc>
        <w:tc>
          <w:tcPr>
            <w:tcW w:w="39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7C8495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69B15F6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4A6988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1635B11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24D838A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1601D1A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Негативний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5ED3F67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04A2F91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20 травня 2022 р.</w:t>
            </w:r>
          </w:p>
        </w:tc>
      </w:tr>
      <w:tr w:rsidR="0028541E" w:rsidRPr="00365CE8" w14:paraId="7F7CCDB2" w14:textId="77777777" w:rsidTr="0028541E">
        <w:trPr>
          <w:trHeight w:val="340"/>
        </w:trPr>
        <w:tc>
          <w:tcPr>
            <w:tcW w:w="168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7DA932" w14:textId="77777777" w:rsidR="0028541E" w:rsidRPr="00365CE8" w:rsidRDefault="0028541E" w:rsidP="0028541E">
            <w:pPr>
              <w:spacing w:after="0" w:line="240" w:lineRule="auto"/>
              <w:rPr>
                <w:rFonts w:ascii="Times New Roman" w:eastAsia="Times New Roman" w:hAnsi="Times New Roman" w:cs="Times New Roman"/>
                <w:b/>
                <w:bCs/>
                <w:sz w:val="24"/>
                <w:szCs w:val="24"/>
                <w:lang w:eastAsia="ru-RU"/>
              </w:rPr>
            </w:pPr>
          </w:p>
        </w:tc>
        <w:tc>
          <w:tcPr>
            <w:tcW w:w="710"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7CD0E6F6"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Ca</w:t>
            </w:r>
            <w:proofErr w:type="spellEnd"/>
          </w:p>
        </w:tc>
        <w:tc>
          <w:tcPr>
            <w:tcW w:w="284"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753958AF"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40C326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52F57001"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601"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2CD6BC1E"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365CE8">
              <w:rPr>
                <w:rFonts w:ascii="Times New Roman" w:eastAsia="Times New Roman" w:hAnsi="Times New Roman" w:cs="Times New Roman"/>
                <w:sz w:val="20"/>
                <w:szCs w:val="20"/>
                <w:lang w:eastAsia="ru-RU"/>
              </w:rPr>
              <w:t>Ca</w:t>
            </w:r>
            <w:proofErr w:type="spellEnd"/>
          </w:p>
        </w:tc>
        <w:tc>
          <w:tcPr>
            <w:tcW w:w="391"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hideMark/>
          </w:tcPr>
          <w:p w14:paraId="44FB9800"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850"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03030E52"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4"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tcPr>
          <w:p w14:paraId="27491CDC"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136" w:type="dxa"/>
            <w:tcBorders>
              <w:top w:val="single" w:sz="4" w:space="0" w:color="auto"/>
              <w:left w:val="single" w:sz="4" w:space="0" w:color="auto"/>
              <w:bottom w:val="single" w:sz="4" w:space="0" w:color="auto"/>
              <w:right w:val="single" w:sz="4" w:space="0" w:color="auto"/>
            </w:tcBorders>
            <w:shd w:val="clear" w:color="auto" w:fill="auto"/>
            <w:tcMar>
              <w:top w:w="17" w:type="dxa"/>
              <w:left w:w="17" w:type="dxa"/>
              <w:bottom w:w="0" w:type="dxa"/>
              <w:right w:w="17" w:type="dxa"/>
            </w:tcMar>
            <w:vAlign w:val="center"/>
          </w:tcPr>
          <w:p w14:paraId="3AE4D8D3"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283" w:type="dxa"/>
            <w:tcBorders>
              <w:top w:val="single" w:sz="4" w:space="0" w:color="auto"/>
              <w:left w:val="single" w:sz="4" w:space="0" w:color="auto"/>
              <w:bottom w:val="single" w:sz="4" w:space="0" w:color="auto"/>
              <w:right w:val="single" w:sz="4" w:space="0" w:color="auto"/>
            </w:tcBorders>
            <w:shd w:val="clear" w:color="auto" w:fill="auto"/>
          </w:tcPr>
          <w:p w14:paraId="785EEA4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278"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C4E4E2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365CE8">
              <w:rPr>
                <w:rFonts w:ascii="Times New Roman" w:eastAsia="Times New Roman" w:hAnsi="Times New Roman" w:cs="Times New Roman"/>
                <w:sz w:val="20"/>
                <w:szCs w:val="20"/>
                <w:lang w:eastAsia="ru-RU"/>
              </w:rPr>
              <w:t>Стабільний</w:t>
            </w:r>
          </w:p>
        </w:tc>
        <w:tc>
          <w:tcPr>
            <w:tcW w:w="283" w:type="dxa"/>
            <w:tcBorders>
              <w:top w:val="single" w:sz="4" w:space="0" w:color="auto"/>
              <w:left w:val="single" w:sz="4" w:space="0" w:color="auto"/>
              <w:bottom w:val="single" w:sz="4" w:space="0" w:color="auto"/>
              <w:right w:val="single" w:sz="4" w:space="0" w:color="auto"/>
            </w:tcBorders>
            <w:shd w:val="clear" w:color="auto" w:fill="auto"/>
            <w:hideMark/>
          </w:tcPr>
          <w:p w14:paraId="131A10F5"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sz w:val="32"/>
                <w:szCs w:val="32"/>
                <w:lang w:eastAsia="ru-RU"/>
              </w:rPr>
            </w:pPr>
            <w:r w:rsidRPr="00365CE8">
              <w:rPr>
                <w:rFonts w:ascii="Times New Roman" w:eastAsia="Times New Roman" w:hAnsi="Times New Roman" w:cs="Times New Roman"/>
                <w:sz w:val="32"/>
                <w:szCs w:val="32"/>
                <w:lang w:eastAsia="ru-RU"/>
              </w:rPr>
              <w:t>↑</w:t>
            </w:r>
          </w:p>
        </w:tc>
        <w:tc>
          <w:tcPr>
            <w:tcW w:w="1703" w:type="dxa"/>
            <w:tcBorders>
              <w:top w:val="single" w:sz="4" w:space="0" w:color="auto"/>
              <w:left w:val="single" w:sz="4"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14:paraId="6A093D2D" w14:textId="77777777" w:rsidR="0028541E" w:rsidRPr="00365CE8" w:rsidRDefault="0028541E" w:rsidP="0028541E">
            <w:pPr>
              <w:autoSpaceDE w:val="0"/>
              <w:autoSpaceDN w:val="0"/>
              <w:adjustRightInd w:val="0"/>
              <w:spacing w:after="0" w:line="240" w:lineRule="auto"/>
              <w:jc w:val="center"/>
              <w:rPr>
                <w:rFonts w:ascii="Times New Roman" w:eastAsia="Times New Roman" w:hAnsi="Times New Roman" w:cs="Times New Roman"/>
                <w:b/>
                <w:sz w:val="18"/>
                <w:szCs w:val="18"/>
                <w:lang w:eastAsia="ru-RU"/>
              </w:rPr>
            </w:pPr>
            <w:r w:rsidRPr="00365CE8">
              <w:rPr>
                <w:rFonts w:ascii="Times New Roman" w:eastAsia="Times New Roman" w:hAnsi="Times New Roman" w:cs="Times New Roman"/>
                <w:b/>
                <w:sz w:val="18"/>
                <w:szCs w:val="18"/>
                <w:lang w:eastAsia="ru-RU"/>
              </w:rPr>
              <w:t>10 лютого 2023 р.</w:t>
            </w:r>
          </w:p>
        </w:tc>
      </w:tr>
    </w:tbl>
    <w:p w14:paraId="71EC2A82" w14:textId="77777777" w:rsidR="0028541E" w:rsidRPr="00365CE8" w:rsidRDefault="0028541E" w:rsidP="0028541E">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65CE8">
        <w:rPr>
          <w:rFonts w:ascii="Times New Roman" w:eastAsia="Times New Roman" w:hAnsi="Times New Roman" w:cs="Times New Roman"/>
          <w:sz w:val="16"/>
          <w:szCs w:val="16"/>
          <w:lang w:eastAsia="ru-RU"/>
        </w:rPr>
        <w:t>*Моніторинг рейтингу;</w:t>
      </w:r>
    </w:p>
    <w:p w14:paraId="0C27BF61" w14:textId="77777777" w:rsidR="0028541E" w:rsidRPr="00365CE8" w:rsidRDefault="0028541E" w:rsidP="0028541E">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65CE8">
        <w:rPr>
          <w:rFonts w:ascii="Times New Roman" w:eastAsia="Times New Roman" w:hAnsi="Times New Roman" w:cs="Times New Roman"/>
          <w:sz w:val="16"/>
          <w:szCs w:val="16"/>
          <w:lang w:eastAsia="ru-RU"/>
        </w:rPr>
        <w:t>**Нова категорія прогнозу кредитних рейтингів «той, що розвивається» була використана агентством вперше і означає, що аналітики агентства приділяють велику увагу подіям, що мають місце в країні в даний момент;</w:t>
      </w:r>
    </w:p>
    <w:p w14:paraId="6BE5B358" w14:textId="77777777" w:rsidR="0028541E" w:rsidRPr="00365CE8" w:rsidRDefault="0028541E" w:rsidP="0028541E">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65CE8">
        <w:rPr>
          <w:rFonts w:ascii="Times New Roman" w:eastAsia="Times New Roman" w:hAnsi="Times New Roman" w:cs="Times New Roman"/>
          <w:sz w:val="16"/>
          <w:szCs w:val="16"/>
          <w:lang w:eastAsia="ru-RU"/>
        </w:rPr>
        <w:t>↑↓ зміна рейтингу/прогнозу.</w:t>
      </w:r>
    </w:p>
    <w:p w14:paraId="661E1F44" w14:textId="77777777" w:rsidR="0028541E" w:rsidRPr="00365CE8" w:rsidRDefault="0028541E" w:rsidP="0028541E">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65CE8">
        <w:rPr>
          <w:rFonts w:ascii="Times New Roman" w:eastAsia="Times New Roman" w:hAnsi="Times New Roman" w:cs="Times New Roman"/>
          <w:sz w:val="16"/>
          <w:szCs w:val="16"/>
          <w:lang w:eastAsia="ru-RU"/>
        </w:rPr>
        <w:t xml:space="preserve">***Підтвердило та відкликало Рейтинг країни за національною шкалою, через технічні зміни в  аналітичному процесі агентства </w:t>
      </w:r>
      <w:proofErr w:type="spellStart"/>
      <w:r w:rsidRPr="00365CE8">
        <w:rPr>
          <w:rFonts w:ascii="Times New Roman" w:eastAsia="Times New Roman" w:hAnsi="Times New Roman" w:cs="Times New Roman"/>
          <w:bCs/>
          <w:sz w:val="16"/>
          <w:szCs w:val="16"/>
          <w:lang w:eastAsia="ru-RU"/>
        </w:rPr>
        <w:t>Fitch</w:t>
      </w:r>
      <w:proofErr w:type="spellEnd"/>
      <w:r w:rsidRPr="00365CE8">
        <w:rPr>
          <w:rFonts w:ascii="Times New Roman" w:eastAsia="Times New Roman" w:hAnsi="Times New Roman" w:cs="Times New Roman"/>
          <w:sz w:val="16"/>
          <w:szCs w:val="16"/>
          <w:lang w:eastAsia="ru-RU"/>
        </w:rPr>
        <w:t xml:space="preserve"> </w:t>
      </w:r>
    </w:p>
    <w:p w14:paraId="2CA26DEA" w14:textId="77777777" w:rsidR="0028541E" w:rsidRPr="00365CE8" w:rsidRDefault="0028541E" w:rsidP="0028541E">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65CE8">
        <w:rPr>
          <w:rFonts w:ascii="Times New Roman" w:eastAsia="Times New Roman" w:hAnsi="Times New Roman" w:cs="Times New Roman"/>
          <w:sz w:val="16"/>
          <w:szCs w:val="16"/>
          <w:lang w:eastAsia="ru-RU"/>
        </w:rPr>
        <w:t>**** Після здійснення правочину з державним боргом, рейтингове агентство присвоює рейтинг емітенту Україна в іноземній валюті</w:t>
      </w:r>
    </w:p>
    <w:p w14:paraId="6E5F674C" w14:textId="77777777" w:rsidR="0028541E" w:rsidRPr="00365CE8" w:rsidRDefault="0028541E" w:rsidP="0028541E">
      <w:pPr>
        <w:autoSpaceDE w:val="0"/>
        <w:autoSpaceDN w:val="0"/>
        <w:adjustRightInd w:val="0"/>
        <w:spacing w:after="0" w:line="240" w:lineRule="auto"/>
        <w:jc w:val="both"/>
        <w:rPr>
          <w:rFonts w:ascii="Times New Roman" w:eastAsia="Times New Roman" w:hAnsi="Times New Roman" w:cs="Times New Roman"/>
          <w:sz w:val="16"/>
          <w:szCs w:val="16"/>
          <w:lang w:eastAsia="ru-RU"/>
        </w:rPr>
      </w:pPr>
      <w:r w:rsidRPr="00365CE8">
        <w:rPr>
          <w:rFonts w:ascii="Times New Roman" w:eastAsia="Times New Roman" w:hAnsi="Times New Roman" w:cs="Times New Roman"/>
          <w:sz w:val="16"/>
          <w:szCs w:val="16"/>
          <w:lang w:eastAsia="ru-RU"/>
        </w:rPr>
        <w:t>*****</w:t>
      </w:r>
      <w:proofErr w:type="spellStart"/>
      <w:r w:rsidRPr="00365CE8">
        <w:rPr>
          <w:rFonts w:ascii="Times New Roman" w:eastAsia="Times New Roman" w:hAnsi="Times New Roman" w:cs="Times New Roman"/>
          <w:sz w:val="16"/>
          <w:szCs w:val="16"/>
          <w:lang w:eastAsia="ru-RU"/>
        </w:rPr>
        <w:t>Moody’s</w:t>
      </w:r>
      <w:proofErr w:type="spellEnd"/>
      <w:r w:rsidRPr="00365CE8">
        <w:rPr>
          <w:rFonts w:ascii="Times New Roman" w:eastAsia="Times New Roman" w:hAnsi="Times New Roman" w:cs="Times New Roman"/>
          <w:sz w:val="16"/>
          <w:szCs w:val="16"/>
          <w:lang w:eastAsia="ru-RU"/>
        </w:rPr>
        <w:t xml:space="preserve"> відкликало рейтинг </w:t>
      </w:r>
      <w:proofErr w:type="spellStart"/>
      <w:r w:rsidRPr="00365CE8">
        <w:rPr>
          <w:rFonts w:ascii="Times New Roman" w:eastAsia="Times New Roman" w:hAnsi="Times New Roman" w:cs="Times New Roman"/>
          <w:sz w:val="16"/>
          <w:szCs w:val="16"/>
          <w:lang w:eastAsia="ru-RU"/>
        </w:rPr>
        <w:t>Ca</w:t>
      </w:r>
      <w:proofErr w:type="spellEnd"/>
      <w:r w:rsidRPr="00365CE8">
        <w:rPr>
          <w:rFonts w:ascii="Times New Roman" w:eastAsia="Times New Roman" w:hAnsi="Times New Roman" w:cs="Times New Roman"/>
          <w:sz w:val="16"/>
          <w:szCs w:val="16"/>
          <w:lang w:eastAsia="ru-RU"/>
        </w:rPr>
        <w:t xml:space="preserve"> по єврооблігаціям на 3 млрд </w:t>
      </w:r>
      <w:proofErr w:type="spellStart"/>
      <w:r w:rsidRPr="00365CE8">
        <w:rPr>
          <w:rFonts w:ascii="Times New Roman" w:eastAsia="Times New Roman" w:hAnsi="Times New Roman" w:cs="Times New Roman"/>
          <w:sz w:val="16"/>
          <w:szCs w:val="16"/>
          <w:lang w:eastAsia="ru-RU"/>
        </w:rPr>
        <w:t>дол</w:t>
      </w:r>
      <w:proofErr w:type="spellEnd"/>
      <w:r w:rsidRPr="00365CE8">
        <w:rPr>
          <w:rFonts w:ascii="Times New Roman" w:eastAsia="Times New Roman" w:hAnsi="Times New Roman" w:cs="Times New Roman"/>
          <w:sz w:val="16"/>
          <w:szCs w:val="16"/>
          <w:lang w:eastAsia="ru-RU"/>
        </w:rPr>
        <w:t>. США з погашенням у 2015 році за власних ділових причин.</w:t>
      </w:r>
    </w:p>
    <w:p w14:paraId="5D0ABEC7" w14:textId="77777777" w:rsidR="00ED2312" w:rsidRPr="00365CE8" w:rsidRDefault="00ED2312" w:rsidP="0028541E">
      <w:pPr>
        <w:spacing w:after="0" w:line="240" w:lineRule="auto"/>
        <w:jc w:val="right"/>
        <w:rPr>
          <w:rFonts w:ascii="Times New Roman" w:hAnsi="Times New Roman" w:cs="Times New Roman"/>
          <w:b/>
          <w:sz w:val="28"/>
          <w:szCs w:val="28"/>
        </w:rPr>
      </w:pPr>
    </w:p>
    <w:sectPr w:rsidR="00ED2312" w:rsidRPr="00365CE8" w:rsidSect="00AA0CBA">
      <w:headerReference w:type="default" r:id="rId44"/>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090423" w14:textId="77777777" w:rsidR="00AF20FD" w:rsidRDefault="00AF20FD">
      <w:pPr>
        <w:spacing w:after="0" w:line="240" w:lineRule="auto"/>
      </w:pPr>
      <w:r>
        <w:separator/>
      </w:r>
    </w:p>
  </w:endnote>
  <w:endnote w:type="continuationSeparator" w:id="0">
    <w:p w14:paraId="67DF0C21" w14:textId="77777777" w:rsidR="00AF20FD" w:rsidRDefault="00AF2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DECB3" w14:textId="77777777" w:rsidR="00AF20FD" w:rsidRDefault="00AF20FD">
      <w:pPr>
        <w:spacing w:after="0" w:line="240" w:lineRule="auto"/>
      </w:pPr>
      <w:r>
        <w:separator/>
      </w:r>
    </w:p>
  </w:footnote>
  <w:footnote w:type="continuationSeparator" w:id="0">
    <w:p w14:paraId="5B7C8220" w14:textId="77777777" w:rsidR="00AF20FD" w:rsidRDefault="00AF20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08850"/>
      <w:docPartObj>
        <w:docPartGallery w:val="Page Numbers (Top of Page)"/>
        <w:docPartUnique/>
      </w:docPartObj>
    </w:sdtPr>
    <w:sdtEndPr>
      <w:rPr>
        <w:sz w:val="24"/>
        <w:szCs w:val="24"/>
      </w:rPr>
    </w:sdtEndPr>
    <w:sdtContent>
      <w:p w14:paraId="4B295D67" w14:textId="77777777" w:rsidR="0050288A" w:rsidRPr="00F10965" w:rsidRDefault="0050288A" w:rsidP="00412652">
        <w:pPr>
          <w:pStyle w:val="a3"/>
          <w:jc w:val="right"/>
          <w:rPr>
            <w:sz w:val="24"/>
            <w:szCs w:val="24"/>
          </w:rPr>
        </w:pPr>
        <w:r w:rsidRPr="00F10965">
          <w:rPr>
            <w:sz w:val="24"/>
            <w:szCs w:val="24"/>
          </w:rPr>
          <w:fldChar w:fldCharType="begin"/>
        </w:r>
        <w:r w:rsidRPr="00F10965">
          <w:rPr>
            <w:sz w:val="24"/>
            <w:szCs w:val="24"/>
          </w:rPr>
          <w:instrText>PAGE   \* MERGEFORMAT</w:instrText>
        </w:r>
        <w:r w:rsidRPr="00F10965">
          <w:rPr>
            <w:sz w:val="24"/>
            <w:szCs w:val="24"/>
          </w:rPr>
          <w:fldChar w:fldCharType="separate"/>
        </w:r>
        <w:r w:rsidR="00365CE8">
          <w:rPr>
            <w:noProof/>
            <w:sz w:val="24"/>
            <w:szCs w:val="24"/>
          </w:rPr>
          <w:t>2</w:t>
        </w:r>
        <w:r w:rsidRPr="00F10965">
          <w:rPr>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D3A4E"/>
    <w:multiLevelType w:val="hybridMultilevel"/>
    <w:tmpl w:val="176849EA"/>
    <w:lvl w:ilvl="0" w:tplc="AA52B9D0">
      <w:start w:val="11"/>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 w15:restartNumberingAfterBreak="0">
    <w:nsid w:val="1E612793"/>
    <w:multiLevelType w:val="hybridMultilevel"/>
    <w:tmpl w:val="5ACA8F82"/>
    <w:lvl w:ilvl="0" w:tplc="A8405104">
      <w:start w:val="2"/>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2" w15:restartNumberingAfterBreak="0">
    <w:nsid w:val="2C57435A"/>
    <w:multiLevelType w:val="hybridMultilevel"/>
    <w:tmpl w:val="BA1EBB86"/>
    <w:lvl w:ilvl="0" w:tplc="AA02884E">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DDE3830"/>
    <w:multiLevelType w:val="hybridMultilevel"/>
    <w:tmpl w:val="7A50CE44"/>
    <w:lvl w:ilvl="0" w:tplc="AA52B9D0">
      <w:start w:val="11"/>
      <w:numFmt w:val="bullet"/>
      <w:lvlText w:val="˗"/>
      <w:lvlJc w:val="left"/>
      <w:pPr>
        <w:ind w:left="1428" w:hanging="360"/>
      </w:pPr>
      <w:rPr>
        <w:rFonts w:ascii="Times New Roman" w:eastAsiaTheme="minorHAnsi"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4" w15:restartNumberingAfterBreak="0">
    <w:nsid w:val="45E100CE"/>
    <w:multiLevelType w:val="multilevel"/>
    <w:tmpl w:val="383E2F44"/>
    <w:lvl w:ilvl="0">
      <w:start w:val="1"/>
      <w:numFmt w:val="bullet"/>
      <w:lvlText w:val=""/>
      <w:lvlJc w:val="left"/>
      <w:rPr>
        <w:rFonts w:ascii="Symbol" w:hAnsi="Symbol" w:hint="default"/>
        <w:b w:val="0"/>
        <w:bCs w:val="0"/>
        <w:i w:val="0"/>
        <w:iCs w:val="0"/>
        <w:smallCaps w:val="0"/>
        <w:strike w:val="0"/>
        <w:color w:val="000000"/>
        <w:spacing w:val="0"/>
        <w:w w:val="100"/>
        <w:position w:val="0"/>
        <w:sz w:val="18"/>
        <w:szCs w:val="18"/>
        <w:u w:val="none"/>
        <w:lang w:val="uk"/>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4A6013F3"/>
    <w:multiLevelType w:val="hybridMultilevel"/>
    <w:tmpl w:val="150CB2B4"/>
    <w:lvl w:ilvl="0" w:tplc="363054E4">
      <w:start w:val="1"/>
      <w:numFmt w:val="decimal"/>
      <w:lvlText w:val="%1."/>
      <w:lvlJc w:val="left"/>
      <w:pPr>
        <w:ind w:left="2453" w:hanging="103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AE909D2"/>
    <w:multiLevelType w:val="hybridMultilevel"/>
    <w:tmpl w:val="F2006AC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 w15:restartNumberingAfterBreak="0">
    <w:nsid w:val="4E4742CC"/>
    <w:multiLevelType w:val="hybridMultilevel"/>
    <w:tmpl w:val="7CC29E2A"/>
    <w:lvl w:ilvl="0" w:tplc="363054E4">
      <w:start w:val="1"/>
      <w:numFmt w:val="decimal"/>
      <w:lvlText w:val="%1."/>
      <w:lvlJc w:val="left"/>
      <w:pPr>
        <w:ind w:left="3161" w:hanging="1035"/>
      </w:pPr>
      <w:rPr>
        <w:rFonts w:hint="default"/>
      </w:rPr>
    </w:lvl>
    <w:lvl w:ilvl="1" w:tplc="04220019">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8" w15:restartNumberingAfterBreak="0">
    <w:nsid w:val="51FE3E21"/>
    <w:multiLevelType w:val="hybridMultilevel"/>
    <w:tmpl w:val="5B38CEA0"/>
    <w:lvl w:ilvl="0" w:tplc="AA52B9D0">
      <w:start w:val="11"/>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9" w15:restartNumberingAfterBreak="0">
    <w:nsid w:val="666322F9"/>
    <w:multiLevelType w:val="multilevel"/>
    <w:tmpl w:val="E584A532"/>
    <w:lvl w:ilvl="0">
      <w:start w:val="1"/>
      <w:numFmt w:val="decimal"/>
      <w:lvlText w:val="%1."/>
      <w:lvlJc w:val="left"/>
      <w:rPr>
        <w:rFonts w:ascii="Arial" w:eastAsia="Arial" w:hAnsi="Arial" w:cs="Arial"/>
        <w:b w:val="0"/>
        <w:bCs w:val="0"/>
        <w:i w:val="0"/>
        <w:iCs w:val="0"/>
        <w:smallCaps w:val="0"/>
        <w:strike w:val="0"/>
        <w:color w:val="000000"/>
        <w:spacing w:val="0"/>
        <w:w w:val="100"/>
        <w:position w:val="0"/>
        <w:sz w:val="18"/>
        <w:szCs w:val="18"/>
        <w:u w:val="none"/>
        <w:lang w:val="uk"/>
      </w:rPr>
    </w:lvl>
    <w:lvl w:ilvl="1">
      <w:start w:val="1"/>
      <w:numFmt w:val="decimal"/>
      <w:lvlText w:val="%2."/>
      <w:lvlJc w:val="left"/>
      <w:rPr>
        <w:rFonts w:ascii="Arial" w:eastAsia="Arial" w:hAnsi="Arial" w:cs="Arial"/>
        <w:b w:val="0"/>
        <w:bCs w:val="0"/>
        <w:i w:val="0"/>
        <w:iCs w:val="0"/>
        <w:smallCaps w:val="0"/>
        <w:strike w:val="0"/>
        <w:color w:val="000000"/>
        <w:spacing w:val="0"/>
        <w:w w:val="100"/>
        <w:position w:val="0"/>
        <w:sz w:val="18"/>
        <w:szCs w:val="18"/>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9A95535"/>
    <w:multiLevelType w:val="hybridMultilevel"/>
    <w:tmpl w:val="35487656"/>
    <w:lvl w:ilvl="0" w:tplc="363054E4">
      <w:start w:val="1"/>
      <w:numFmt w:val="decimal"/>
      <w:lvlText w:val="%1."/>
      <w:lvlJc w:val="left"/>
      <w:pPr>
        <w:ind w:left="3161" w:hanging="1035"/>
      </w:pPr>
      <w:rPr>
        <w:rFonts w:hint="default"/>
      </w:rPr>
    </w:lvl>
    <w:lvl w:ilvl="1" w:tplc="0422000F">
      <w:start w:val="1"/>
      <w:numFmt w:val="decimal"/>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1" w15:restartNumberingAfterBreak="0">
    <w:nsid w:val="6F2F2232"/>
    <w:multiLevelType w:val="hybridMultilevel"/>
    <w:tmpl w:val="4DB8EC54"/>
    <w:lvl w:ilvl="0" w:tplc="B60EE18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2" w15:restartNumberingAfterBreak="0">
    <w:nsid w:val="72D23545"/>
    <w:multiLevelType w:val="hybridMultilevel"/>
    <w:tmpl w:val="4DB8EC54"/>
    <w:lvl w:ilvl="0" w:tplc="B60EE186">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13" w15:restartNumberingAfterBreak="0">
    <w:nsid w:val="74F812C5"/>
    <w:multiLevelType w:val="hybridMultilevel"/>
    <w:tmpl w:val="A89E3A9E"/>
    <w:lvl w:ilvl="0" w:tplc="363054E4">
      <w:start w:val="1"/>
      <w:numFmt w:val="decimal"/>
      <w:lvlText w:val="%1."/>
      <w:lvlJc w:val="left"/>
      <w:pPr>
        <w:ind w:left="3161" w:hanging="1035"/>
      </w:pPr>
      <w:rPr>
        <w:rFonts w:hint="default"/>
      </w:rPr>
    </w:lvl>
    <w:lvl w:ilvl="1" w:tplc="04220011">
      <w:start w:val="1"/>
      <w:numFmt w:val="decimal"/>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abstractNum w:abstractNumId="14" w15:restartNumberingAfterBreak="0">
    <w:nsid w:val="7B437EBB"/>
    <w:multiLevelType w:val="hybridMultilevel"/>
    <w:tmpl w:val="3244D740"/>
    <w:lvl w:ilvl="0" w:tplc="04220011">
      <w:start w:val="1"/>
      <w:numFmt w:val="decimal"/>
      <w:lvlText w:val="%1)"/>
      <w:lvlJc w:val="left"/>
      <w:pPr>
        <w:ind w:left="1428" w:hanging="360"/>
      </w:pPr>
    </w:lvl>
    <w:lvl w:ilvl="1" w:tplc="04220019" w:tentative="1">
      <w:start w:val="1"/>
      <w:numFmt w:val="lowerLetter"/>
      <w:lvlText w:val="%2."/>
      <w:lvlJc w:val="left"/>
      <w:pPr>
        <w:ind w:left="2148" w:hanging="360"/>
      </w:pPr>
    </w:lvl>
    <w:lvl w:ilvl="2" w:tplc="0422001B" w:tentative="1">
      <w:start w:val="1"/>
      <w:numFmt w:val="lowerRoman"/>
      <w:lvlText w:val="%3."/>
      <w:lvlJc w:val="right"/>
      <w:pPr>
        <w:ind w:left="2868" w:hanging="180"/>
      </w:pPr>
    </w:lvl>
    <w:lvl w:ilvl="3" w:tplc="0422000F" w:tentative="1">
      <w:start w:val="1"/>
      <w:numFmt w:val="decimal"/>
      <w:lvlText w:val="%4."/>
      <w:lvlJc w:val="left"/>
      <w:pPr>
        <w:ind w:left="3588" w:hanging="360"/>
      </w:pPr>
    </w:lvl>
    <w:lvl w:ilvl="4" w:tplc="04220019" w:tentative="1">
      <w:start w:val="1"/>
      <w:numFmt w:val="lowerLetter"/>
      <w:lvlText w:val="%5."/>
      <w:lvlJc w:val="left"/>
      <w:pPr>
        <w:ind w:left="4308" w:hanging="360"/>
      </w:pPr>
    </w:lvl>
    <w:lvl w:ilvl="5" w:tplc="0422001B" w:tentative="1">
      <w:start w:val="1"/>
      <w:numFmt w:val="lowerRoman"/>
      <w:lvlText w:val="%6."/>
      <w:lvlJc w:val="right"/>
      <w:pPr>
        <w:ind w:left="5028" w:hanging="180"/>
      </w:pPr>
    </w:lvl>
    <w:lvl w:ilvl="6" w:tplc="0422000F" w:tentative="1">
      <w:start w:val="1"/>
      <w:numFmt w:val="decimal"/>
      <w:lvlText w:val="%7."/>
      <w:lvlJc w:val="left"/>
      <w:pPr>
        <w:ind w:left="5748" w:hanging="360"/>
      </w:pPr>
    </w:lvl>
    <w:lvl w:ilvl="7" w:tplc="04220019" w:tentative="1">
      <w:start w:val="1"/>
      <w:numFmt w:val="lowerLetter"/>
      <w:lvlText w:val="%8."/>
      <w:lvlJc w:val="left"/>
      <w:pPr>
        <w:ind w:left="6468" w:hanging="360"/>
      </w:pPr>
    </w:lvl>
    <w:lvl w:ilvl="8" w:tplc="0422001B" w:tentative="1">
      <w:start w:val="1"/>
      <w:numFmt w:val="lowerRoman"/>
      <w:lvlText w:val="%9."/>
      <w:lvlJc w:val="right"/>
      <w:pPr>
        <w:ind w:left="7188" w:hanging="180"/>
      </w:pPr>
    </w:lvl>
  </w:abstractNum>
  <w:num w:numId="1">
    <w:abstractNumId w:val="2"/>
  </w:num>
  <w:num w:numId="2">
    <w:abstractNumId w:val="1"/>
  </w:num>
  <w:num w:numId="3">
    <w:abstractNumId w:val="12"/>
  </w:num>
  <w:num w:numId="4">
    <w:abstractNumId w:val="6"/>
  </w:num>
  <w:num w:numId="5">
    <w:abstractNumId w:val="8"/>
  </w:num>
  <w:num w:numId="6">
    <w:abstractNumId w:val="0"/>
  </w:num>
  <w:num w:numId="7">
    <w:abstractNumId w:val="14"/>
  </w:num>
  <w:num w:numId="8">
    <w:abstractNumId w:val="3"/>
  </w:num>
  <w:num w:numId="9">
    <w:abstractNumId w:val="9"/>
  </w:num>
  <w:num w:numId="10">
    <w:abstractNumId w:val="4"/>
  </w:num>
  <w:num w:numId="11">
    <w:abstractNumId w:val="11"/>
  </w:num>
  <w:num w:numId="12">
    <w:abstractNumId w:val="5"/>
  </w:num>
  <w:num w:numId="13">
    <w:abstractNumId w:val="7"/>
  </w:num>
  <w:num w:numId="14">
    <w:abstractNumId w:val="1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2654"/>
    <w:rsid w:val="00016673"/>
    <w:rsid w:val="00020B4A"/>
    <w:rsid w:val="00055528"/>
    <w:rsid w:val="00060CF7"/>
    <w:rsid w:val="000634F6"/>
    <w:rsid w:val="000B468E"/>
    <w:rsid w:val="000D0D52"/>
    <w:rsid w:val="000F5FDB"/>
    <w:rsid w:val="00110E5A"/>
    <w:rsid w:val="00115DF5"/>
    <w:rsid w:val="001516DF"/>
    <w:rsid w:val="00161FC5"/>
    <w:rsid w:val="00182DE4"/>
    <w:rsid w:val="0019165D"/>
    <w:rsid w:val="00196ED1"/>
    <w:rsid w:val="001C1D4C"/>
    <w:rsid w:val="001D1E43"/>
    <w:rsid w:val="001E081C"/>
    <w:rsid w:val="001E2520"/>
    <w:rsid w:val="001E707B"/>
    <w:rsid w:val="00200ED2"/>
    <w:rsid w:val="00206F18"/>
    <w:rsid w:val="00226F5F"/>
    <w:rsid w:val="00227C6A"/>
    <w:rsid w:val="00267313"/>
    <w:rsid w:val="002677A3"/>
    <w:rsid w:val="0027211F"/>
    <w:rsid w:val="0028541E"/>
    <w:rsid w:val="002872C3"/>
    <w:rsid w:val="002C323E"/>
    <w:rsid w:val="002E1827"/>
    <w:rsid w:val="00310DFB"/>
    <w:rsid w:val="00314092"/>
    <w:rsid w:val="003174F7"/>
    <w:rsid w:val="00322E39"/>
    <w:rsid w:val="00335C00"/>
    <w:rsid w:val="00365CE8"/>
    <w:rsid w:val="00373B18"/>
    <w:rsid w:val="003826CA"/>
    <w:rsid w:val="0039061F"/>
    <w:rsid w:val="00395CDA"/>
    <w:rsid w:val="003D7BEE"/>
    <w:rsid w:val="003E1496"/>
    <w:rsid w:val="003F1BC1"/>
    <w:rsid w:val="0040789A"/>
    <w:rsid w:val="00412652"/>
    <w:rsid w:val="00442713"/>
    <w:rsid w:val="004621BF"/>
    <w:rsid w:val="004644EA"/>
    <w:rsid w:val="00466AFA"/>
    <w:rsid w:val="00466E22"/>
    <w:rsid w:val="00467407"/>
    <w:rsid w:val="004719E5"/>
    <w:rsid w:val="00481AB2"/>
    <w:rsid w:val="00483E53"/>
    <w:rsid w:val="004C0051"/>
    <w:rsid w:val="004C1A44"/>
    <w:rsid w:val="004C6B9D"/>
    <w:rsid w:val="004D5BB4"/>
    <w:rsid w:val="00500DEB"/>
    <w:rsid w:val="0050288A"/>
    <w:rsid w:val="00507237"/>
    <w:rsid w:val="005110A4"/>
    <w:rsid w:val="00524496"/>
    <w:rsid w:val="00527B81"/>
    <w:rsid w:val="00531C72"/>
    <w:rsid w:val="00585A35"/>
    <w:rsid w:val="005B5BF6"/>
    <w:rsid w:val="005D5889"/>
    <w:rsid w:val="005E6944"/>
    <w:rsid w:val="0060697B"/>
    <w:rsid w:val="00613697"/>
    <w:rsid w:val="006254AC"/>
    <w:rsid w:val="006535E7"/>
    <w:rsid w:val="00660E8D"/>
    <w:rsid w:val="00665924"/>
    <w:rsid w:val="006736F7"/>
    <w:rsid w:val="00675086"/>
    <w:rsid w:val="0068177F"/>
    <w:rsid w:val="006958F4"/>
    <w:rsid w:val="006C070C"/>
    <w:rsid w:val="007124E1"/>
    <w:rsid w:val="007140A8"/>
    <w:rsid w:val="00722768"/>
    <w:rsid w:val="0075435A"/>
    <w:rsid w:val="007C3AA7"/>
    <w:rsid w:val="007D2A7C"/>
    <w:rsid w:val="007F0C09"/>
    <w:rsid w:val="00802C33"/>
    <w:rsid w:val="0080321A"/>
    <w:rsid w:val="00807323"/>
    <w:rsid w:val="00823AA6"/>
    <w:rsid w:val="00833A1A"/>
    <w:rsid w:val="008516EB"/>
    <w:rsid w:val="00860F71"/>
    <w:rsid w:val="008A3EBC"/>
    <w:rsid w:val="008A420A"/>
    <w:rsid w:val="008B0F0A"/>
    <w:rsid w:val="00914D8B"/>
    <w:rsid w:val="00915877"/>
    <w:rsid w:val="00922D0E"/>
    <w:rsid w:val="0092539F"/>
    <w:rsid w:val="00927356"/>
    <w:rsid w:val="00934C2F"/>
    <w:rsid w:val="00940F03"/>
    <w:rsid w:val="009A1DCA"/>
    <w:rsid w:val="009A7E0E"/>
    <w:rsid w:val="009B4C49"/>
    <w:rsid w:val="009C2654"/>
    <w:rsid w:val="009D4BB3"/>
    <w:rsid w:val="009E2F9C"/>
    <w:rsid w:val="009F1B72"/>
    <w:rsid w:val="00A32A3F"/>
    <w:rsid w:val="00A44C9F"/>
    <w:rsid w:val="00A6516A"/>
    <w:rsid w:val="00AA0CBA"/>
    <w:rsid w:val="00AB7C2D"/>
    <w:rsid w:val="00AC49E7"/>
    <w:rsid w:val="00AE2A19"/>
    <w:rsid w:val="00AF20FD"/>
    <w:rsid w:val="00B17772"/>
    <w:rsid w:val="00B37FA4"/>
    <w:rsid w:val="00B406BE"/>
    <w:rsid w:val="00B62717"/>
    <w:rsid w:val="00B854E5"/>
    <w:rsid w:val="00BC569E"/>
    <w:rsid w:val="00BF4E8E"/>
    <w:rsid w:val="00BF4F4B"/>
    <w:rsid w:val="00C35B6F"/>
    <w:rsid w:val="00C35E3B"/>
    <w:rsid w:val="00C47898"/>
    <w:rsid w:val="00C557D3"/>
    <w:rsid w:val="00C77799"/>
    <w:rsid w:val="00C93626"/>
    <w:rsid w:val="00C94E69"/>
    <w:rsid w:val="00C97326"/>
    <w:rsid w:val="00CB28AA"/>
    <w:rsid w:val="00CD3774"/>
    <w:rsid w:val="00CF0AC9"/>
    <w:rsid w:val="00D02090"/>
    <w:rsid w:val="00D04DD2"/>
    <w:rsid w:val="00D16184"/>
    <w:rsid w:val="00D3047A"/>
    <w:rsid w:val="00D33F3E"/>
    <w:rsid w:val="00D348CA"/>
    <w:rsid w:val="00D4624A"/>
    <w:rsid w:val="00D73B74"/>
    <w:rsid w:val="00D914B9"/>
    <w:rsid w:val="00DB6394"/>
    <w:rsid w:val="00DD79DC"/>
    <w:rsid w:val="00DE5469"/>
    <w:rsid w:val="00DF48F4"/>
    <w:rsid w:val="00DF5356"/>
    <w:rsid w:val="00E1758C"/>
    <w:rsid w:val="00E27B38"/>
    <w:rsid w:val="00E44BD9"/>
    <w:rsid w:val="00E72185"/>
    <w:rsid w:val="00E800F4"/>
    <w:rsid w:val="00E80622"/>
    <w:rsid w:val="00E82549"/>
    <w:rsid w:val="00E839BC"/>
    <w:rsid w:val="00E901AD"/>
    <w:rsid w:val="00EA2E0B"/>
    <w:rsid w:val="00EB3DD2"/>
    <w:rsid w:val="00ED0589"/>
    <w:rsid w:val="00ED2312"/>
    <w:rsid w:val="00F12A84"/>
    <w:rsid w:val="00F31EB8"/>
    <w:rsid w:val="00F33C68"/>
    <w:rsid w:val="00F822FE"/>
    <w:rsid w:val="00F878C6"/>
    <w:rsid w:val="00FC52A5"/>
    <w:rsid w:val="00FD577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35207A"/>
  <w15:docId w15:val="{FA6FBD39-2A2F-4B43-88FB-79E47862C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2654"/>
  </w:style>
  <w:style w:type="paragraph" w:styleId="2">
    <w:name w:val="heading 2"/>
    <w:basedOn w:val="a"/>
    <w:link w:val="20"/>
    <w:uiPriority w:val="9"/>
    <w:qFormat/>
    <w:rsid w:val="00E901A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BF4F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901AD"/>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BF4F4B"/>
    <w:rPr>
      <w:rFonts w:asciiTheme="majorHAnsi" w:eastAsiaTheme="majorEastAsia" w:hAnsiTheme="majorHAnsi" w:cstheme="majorBidi"/>
      <w:b/>
      <w:bCs/>
      <w:color w:val="4F81BD" w:themeColor="accent1"/>
    </w:rPr>
  </w:style>
  <w:style w:type="paragraph" w:styleId="a3">
    <w:name w:val="header"/>
    <w:basedOn w:val="a"/>
    <w:link w:val="a4"/>
    <w:uiPriority w:val="99"/>
    <w:unhideWhenUsed/>
    <w:rsid w:val="00E901AD"/>
    <w:pPr>
      <w:tabs>
        <w:tab w:val="center" w:pos="4677"/>
        <w:tab w:val="right" w:pos="9355"/>
      </w:tabs>
      <w:spacing w:after="0" w:line="240" w:lineRule="auto"/>
    </w:pPr>
    <w:rPr>
      <w:rFonts w:eastAsiaTheme="minorEastAsia"/>
      <w:lang w:eastAsia="uk-UA"/>
    </w:rPr>
  </w:style>
  <w:style w:type="character" w:customStyle="1" w:styleId="a4">
    <w:name w:val="Верхній колонтитул Знак"/>
    <w:basedOn w:val="a0"/>
    <w:link w:val="a3"/>
    <w:uiPriority w:val="99"/>
    <w:rsid w:val="00E901AD"/>
    <w:rPr>
      <w:rFonts w:eastAsiaTheme="minorEastAsia"/>
      <w:lang w:eastAsia="uk-UA"/>
    </w:rPr>
  </w:style>
  <w:style w:type="paragraph" w:styleId="a5">
    <w:name w:val="List Paragraph"/>
    <w:basedOn w:val="a"/>
    <w:link w:val="a6"/>
    <w:uiPriority w:val="34"/>
    <w:qFormat/>
    <w:rsid w:val="00E901AD"/>
    <w:pPr>
      <w:ind w:left="720"/>
      <w:contextualSpacing/>
    </w:pPr>
    <w:rPr>
      <w:rFonts w:eastAsiaTheme="minorEastAsia"/>
      <w:lang w:eastAsia="uk-UA"/>
    </w:rPr>
  </w:style>
  <w:style w:type="character" w:customStyle="1" w:styleId="a6">
    <w:name w:val="Абзац списку Знак"/>
    <w:link w:val="a5"/>
    <w:uiPriority w:val="34"/>
    <w:locked/>
    <w:rsid w:val="00E901AD"/>
    <w:rPr>
      <w:rFonts w:eastAsiaTheme="minorEastAsia"/>
      <w:lang w:eastAsia="uk-UA"/>
    </w:rPr>
  </w:style>
  <w:style w:type="paragraph" w:styleId="a7">
    <w:name w:val="footer"/>
    <w:basedOn w:val="a"/>
    <w:link w:val="a8"/>
    <w:uiPriority w:val="99"/>
    <w:unhideWhenUsed/>
    <w:rsid w:val="00E901AD"/>
    <w:pPr>
      <w:tabs>
        <w:tab w:val="center" w:pos="4677"/>
        <w:tab w:val="right" w:pos="9355"/>
      </w:tabs>
      <w:spacing w:after="0" w:line="240" w:lineRule="auto"/>
    </w:pPr>
    <w:rPr>
      <w:rFonts w:eastAsiaTheme="minorEastAsia"/>
      <w:lang w:eastAsia="uk-UA"/>
    </w:rPr>
  </w:style>
  <w:style w:type="character" w:customStyle="1" w:styleId="a8">
    <w:name w:val="Нижній колонтитул Знак"/>
    <w:basedOn w:val="a0"/>
    <w:link w:val="a7"/>
    <w:uiPriority w:val="99"/>
    <w:rsid w:val="00E901AD"/>
    <w:rPr>
      <w:rFonts w:eastAsiaTheme="minorEastAsia"/>
      <w:lang w:eastAsia="uk-UA"/>
    </w:rPr>
  </w:style>
  <w:style w:type="table" w:styleId="a9">
    <w:name w:val="Table Grid"/>
    <w:basedOn w:val="a1"/>
    <w:uiPriority w:val="59"/>
    <w:rsid w:val="00E901AD"/>
    <w:pPr>
      <w:spacing w:after="0" w:line="240" w:lineRule="auto"/>
    </w:pPr>
    <w:rPr>
      <w:rFonts w:eastAsiaTheme="minorEastAsia"/>
      <w:lang w:eastAsia="uk-U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E901AD"/>
    <w:pPr>
      <w:autoSpaceDE w:val="0"/>
      <w:autoSpaceDN w:val="0"/>
      <w:adjustRightInd w:val="0"/>
      <w:spacing w:after="0" w:line="240" w:lineRule="auto"/>
    </w:pPr>
    <w:rPr>
      <w:rFonts w:ascii="Times New Roman" w:eastAsiaTheme="minorEastAsia" w:hAnsi="Times New Roman" w:cs="Times New Roman"/>
      <w:color w:val="000000"/>
      <w:sz w:val="24"/>
      <w:szCs w:val="24"/>
      <w:lang w:eastAsia="uk-UA"/>
    </w:rPr>
  </w:style>
  <w:style w:type="character" w:customStyle="1" w:styleId="aa">
    <w:name w:val="Основний текст_"/>
    <w:basedOn w:val="a0"/>
    <w:link w:val="1"/>
    <w:rsid w:val="00020B4A"/>
    <w:rPr>
      <w:rFonts w:ascii="Times New Roman" w:eastAsia="Times New Roman" w:hAnsi="Times New Roman" w:cs="Times New Roman"/>
      <w:sz w:val="27"/>
      <w:szCs w:val="27"/>
      <w:shd w:val="clear" w:color="auto" w:fill="FFFFFF"/>
    </w:rPr>
  </w:style>
  <w:style w:type="paragraph" w:customStyle="1" w:styleId="1">
    <w:name w:val="Основний текст1"/>
    <w:basedOn w:val="a"/>
    <w:link w:val="aa"/>
    <w:rsid w:val="00020B4A"/>
    <w:pPr>
      <w:shd w:val="clear" w:color="auto" w:fill="FFFFFF"/>
      <w:spacing w:after="300" w:line="322" w:lineRule="exact"/>
      <w:jc w:val="both"/>
    </w:pPr>
    <w:rPr>
      <w:rFonts w:ascii="Times New Roman" w:eastAsia="Times New Roman" w:hAnsi="Times New Roman" w:cs="Times New Roman"/>
      <w:sz w:val="27"/>
      <w:szCs w:val="27"/>
    </w:rPr>
  </w:style>
  <w:style w:type="paragraph" w:customStyle="1" w:styleId="ab">
    <w:name w:val="Стиль Знак"/>
    <w:link w:val="ac"/>
    <w:uiPriority w:val="99"/>
    <w:rsid w:val="00B6271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ac">
    <w:name w:val="Стиль Знак Знак"/>
    <w:link w:val="ab"/>
    <w:uiPriority w:val="99"/>
    <w:locked/>
    <w:rsid w:val="00B62717"/>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B62717"/>
    <w:pPr>
      <w:spacing w:after="0" w:line="240" w:lineRule="auto"/>
    </w:pPr>
    <w:rPr>
      <w:rFonts w:ascii="Tahoma" w:hAnsi="Tahoma" w:cs="Tahoma"/>
      <w:sz w:val="16"/>
      <w:szCs w:val="16"/>
    </w:rPr>
  </w:style>
  <w:style w:type="character" w:customStyle="1" w:styleId="ae">
    <w:name w:val="Текст у виносці Знак"/>
    <w:basedOn w:val="a0"/>
    <w:link w:val="ad"/>
    <w:uiPriority w:val="99"/>
    <w:semiHidden/>
    <w:rsid w:val="00B62717"/>
    <w:rPr>
      <w:rFonts w:ascii="Tahoma" w:hAnsi="Tahoma" w:cs="Tahoma"/>
      <w:sz w:val="16"/>
      <w:szCs w:val="16"/>
    </w:rPr>
  </w:style>
  <w:style w:type="character" w:styleId="af">
    <w:name w:val="Hyperlink"/>
    <w:basedOn w:val="a0"/>
    <w:unhideWhenUsed/>
    <w:rsid w:val="00FD5775"/>
    <w:rPr>
      <w:color w:val="0000FF" w:themeColor="hyperlink"/>
      <w:u w:val="single"/>
    </w:rPr>
  </w:style>
  <w:style w:type="character" w:styleId="af0">
    <w:name w:val="Emphasis"/>
    <w:basedOn w:val="a0"/>
    <w:uiPriority w:val="20"/>
    <w:qFormat/>
    <w:rsid w:val="007124E1"/>
    <w:rPr>
      <w:i/>
      <w:iCs/>
    </w:rPr>
  </w:style>
  <w:style w:type="paragraph" w:customStyle="1" w:styleId="FR3">
    <w:name w:val="FR3"/>
    <w:rsid w:val="007F0C09"/>
    <w:pPr>
      <w:widowControl w:val="0"/>
      <w:autoSpaceDE w:val="0"/>
      <w:autoSpaceDN w:val="0"/>
      <w:adjustRightInd w:val="0"/>
      <w:spacing w:before="140" w:after="0" w:line="240" w:lineRule="auto"/>
      <w:jc w:val="both"/>
    </w:pPr>
    <w:rPr>
      <w:rFonts w:ascii="Arial" w:eastAsia="Times New Roman" w:hAnsi="Arial" w:cs="Times New Roman"/>
      <w:sz w:val="24"/>
      <w:szCs w:val="20"/>
      <w:lang w:val="ru-RU" w:eastAsia="ru-RU"/>
    </w:rPr>
  </w:style>
  <w:style w:type="paragraph" w:styleId="21">
    <w:name w:val="Body Text 2"/>
    <w:basedOn w:val="a"/>
    <w:link w:val="22"/>
    <w:uiPriority w:val="99"/>
    <w:unhideWhenUsed/>
    <w:rsid w:val="007F0C09"/>
    <w:pPr>
      <w:spacing w:after="120" w:line="480" w:lineRule="auto"/>
    </w:pPr>
    <w:rPr>
      <w:rFonts w:ascii="Calibri" w:eastAsia="Calibri" w:hAnsi="Calibri" w:cs="Times New Roman"/>
      <w:lang w:val="ru-RU"/>
    </w:rPr>
  </w:style>
  <w:style w:type="character" w:customStyle="1" w:styleId="22">
    <w:name w:val="Основний текст 2 Знак"/>
    <w:basedOn w:val="a0"/>
    <w:link w:val="21"/>
    <w:uiPriority w:val="99"/>
    <w:rsid w:val="007F0C09"/>
    <w:rPr>
      <w:rFonts w:ascii="Calibri" w:eastAsia="Calibri" w:hAnsi="Calibri" w:cs="Times New Roman"/>
      <w:lang w:val="ru-RU"/>
    </w:rPr>
  </w:style>
  <w:style w:type="character" w:customStyle="1" w:styleId="23">
    <w:name w:val="Основний текст (2)_"/>
    <w:basedOn w:val="a0"/>
    <w:rsid w:val="00940F03"/>
    <w:rPr>
      <w:rFonts w:ascii="Arial" w:eastAsia="Arial" w:hAnsi="Arial" w:cs="Arial"/>
      <w:b w:val="0"/>
      <w:bCs w:val="0"/>
      <w:i w:val="0"/>
      <w:iCs w:val="0"/>
      <w:smallCaps w:val="0"/>
      <w:strike w:val="0"/>
      <w:spacing w:val="0"/>
      <w:sz w:val="18"/>
      <w:szCs w:val="18"/>
      <w:lang w:val="en-US"/>
    </w:rPr>
  </w:style>
  <w:style w:type="character" w:customStyle="1" w:styleId="24">
    <w:name w:val="Основний текст (2)"/>
    <w:basedOn w:val="23"/>
    <w:rsid w:val="00940F03"/>
    <w:rPr>
      <w:rFonts w:ascii="Arial" w:eastAsia="Arial" w:hAnsi="Arial" w:cs="Arial"/>
      <w:b w:val="0"/>
      <w:bCs w:val="0"/>
      <w:i w:val="0"/>
      <w:iCs w:val="0"/>
      <w:smallCaps w:val="0"/>
      <w:strike w:val="0"/>
      <w:spacing w:val="0"/>
      <w:sz w:val="18"/>
      <w:szCs w:val="18"/>
      <w:lang w:val="en-US"/>
    </w:rPr>
  </w:style>
  <w:style w:type="character" w:customStyle="1" w:styleId="25">
    <w:name w:val="Основний текст (2) + Курсив"/>
    <w:basedOn w:val="23"/>
    <w:rsid w:val="00940F03"/>
    <w:rPr>
      <w:rFonts w:ascii="Arial" w:eastAsia="Arial" w:hAnsi="Arial" w:cs="Arial"/>
      <w:b w:val="0"/>
      <w:bCs w:val="0"/>
      <w:i/>
      <w:iCs/>
      <w:smallCaps w:val="0"/>
      <w:strike w:val="0"/>
      <w:spacing w:val="0"/>
      <w:sz w:val="18"/>
      <w:szCs w:val="18"/>
      <w:lang w:val="uk"/>
    </w:rPr>
  </w:style>
  <w:style w:type="character" w:customStyle="1" w:styleId="26">
    <w:name w:val="Заголовок №2_"/>
    <w:basedOn w:val="a0"/>
    <w:rsid w:val="006736F7"/>
    <w:rPr>
      <w:rFonts w:ascii="Arial" w:eastAsia="Arial" w:hAnsi="Arial" w:cs="Arial"/>
      <w:b w:val="0"/>
      <w:bCs w:val="0"/>
      <w:i w:val="0"/>
      <w:iCs w:val="0"/>
      <w:smallCaps w:val="0"/>
      <w:strike w:val="0"/>
      <w:spacing w:val="0"/>
      <w:sz w:val="32"/>
      <w:szCs w:val="32"/>
      <w:lang w:val="en-US"/>
    </w:rPr>
  </w:style>
  <w:style w:type="character" w:customStyle="1" w:styleId="27">
    <w:name w:val="Заголовок №2"/>
    <w:basedOn w:val="26"/>
    <w:rsid w:val="006736F7"/>
    <w:rPr>
      <w:rFonts w:ascii="Arial" w:eastAsia="Arial" w:hAnsi="Arial" w:cs="Arial"/>
      <w:b w:val="0"/>
      <w:bCs w:val="0"/>
      <w:i w:val="0"/>
      <w:iCs w:val="0"/>
      <w:smallCaps w:val="0"/>
      <w:strike w:val="0"/>
      <w:spacing w:val="0"/>
      <w:sz w:val="32"/>
      <w:szCs w:val="32"/>
      <w:lang w:val="en-US"/>
    </w:rPr>
  </w:style>
  <w:style w:type="character" w:customStyle="1" w:styleId="Arial105pt">
    <w:name w:val="Колонтитул + Arial;10;5 pt"/>
    <w:basedOn w:val="a0"/>
    <w:rsid w:val="006736F7"/>
    <w:rPr>
      <w:rFonts w:ascii="Arial" w:eastAsia="Arial" w:hAnsi="Arial" w:cs="Arial"/>
      <w:b w:val="0"/>
      <w:bCs w:val="0"/>
      <w:i w:val="0"/>
      <w:iCs w:val="0"/>
      <w:smallCaps w:val="0"/>
      <w:strike w:val="0"/>
      <w:spacing w:val="0"/>
      <w:sz w:val="21"/>
      <w:szCs w:val="21"/>
    </w:rPr>
  </w:style>
  <w:style w:type="character" w:customStyle="1" w:styleId="28">
    <w:name w:val="Основний текст з відступом 2 Знак"/>
    <w:basedOn w:val="a0"/>
    <w:link w:val="29"/>
    <w:uiPriority w:val="99"/>
    <w:semiHidden/>
    <w:rsid w:val="0028541E"/>
    <w:rPr>
      <w:rFonts w:ascii="Calibri" w:eastAsia="Calibri" w:hAnsi="Calibri" w:cs="Times New Roman"/>
      <w:lang w:val="ru-RU"/>
    </w:rPr>
  </w:style>
  <w:style w:type="paragraph" w:styleId="29">
    <w:name w:val="Body Text Indent 2"/>
    <w:basedOn w:val="a"/>
    <w:link w:val="28"/>
    <w:uiPriority w:val="99"/>
    <w:semiHidden/>
    <w:unhideWhenUsed/>
    <w:rsid w:val="0028541E"/>
    <w:pPr>
      <w:spacing w:after="120" w:line="480" w:lineRule="auto"/>
      <w:ind w:left="283"/>
    </w:pPr>
    <w:rPr>
      <w:rFonts w:ascii="Calibri" w:eastAsia="Calibri" w:hAnsi="Calibri" w:cs="Times New Roman"/>
      <w:lang w:val="ru-RU"/>
    </w:rPr>
  </w:style>
  <w:style w:type="character" w:customStyle="1" w:styleId="af1">
    <w:name w:val="Цитата Знак"/>
    <w:basedOn w:val="a0"/>
    <w:link w:val="af2"/>
    <w:uiPriority w:val="99"/>
    <w:rsid w:val="0028541E"/>
    <w:rPr>
      <w:rFonts w:ascii="Times New Roman" w:eastAsia="Times New Roman" w:hAnsi="Times New Roman" w:cs="Times New Roman"/>
      <w:sz w:val="24"/>
      <w:szCs w:val="20"/>
      <w:lang w:eastAsia="ru-RU"/>
    </w:rPr>
  </w:style>
  <w:style w:type="paragraph" w:styleId="af2">
    <w:name w:val="Quote"/>
    <w:basedOn w:val="a"/>
    <w:next w:val="af3"/>
    <w:link w:val="af1"/>
    <w:uiPriority w:val="99"/>
    <w:qFormat/>
    <w:rsid w:val="0028541E"/>
    <w:pPr>
      <w:spacing w:after="0" w:line="240" w:lineRule="auto"/>
      <w:ind w:left="113" w:right="113"/>
    </w:pPr>
    <w:rPr>
      <w:rFonts w:ascii="Times New Roman" w:eastAsia="Times New Roman" w:hAnsi="Times New Roman" w:cs="Times New Roman"/>
      <w:sz w:val="24"/>
      <w:szCs w:val="20"/>
      <w:lang w:eastAsia="ru-RU"/>
    </w:rPr>
  </w:style>
  <w:style w:type="paragraph" w:styleId="af3">
    <w:name w:val="Block Text"/>
    <w:basedOn w:val="a"/>
    <w:uiPriority w:val="99"/>
    <w:semiHidden/>
    <w:unhideWhenUsed/>
    <w:rsid w:val="0028541E"/>
    <w:pPr>
      <w:spacing w:after="0" w:line="240" w:lineRule="auto"/>
      <w:ind w:left="113" w:right="113"/>
    </w:pPr>
    <w:rPr>
      <w:rFonts w:ascii="Times New Roman" w:eastAsia="Times New Roman" w:hAnsi="Times New Roman" w:cs="Times New Roman"/>
      <w:sz w:val="24"/>
      <w:szCs w:val="20"/>
      <w:lang w:eastAsia="ru-RU"/>
    </w:rPr>
  </w:style>
  <w:style w:type="paragraph" w:styleId="af4">
    <w:name w:val="Normal (Web)"/>
    <w:basedOn w:val="a"/>
    <w:uiPriority w:val="99"/>
    <w:unhideWhenUsed/>
    <w:rsid w:val="00D3047A"/>
    <w:pPr>
      <w:spacing w:before="100" w:beforeAutospacing="1" w:after="100" w:afterAutospacing="1" w:line="240" w:lineRule="auto"/>
    </w:pPr>
    <w:rPr>
      <w:rFonts w:ascii="Times New Roman" w:eastAsia="Times New Roman" w:hAnsi="Times New Roman" w:cs="Times New Roman"/>
      <w:sz w:val="24"/>
      <w:szCs w:val="24"/>
      <w:lang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929">
      <w:bodyDiv w:val="1"/>
      <w:marLeft w:val="0"/>
      <w:marRight w:val="0"/>
      <w:marTop w:val="0"/>
      <w:marBottom w:val="0"/>
      <w:divBdr>
        <w:top w:val="none" w:sz="0" w:space="0" w:color="auto"/>
        <w:left w:val="none" w:sz="0" w:space="0" w:color="auto"/>
        <w:bottom w:val="none" w:sz="0" w:space="0" w:color="auto"/>
        <w:right w:val="none" w:sz="0" w:space="0" w:color="auto"/>
      </w:divBdr>
    </w:div>
    <w:div w:id="25714309">
      <w:bodyDiv w:val="1"/>
      <w:marLeft w:val="0"/>
      <w:marRight w:val="0"/>
      <w:marTop w:val="0"/>
      <w:marBottom w:val="0"/>
      <w:divBdr>
        <w:top w:val="none" w:sz="0" w:space="0" w:color="auto"/>
        <w:left w:val="none" w:sz="0" w:space="0" w:color="auto"/>
        <w:bottom w:val="none" w:sz="0" w:space="0" w:color="auto"/>
        <w:right w:val="none" w:sz="0" w:space="0" w:color="auto"/>
      </w:divBdr>
    </w:div>
    <w:div w:id="47068465">
      <w:bodyDiv w:val="1"/>
      <w:marLeft w:val="0"/>
      <w:marRight w:val="0"/>
      <w:marTop w:val="0"/>
      <w:marBottom w:val="0"/>
      <w:divBdr>
        <w:top w:val="none" w:sz="0" w:space="0" w:color="auto"/>
        <w:left w:val="none" w:sz="0" w:space="0" w:color="auto"/>
        <w:bottom w:val="none" w:sz="0" w:space="0" w:color="auto"/>
        <w:right w:val="none" w:sz="0" w:space="0" w:color="auto"/>
      </w:divBdr>
    </w:div>
    <w:div w:id="136189647">
      <w:bodyDiv w:val="1"/>
      <w:marLeft w:val="0"/>
      <w:marRight w:val="0"/>
      <w:marTop w:val="0"/>
      <w:marBottom w:val="0"/>
      <w:divBdr>
        <w:top w:val="none" w:sz="0" w:space="0" w:color="auto"/>
        <w:left w:val="none" w:sz="0" w:space="0" w:color="auto"/>
        <w:bottom w:val="none" w:sz="0" w:space="0" w:color="auto"/>
        <w:right w:val="none" w:sz="0" w:space="0" w:color="auto"/>
      </w:divBdr>
    </w:div>
    <w:div w:id="171990438">
      <w:bodyDiv w:val="1"/>
      <w:marLeft w:val="0"/>
      <w:marRight w:val="0"/>
      <w:marTop w:val="0"/>
      <w:marBottom w:val="0"/>
      <w:divBdr>
        <w:top w:val="none" w:sz="0" w:space="0" w:color="auto"/>
        <w:left w:val="none" w:sz="0" w:space="0" w:color="auto"/>
        <w:bottom w:val="none" w:sz="0" w:space="0" w:color="auto"/>
        <w:right w:val="none" w:sz="0" w:space="0" w:color="auto"/>
      </w:divBdr>
      <w:divsChild>
        <w:div w:id="2068842441">
          <w:marLeft w:val="0"/>
          <w:marRight w:val="0"/>
          <w:marTop w:val="0"/>
          <w:marBottom w:val="0"/>
          <w:divBdr>
            <w:top w:val="none" w:sz="0" w:space="0" w:color="auto"/>
            <w:left w:val="none" w:sz="0" w:space="0" w:color="auto"/>
            <w:bottom w:val="none" w:sz="0" w:space="0" w:color="auto"/>
            <w:right w:val="none" w:sz="0" w:space="0" w:color="auto"/>
          </w:divBdr>
        </w:div>
        <w:div w:id="646084807">
          <w:marLeft w:val="0"/>
          <w:marRight w:val="0"/>
          <w:marTop w:val="0"/>
          <w:marBottom w:val="0"/>
          <w:divBdr>
            <w:top w:val="none" w:sz="0" w:space="0" w:color="auto"/>
            <w:left w:val="none" w:sz="0" w:space="0" w:color="auto"/>
            <w:bottom w:val="none" w:sz="0" w:space="0" w:color="auto"/>
            <w:right w:val="none" w:sz="0" w:space="0" w:color="auto"/>
          </w:divBdr>
        </w:div>
      </w:divsChild>
    </w:div>
    <w:div w:id="174274925">
      <w:bodyDiv w:val="1"/>
      <w:marLeft w:val="0"/>
      <w:marRight w:val="0"/>
      <w:marTop w:val="0"/>
      <w:marBottom w:val="0"/>
      <w:divBdr>
        <w:top w:val="none" w:sz="0" w:space="0" w:color="auto"/>
        <w:left w:val="none" w:sz="0" w:space="0" w:color="auto"/>
        <w:bottom w:val="none" w:sz="0" w:space="0" w:color="auto"/>
        <w:right w:val="none" w:sz="0" w:space="0" w:color="auto"/>
      </w:divBdr>
    </w:div>
    <w:div w:id="184827256">
      <w:bodyDiv w:val="1"/>
      <w:marLeft w:val="0"/>
      <w:marRight w:val="0"/>
      <w:marTop w:val="0"/>
      <w:marBottom w:val="0"/>
      <w:divBdr>
        <w:top w:val="none" w:sz="0" w:space="0" w:color="auto"/>
        <w:left w:val="none" w:sz="0" w:space="0" w:color="auto"/>
        <w:bottom w:val="none" w:sz="0" w:space="0" w:color="auto"/>
        <w:right w:val="none" w:sz="0" w:space="0" w:color="auto"/>
      </w:divBdr>
    </w:div>
    <w:div w:id="194662957">
      <w:bodyDiv w:val="1"/>
      <w:marLeft w:val="0"/>
      <w:marRight w:val="0"/>
      <w:marTop w:val="0"/>
      <w:marBottom w:val="0"/>
      <w:divBdr>
        <w:top w:val="none" w:sz="0" w:space="0" w:color="auto"/>
        <w:left w:val="none" w:sz="0" w:space="0" w:color="auto"/>
        <w:bottom w:val="none" w:sz="0" w:space="0" w:color="auto"/>
        <w:right w:val="none" w:sz="0" w:space="0" w:color="auto"/>
      </w:divBdr>
    </w:div>
    <w:div w:id="211355105">
      <w:bodyDiv w:val="1"/>
      <w:marLeft w:val="0"/>
      <w:marRight w:val="0"/>
      <w:marTop w:val="0"/>
      <w:marBottom w:val="0"/>
      <w:divBdr>
        <w:top w:val="none" w:sz="0" w:space="0" w:color="auto"/>
        <w:left w:val="none" w:sz="0" w:space="0" w:color="auto"/>
        <w:bottom w:val="none" w:sz="0" w:space="0" w:color="auto"/>
        <w:right w:val="none" w:sz="0" w:space="0" w:color="auto"/>
      </w:divBdr>
    </w:div>
    <w:div w:id="276832487">
      <w:bodyDiv w:val="1"/>
      <w:marLeft w:val="0"/>
      <w:marRight w:val="0"/>
      <w:marTop w:val="0"/>
      <w:marBottom w:val="0"/>
      <w:divBdr>
        <w:top w:val="none" w:sz="0" w:space="0" w:color="auto"/>
        <w:left w:val="none" w:sz="0" w:space="0" w:color="auto"/>
        <w:bottom w:val="none" w:sz="0" w:space="0" w:color="auto"/>
        <w:right w:val="none" w:sz="0" w:space="0" w:color="auto"/>
      </w:divBdr>
    </w:div>
    <w:div w:id="286742737">
      <w:bodyDiv w:val="1"/>
      <w:marLeft w:val="0"/>
      <w:marRight w:val="0"/>
      <w:marTop w:val="0"/>
      <w:marBottom w:val="0"/>
      <w:divBdr>
        <w:top w:val="none" w:sz="0" w:space="0" w:color="auto"/>
        <w:left w:val="none" w:sz="0" w:space="0" w:color="auto"/>
        <w:bottom w:val="none" w:sz="0" w:space="0" w:color="auto"/>
        <w:right w:val="none" w:sz="0" w:space="0" w:color="auto"/>
      </w:divBdr>
    </w:div>
    <w:div w:id="301932672">
      <w:bodyDiv w:val="1"/>
      <w:marLeft w:val="0"/>
      <w:marRight w:val="0"/>
      <w:marTop w:val="0"/>
      <w:marBottom w:val="0"/>
      <w:divBdr>
        <w:top w:val="none" w:sz="0" w:space="0" w:color="auto"/>
        <w:left w:val="none" w:sz="0" w:space="0" w:color="auto"/>
        <w:bottom w:val="none" w:sz="0" w:space="0" w:color="auto"/>
        <w:right w:val="none" w:sz="0" w:space="0" w:color="auto"/>
      </w:divBdr>
    </w:div>
    <w:div w:id="345637624">
      <w:bodyDiv w:val="1"/>
      <w:marLeft w:val="0"/>
      <w:marRight w:val="0"/>
      <w:marTop w:val="0"/>
      <w:marBottom w:val="0"/>
      <w:divBdr>
        <w:top w:val="none" w:sz="0" w:space="0" w:color="auto"/>
        <w:left w:val="none" w:sz="0" w:space="0" w:color="auto"/>
        <w:bottom w:val="none" w:sz="0" w:space="0" w:color="auto"/>
        <w:right w:val="none" w:sz="0" w:space="0" w:color="auto"/>
      </w:divBdr>
    </w:div>
    <w:div w:id="358745740">
      <w:bodyDiv w:val="1"/>
      <w:marLeft w:val="0"/>
      <w:marRight w:val="0"/>
      <w:marTop w:val="0"/>
      <w:marBottom w:val="0"/>
      <w:divBdr>
        <w:top w:val="none" w:sz="0" w:space="0" w:color="auto"/>
        <w:left w:val="none" w:sz="0" w:space="0" w:color="auto"/>
        <w:bottom w:val="none" w:sz="0" w:space="0" w:color="auto"/>
        <w:right w:val="none" w:sz="0" w:space="0" w:color="auto"/>
      </w:divBdr>
      <w:divsChild>
        <w:div w:id="762338376">
          <w:marLeft w:val="0"/>
          <w:marRight w:val="0"/>
          <w:marTop w:val="0"/>
          <w:marBottom w:val="0"/>
          <w:divBdr>
            <w:top w:val="none" w:sz="0" w:space="0" w:color="auto"/>
            <w:left w:val="none" w:sz="0" w:space="0" w:color="auto"/>
            <w:bottom w:val="none" w:sz="0" w:space="0" w:color="auto"/>
            <w:right w:val="none" w:sz="0" w:space="0" w:color="auto"/>
          </w:divBdr>
        </w:div>
        <w:div w:id="1335381939">
          <w:marLeft w:val="0"/>
          <w:marRight w:val="0"/>
          <w:marTop w:val="0"/>
          <w:marBottom w:val="0"/>
          <w:divBdr>
            <w:top w:val="none" w:sz="0" w:space="0" w:color="auto"/>
            <w:left w:val="none" w:sz="0" w:space="0" w:color="auto"/>
            <w:bottom w:val="none" w:sz="0" w:space="0" w:color="auto"/>
            <w:right w:val="none" w:sz="0" w:space="0" w:color="auto"/>
          </w:divBdr>
        </w:div>
      </w:divsChild>
    </w:div>
    <w:div w:id="371541808">
      <w:bodyDiv w:val="1"/>
      <w:marLeft w:val="0"/>
      <w:marRight w:val="0"/>
      <w:marTop w:val="0"/>
      <w:marBottom w:val="0"/>
      <w:divBdr>
        <w:top w:val="none" w:sz="0" w:space="0" w:color="auto"/>
        <w:left w:val="none" w:sz="0" w:space="0" w:color="auto"/>
        <w:bottom w:val="none" w:sz="0" w:space="0" w:color="auto"/>
        <w:right w:val="none" w:sz="0" w:space="0" w:color="auto"/>
      </w:divBdr>
    </w:div>
    <w:div w:id="396247579">
      <w:bodyDiv w:val="1"/>
      <w:marLeft w:val="0"/>
      <w:marRight w:val="0"/>
      <w:marTop w:val="0"/>
      <w:marBottom w:val="0"/>
      <w:divBdr>
        <w:top w:val="none" w:sz="0" w:space="0" w:color="auto"/>
        <w:left w:val="none" w:sz="0" w:space="0" w:color="auto"/>
        <w:bottom w:val="none" w:sz="0" w:space="0" w:color="auto"/>
        <w:right w:val="none" w:sz="0" w:space="0" w:color="auto"/>
      </w:divBdr>
    </w:div>
    <w:div w:id="441649556">
      <w:bodyDiv w:val="1"/>
      <w:marLeft w:val="0"/>
      <w:marRight w:val="0"/>
      <w:marTop w:val="0"/>
      <w:marBottom w:val="0"/>
      <w:divBdr>
        <w:top w:val="none" w:sz="0" w:space="0" w:color="auto"/>
        <w:left w:val="none" w:sz="0" w:space="0" w:color="auto"/>
        <w:bottom w:val="none" w:sz="0" w:space="0" w:color="auto"/>
        <w:right w:val="none" w:sz="0" w:space="0" w:color="auto"/>
      </w:divBdr>
    </w:div>
    <w:div w:id="460419553">
      <w:bodyDiv w:val="1"/>
      <w:marLeft w:val="0"/>
      <w:marRight w:val="0"/>
      <w:marTop w:val="0"/>
      <w:marBottom w:val="0"/>
      <w:divBdr>
        <w:top w:val="none" w:sz="0" w:space="0" w:color="auto"/>
        <w:left w:val="none" w:sz="0" w:space="0" w:color="auto"/>
        <w:bottom w:val="none" w:sz="0" w:space="0" w:color="auto"/>
        <w:right w:val="none" w:sz="0" w:space="0" w:color="auto"/>
      </w:divBdr>
    </w:div>
    <w:div w:id="500659900">
      <w:bodyDiv w:val="1"/>
      <w:marLeft w:val="0"/>
      <w:marRight w:val="0"/>
      <w:marTop w:val="0"/>
      <w:marBottom w:val="0"/>
      <w:divBdr>
        <w:top w:val="none" w:sz="0" w:space="0" w:color="auto"/>
        <w:left w:val="none" w:sz="0" w:space="0" w:color="auto"/>
        <w:bottom w:val="none" w:sz="0" w:space="0" w:color="auto"/>
        <w:right w:val="none" w:sz="0" w:space="0" w:color="auto"/>
      </w:divBdr>
    </w:div>
    <w:div w:id="524636442">
      <w:bodyDiv w:val="1"/>
      <w:marLeft w:val="0"/>
      <w:marRight w:val="0"/>
      <w:marTop w:val="0"/>
      <w:marBottom w:val="0"/>
      <w:divBdr>
        <w:top w:val="none" w:sz="0" w:space="0" w:color="auto"/>
        <w:left w:val="none" w:sz="0" w:space="0" w:color="auto"/>
        <w:bottom w:val="none" w:sz="0" w:space="0" w:color="auto"/>
        <w:right w:val="none" w:sz="0" w:space="0" w:color="auto"/>
      </w:divBdr>
      <w:divsChild>
        <w:div w:id="1034039066">
          <w:marLeft w:val="0"/>
          <w:marRight w:val="0"/>
          <w:marTop w:val="0"/>
          <w:marBottom w:val="0"/>
          <w:divBdr>
            <w:top w:val="none" w:sz="0" w:space="0" w:color="auto"/>
            <w:left w:val="none" w:sz="0" w:space="0" w:color="auto"/>
            <w:bottom w:val="none" w:sz="0" w:space="0" w:color="auto"/>
            <w:right w:val="none" w:sz="0" w:space="0" w:color="auto"/>
          </w:divBdr>
        </w:div>
        <w:div w:id="2144882504">
          <w:marLeft w:val="0"/>
          <w:marRight w:val="0"/>
          <w:marTop w:val="0"/>
          <w:marBottom w:val="0"/>
          <w:divBdr>
            <w:top w:val="none" w:sz="0" w:space="0" w:color="auto"/>
            <w:left w:val="none" w:sz="0" w:space="0" w:color="auto"/>
            <w:bottom w:val="none" w:sz="0" w:space="0" w:color="auto"/>
            <w:right w:val="none" w:sz="0" w:space="0" w:color="auto"/>
          </w:divBdr>
        </w:div>
        <w:div w:id="767428686">
          <w:marLeft w:val="0"/>
          <w:marRight w:val="0"/>
          <w:marTop w:val="0"/>
          <w:marBottom w:val="0"/>
          <w:divBdr>
            <w:top w:val="none" w:sz="0" w:space="0" w:color="auto"/>
            <w:left w:val="none" w:sz="0" w:space="0" w:color="auto"/>
            <w:bottom w:val="none" w:sz="0" w:space="0" w:color="auto"/>
            <w:right w:val="none" w:sz="0" w:space="0" w:color="auto"/>
          </w:divBdr>
        </w:div>
      </w:divsChild>
    </w:div>
    <w:div w:id="570427422">
      <w:bodyDiv w:val="1"/>
      <w:marLeft w:val="0"/>
      <w:marRight w:val="0"/>
      <w:marTop w:val="0"/>
      <w:marBottom w:val="0"/>
      <w:divBdr>
        <w:top w:val="none" w:sz="0" w:space="0" w:color="auto"/>
        <w:left w:val="none" w:sz="0" w:space="0" w:color="auto"/>
        <w:bottom w:val="none" w:sz="0" w:space="0" w:color="auto"/>
        <w:right w:val="none" w:sz="0" w:space="0" w:color="auto"/>
      </w:divBdr>
    </w:div>
    <w:div w:id="617105026">
      <w:bodyDiv w:val="1"/>
      <w:marLeft w:val="0"/>
      <w:marRight w:val="0"/>
      <w:marTop w:val="0"/>
      <w:marBottom w:val="0"/>
      <w:divBdr>
        <w:top w:val="none" w:sz="0" w:space="0" w:color="auto"/>
        <w:left w:val="none" w:sz="0" w:space="0" w:color="auto"/>
        <w:bottom w:val="none" w:sz="0" w:space="0" w:color="auto"/>
        <w:right w:val="none" w:sz="0" w:space="0" w:color="auto"/>
      </w:divBdr>
    </w:div>
    <w:div w:id="634720483">
      <w:bodyDiv w:val="1"/>
      <w:marLeft w:val="0"/>
      <w:marRight w:val="0"/>
      <w:marTop w:val="0"/>
      <w:marBottom w:val="0"/>
      <w:divBdr>
        <w:top w:val="none" w:sz="0" w:space="0" w:color="auto"/>
        <w:left w:val="none" w:sz="0" w:space="0" w:color="auto"/>
        <w:bottom w:val="none" w:sz="0" w:space="0" w:color="auto"/>
        <w:right w:val="none" w:sz="0" w:space="0" w:color="auto"/>
      </w:divBdr>
    </w:div>
    <w:div w:id="644892239">
      <w:bodyDiv w:val="1"/>
      <w:marLeft w:val="0"/>
      <w:marRight w:val="0"/>
      <w:marTop w:val="0"/>
      <w:marBottom w:val="0"/>
      <w:divBdr>
        <w:top w:val="none" w:sz="0" w:space="0" w:color="auto"/>
        <w:left w:val="none" w:sz="0" w:space="0" w:color="auto"/>
        <w:bottom w:val="none" w:sz="0" w:space="0" w:color="auto"/>
        <w:right w:val="none" w:sz="0" w:space="0" w:color="auto"/>
      </w:divBdr>
    </w:div>
    <w:div w:id="655308485">
      <w:bodyDiv w:val="1"/>
      <w:marLeft w:val="0"/>
      <w:marRight w:val="0"/>
      <w:marTop w:val="0"/>
      <w:marBottom w:val="0"/>
      <w:divBdr>
        <w:top w:val="none" w:sz="0" w:space="0" w:color="auto"/>
        <w:left w:val="none" w:sz="0" w:space="0" w:color="auto"/>
        <w:bottom w:val="none" w:sz="0" w:space="0" w:color="auto"/>
        <w:right w:val="none" w:sz="0" w:space="0" w:color="auto"/>
      </w:divBdr>
    </w:div>
    <w:div w:id="659967342">
      <w:bodyDiv w:val="1"/>
      <w:marLeft w:val="0"/>
      <w:marRight w:val="0"/>
      <w:marTop w:val="0"/>
      <w:marBottom w:val="0"/>
      <w:divBdr>
        <w:top w:val="none" w:sz="0" w:space="0" w:color="auto"/>
        <w:left w:val="none" w:sz="0" w:space="0" w:color="auto"/>
        <w:bottom w:val="none" w:sz="0" w:space="0" w:color="auto"/>
        <w:right w:val="none" w:sz="0" w:space="0" w:color="auto"/>
      </w:divBdr>
    </w:div>
    <w:div w:id="681858164">
      <w:bodyDiv w:val="1"/>
      <w:marLeft w:val="0"/>
      <w:marRight w:val="0"/>
      <w:marTop w:val="0"/>
      <w:marBottom w:val="0"/>
      <w:divBdr>
        <w:top w:val="none" w:sz="0" w:space="0" w:color="auto"/>
        <w:left w:val="none" w:sz="0" w:space="0" w:color="auto"/>
        <w:bottom w:val="none" w:sz="0" w:space="0" w:color="auto"/>
        <w:right w:val="none" w:sz="0" w:space="0" w:color="auto"/>
      </w:divBdr>
    </w:div>
    <w:div w:id="682904771">
      <w:bodyDiv w:val="1"/>
      <w:marLeft w:val="0"/>
      <w:marRight w:val="0"/>
      <w:marTop w:val="0"/>
      <w:marBottom w:val="0"/>
      <w:divBdr>
        <w:top w:val="none" w:sz="0" w:space="0" w:color="auto"/>
        <w:left w:val="none" w:sz="0" w:space="0" w:color="auto"/>
        <w:bottom w:val="none" w:sz="0" w:space="0" w:color="auto"/>
        <w:right w:val="none" w:sz="0" w:space="0" w:color="auto"/>
      </w:divBdr>
      <w:divsChild>
        <w:div w:id="820273914">
          <w:marLeft w:val="0"/>
          <w:marRight w:val="0"/>
          <w:marTop w:val="15"/>
          <w:marBottom w:val="0"/>
          <w:divBdr>
            <w:top w:val="single" w:sz="48" w:space="0" w:color="auto"/>
            <w:left w:val="single" w:sz="48" w:space="0" w:color="auto"/>
            <w:bottom w:val="single" w:sz="48" w:space="0" w:color="auto"/>
            <w:right w:val="single" w:sz="48" w:space="0" w:color="auto"/>
          </w:divBdr>
          <w:divsChild>
            <w:div w:id="1570917699">
              <w:marLeft w:val="0"/>
              <w:marRight w:val="0"/>
              <w:marTop w:val="0"/>
              <w:marBottom w:val="0"/>
              <w:divBdr>
                <w:top w:val="none" w:sz="0" w:space="0" w:color="auto"/>
                <w:left w:val="none" w:sz="0" w:space="0" w:color="auto"/>
                <w:bottom w:val="none" w:sz="0" w:space="0" w:color="auto"/>
                <w:right w:val="none" w:sz="0" w:space="0" w:color="auto"/>
              </w:divBdr>
              <w:divsChild>
                <w:div w:id="1662654314">
                  <w:marLeft w:val="0"/>
                  <w:marRight w:val="0"/>
                  <w:marTop w:val="0"/>
                  <w:marBottom w:val="0"/>
                  <w:divBdr>
                    <w:top w:val="none" w:sz="0" w:space="0" w:color="auto"/>
                    <w:left w:val="none" w:sz="0" w:space="0" w:color="auto"/>
                    <w:bottom w:val="none" w:sz="0" w:space="0" w:color="auto"/>
                    <w:right w:val="none" w:sz="0" w:space="0" w:color="auto"/>
                  </w:divBdr>
                </w:div>
                <w:div w:id="1177959356">
                  <w:marLeft w:val="0"/>
                  <w:marRight w:val="0"/>
                  <w:marTop w:val="0"/>
                  <w:marBottom w:val="0"/>
                  <w:divBdr>
                    <w:top w:val="none" w:sz="0" w:space="0" w:color="auto"/>
                    <w:left w:val="none" w:sz="0" w:space="0" w:color="auto"/>
                    <w:bottom w:val="none" w:sz="0" w:space="0" w:color="auto"/>
                    <w:right w:val="none" w:sz="0" w:space="0" w:color="auto"/>
                  </w:divBdr>
                </w:div>
                <w:div w:id="844318792">
                  <w:marLeft w:val="0"/>
                  <w:marRight w:val="0"/>
                  <w:marTop w:val="0"/>
                  <w:marBottom w:val="0"/>
                  <w:divBdr>
                    <w:top w:val="none" w:sz="0" w:space="0" w:color="auto"/>
                    <w:left w:val="none" w:sz="0" w:space="0" w:color="auto"/>
                    <w:bottom w:val="none" w:sz="0" w:space="0" w:color="auto"/>
                    <w:right w:val="none" w:sz="0" w:space="0" w:color="auto"/>
                  </w:divBdr>
                </w:div>
                <w:div w:id="79832481">
                  <w:marLeft w:val="0"/>
                  <w:marRight w:val="0"/>
                  <w:marTop w:val="0"/>
                  <w:marBottom w:val="0"/>
                  <w:divBdr>
                    <w:top w:val="none" w:sz="0" w:space="0" w:color="auto"/>
                    <w:left w:val="none" w:sz="0" w:space="0" w:color="auto"/>
                    <w:bottom w:val="none" w:sz="0" w:space="0" w:color="auto"/>
                    <w:right w:val="none" w:sz="0" w:space="0" w:color="auto"/>
                  </w:divBdr>
                </w:div>
                <w:div w:id="590352751">
                  <w:marLeft w:val="0"/>
                  <w:marRight w:val="0"/>
                  <w:marTop w:val="0"/>
                  <w:marBottom w:val="0"/>
                  <w:divBdr>
                    <w:top w:val="none" w:sz="0" w:space="0" w:color="auto"/>
                    <w:left w:val="none" w:sz="0" w:space="0" w:color="auto"/>
                    <w:bottom w:val="none" w:sz="0" w:space="0" w:color="auto"/>
                    <w:right w:val="none" w:sz="0" w:space="0" w:color="auto"/>
                  </w:divBdr>
                </w:div>
                <w:div w:id="1635451782">
                  <w:marLeft w:val="0"/>
                  <w:marRight w:val="0"/>
                  <w:marTop w:val="0"/>
                  <w:marBottom w:val="0"/>
                  <w:divBdr>
                    <w:top w:val="none" w:sz="0" w:space="0" w:color="auto"/>
                    <w:left w:val="none" w:sz="0" w:space="0" w:color="auto"/>
                    <w:bottom w:val="none" w:sz="0" w:space="0" w:color="auto"/>
                    <w:right w:val="none" w:sz="0" w:space="0" w:color="auto"/>
                  </w:divBdr>
                </w:div>
                <w:div w:id="845094139">
                  <w:marLeft w:val="0"/>
                  <w:marRight w:val="0"/>
                  <w:marTop w:val="0"/>
                  <w:marBottom w:val="0"/>
                  <w:divBdr>
                    <w:top w:val="none" w:sz="0" w:space="0" w:color="auto"/>
                    <w:left w:val="none" w:sz="0" w:space="0" w:color="auto"/>
                    <w:bottom w:val="none" w:sz="0" w:space="0" w:color="auto"/>
                    <w:right w:val="none" w:sz="0" w:space="0" w:color="auto"/>
                  </w:divBdr>
                </w:div>
                <w:div w:id="1370691313">
                  <w:marLeft w:val="0"/>
                  <w:marRight w:val="0"/>
                  <w:marTop w:val="0"/>
                  <w:marBottom w:val="0"/>
                  <w:divBdr>
                    <w:top w:val="none" w:sz="0" w:space="0" w:color="auto"/>
                    <w:left w:val="none" w:sz="0" w:space="0" w:color="auto"/>
                    <w:bottom w:val="none" w:sz="0" w:space="0" w:color="auto"/>
                    <w:right w:val="none" w:sz="0" w:space="0" w:color="auto"/>
                  </w:divBdr>
                </w:div>
                <w:div w:id="766344728">
                  <w:marLeft w:val="0"/>
                  <w:marRight w:val="0"/>
                  <w:marTop w:val="0"/>
                  <w:marBottom w:val="0"/>
                  <w:divBdr>
                    <w:top w:val="none" w:sz="0" w:space="0" w:color="auto"/>
                    <w:left w:val="none" w:sz="0" w:space="0" w:color="auto"/>
                    <w:bottom w:val="none" w:sz="0" w:space="0" w:color="auto"/>
                    <w:right w:val="none" w:sz="0" w:space="0" w:color="auto"/>
                  </w:divBdr>
                </w:div>
                <w:div w:id="505940384">
                  <w:marLeft w:val="0"/>
                  <w:marRight w:val="0"/>
                  <w:marTop w:val="0"/>
                  <w:marBottom w:val="0"/>
                  <w:divBdr>
                    <w:top w:val="none" w:sz="0" w:space="0" w:color="auto"/>
                    <w:left w:val="none" w:sz="0" w:space="0" w:color="auto"/>
                    <w:bottom w:val="none" w:sz="0" w:space="0" w:color="auto"/>
                    <w:right w:val="none" w:sz="0" w:space="0" w:color="auto"/>
                  </w:divBdr>
                </w:div>
                <w:div w:id="1522472151">
                  <w:marLeft w:val="0"/>
                  <w:marRight w:val="0"/>
                  <w:marTop w:val="0"/>
                  <w:marBottom w:val="0"/>
                  <w:divBdr>
                    <w:top w:val="none" w:sz="0" w:space="0" w:color="auto"/>
                    <w:left w:val="none" w:sz="0" w:space="0" w:color="auto"/>
                    <w:bottom w:val="none" w:sz="0" w:space="0" w:color="auto"/>
                    <w:right w:val="none" w:sz="0" w:space="0" w:color="auto"/>
                  </w:divBdr>
                </w:div>
                <w:div w:id="18358163">
                  <w:marLeft w:val="0"/>
                  <w:marRight w:val="0"/>
                  <w:marTop w:val="0"/>
                  <w:marBottom w:val="0"/>
                  <w:divBdr>
                    <w:top w:val="none" w:sz="0" w:space="0" w:color="auto"/>
                    <w:left w:val="none" w:sz="0" w:space="0" w:color="auto"/>
                    <w:bottom w:val="none" w:sz="0" w:space="0" w:color="auto"/>
                    <w:right w:val="none" w:sz="0" w:space="0" w:color="auto"/>
                  </w:divBdr>
                </w:div>
                <w:div w:id="1536887811">
                  <w:marLeft w:val="0"/>
                  <w:marRight w:val="0"/>
                  <w:marTop w:val="0"/>
                  <w:marBottom w:val="0"/>
                  <w:divBdr>
                    <w:top w:val="none" w:sz="0" w:space="0" w:color="auto"/>
                    <w:left w:val="none" w:sz="0" w:space="0" w:color="auto"/>
                    <w:bottom w:val="none" w:sz="0" w:space="0" w:color="auto"/>
                    <w:right w:val="none" w:sz="0" w:space="0" w:color="auto"/>
                  </w:divBdr>
                </w:div>
                <w:div w:id="1287154998">
                  <w:marLeft w:val="0"/>
                  <w:marRight w:val="0"/>
                  <w:marTop w:val="0"/>
                  <w:marBottom w:val="0"/>
                  <w:divBdr>
                    <w:top w:val="none" w:sz="0" w:space="0" w:color="auto"/>
                    <w:left w:val="none" w:sz="0" w:space="0" w:color="auto"/>
                    <w:bottom w:val="none" w:sz="0" w:space="0" w:color="auto"/>
                    <w:right w:val="none" w:sz="0" w:space="0" w:color="auto"/>
                  </w:divBdr>
                </w:div>
                <w:div w:id="1652755165">
                  <w:marLeft w:val="0"/>
                  <w:marRight w:val="0"/>
                  <w:marTop w:val="0"/>
                  <w:marBottom w:val="0"/>
                  <w:divBdr>
                    <w:top w:val="none" w:sz="0" w:space="0" w:color="auto"/>
                    <w:left w:val="none" w:sz="0" w:space="0" w:color="auto"/>
                    <w:bottom w:val="none" w:sz="0" w:space="0" w:color="auto"/>
                    <w:right w:val="none" w:sz="0" w:space="0" w:color="auto"/>
                  </w:divBdr>
                </w:div>
                <w:div w:id="1382828860">
                  <w:marLeft w:val="0"/>
                  <w:marRight w:val="0"/>
                  <w:marTop w:val="0"/>
                  <w:marBottom w:val="0"/>
                  <w:divBdr>
                    <w:top w:val="none" w:sz="0" w:space="0" w:color="auto"/>
                    <w:left w:val="none" w:sz="0" w:space="0" w:color="auto"/>
                    <w:bottom w:val="none" w:sz="0" w:space="0" w:color="auto"/>
                    <w:right w:val="none" w:sz="0" w:space="0" w:color="auto"/>
                  </w:divBdr>
                </w:div>
                <w:div w:id="1304508762">
                  <w:marLeft w:val="0"/>
                  <w:marRight w:val="0"/>
                  <w:marTop w:val="0"/>
                  <w:marBottom w:val="0"/>
                  <w:divBdr>
                    <w:top w:val="none" w:sz="0" w:space="0" w:color="auto"/>
                    <w:left w:val="none" w:sz="0" w:space="0" w:color="auto"/>
                    <w:bottom w:val="none" w:sz="0" w:space="0" w:color="auto"/>
                    <w:right w:val="none" w:sz="0" w:space="0" w:color="auto"/>
                  </w:divBdr>
                </w:div>
                <w:div w:id="1053819653">
                  <w:marLeft w:val="0"/>
                  <w:marRight w:val="0"/>
                  <w:marTop w:val="0"/>
                  <w:marBottom w:val="0"/>
                  <w:divBdr>
                    <w:top w:val="none" w:sz="0" w:space="0" w:color="auto"/>
                    <w:left w:val="none" w:sz="0" w:space="0" w:color="auto"/>
                    <w:bottom w:val="none" w:sz="0" w:space="0" w:color="auto"/>
                    <w:right w:val="none" w:sz="0" w:space="0" w:color="auto"/>
                  </w:divBdr>
                </w:div>
                <w:div w:id="1373263207">
                  <w:marLeft w:val="0"/>
                  <w:marRight w:val="0"/>
                  <w:marTop w:val="0"/>
                  <w:marBottom w:val="0"/>
                  <w:divBdr>
                    <w:top w:val="none" w:sz="0" w:space="0" w:color="auto"/>
                    <w:left w:val="none" w:sz="0" w:space="0" w:color="auto"/>
                    <w:bottom w:val="none" w:sz="0" w:space="0" w:color="auto"/>
                    <w:right w:val="none" w:sz="0" w:space="0" w:color="auto"/>
                  </w:divBdr>
                </w:div>
                <w:div w:id="2098205300">
                  <w:marLeft w:val="0"/>
                  <w:marRight w:val="0"/>
                  <w:marTop w:val="0"/>
                  <w:marBottom w:val="0"/>
                  <w:divBdr>
                    <w:top w:val="none" w:sz="0" w:space="0" w:color="auto"/>
                    <w:left w:val="none" w:sz="0" w:space="0" w:color="auto"/>
                    <w:bottom w:val="none" w:sz="0" w:space="0" w:color="auto"/>
                    <w:right w:val="none" w:sz="0" w:space="0" w:color="auto"/>
                  </w:divBdr>
                </w:div>
                <w:div w:id="1884436803">
                  <w:marLeft w:val="0"/>
                  <w:marRight w:val="0"/>
                  <w:marTop w:val="0"/>
                  <w:marBottom w:val="0"/>
                  <w:divBdr>
                    <w:top w:val="none" w:sz="0" w:space="0" w:color="auto"/>
                    <w:left w:val="none" w:sz="0" w:space="0" w:color="auto"/>
                    <w:bottom w:val="none" w:sz="0" w:space="0" w:color="auto"/>
                    <w:right w:val="none" w:sz="0" w:space="0" w:color="auto"/>
                  </w:divBdr>
                </w:div>
                <w:div w:id="1469323987">
                  <w:marLeft w:val="0"/>
                  <w:marRight w:val="0"/>
                  <w:marTop w:val="0"/>
                  <w:marBottom w:val="0"/>
                  <w:divBdr>
                    <w:top w:val="none" w:sz="0" w:space="0" w:color="auto"/>
                    <w:left w:val="none" w:sz="0" w:space="0" w:color="auto"/>
                    <w:bottom w:val="none" w:sz="0" w:space="0" w:color="auto"/>
                    <w:right w:val="none" w:sz="0" w:space="0" w:color="auto"/>
                  </w:divBdr>
                </w:div>
                <w:div w:id="639654888">
                  <w:marLeft w:val="0"/>
                  <w:marRight w:val="0"/>
                  <w:marTop w:val="0"/>
                  <w:marBottom w:val="0"/>
                  <w:divBdr>
                    <w:top w:val="none" w:sz="0" w:space="0" w:color="auto"/>
                    <w:left w:val="none" w:sz="0" w:space="0" w:color="auto"/>
                    <w:bottom w:val="none" w:sz="0" w:space="0" w:color="auto"/>
                    <w:right w:val="none" w:sz="0" w:space="0" w:color="auto"/>
                  </w:divBdr>
                </w:div>
                <w:div w:id="2056421033">
                  <w:marLeft w:val="0"/>
                  <w:marRight w:val="0"/>
                  <w:marTop w:val="0"/>
                  <w:marBottom w:val="0"/>
                  <w:divBdr>
                    <w:top w:val="none" w:sz="0" w:space="0" w:color="auto"/>
                    <w:left w:val="none" w:sz="0" w:space="0" w:color="auto"/>
                    <w:bottom w:val="none" w:sz="0" w:space="0" w:color="auto"/>
                    <w:right w:val="none" w:sz="0" w:space="0" w:color="auto"/>
                  </w:divBdr>
                </w:div>
                <w:div w:id="1127163229">
                  <w:marLeft w:val="0"/>
                  <w:marRight w:val="0"/>
                  <w:marTop w:val="0"/>
                  <w:marBottom w:val="0"/>
                  <w:divBdr>
                    <w:top w:val="none" w:sz="0" w:space="0" w:color="auto"/>
                    <w:left w:val="none" w:sz="0" w:space="0" w:color="auto"/>
                    <w:bottom w:val="none" w:sz="0" w:space="0" w:color="auto"/>
                    <w:right w:val="none" w:sz="0" w:space="0" w:color="auto"/>
                  </w:divBdr>
                </w:div>
                <w:div w:id="1995522304">
                  <w:marLeft w:val="0"/>
                  <w:marRight w:val="0"/>
                  <w:marTop w:val="0"/>
                  <w:marBottom w:val="0"/>
                  <w:divBdr>
                    <w:top w:val="none" w:sz="0" w:space="0" w:color="auto"/>
                    <w:left w:val="none" w:sz="0" w:space="0" w:color="auto"/>
                    <w:bottom w:val="none" w:sz="0" w:space="0" w:color="auto"/>
                    <w:right w:val="none" w:sz="0" w:space="0" w:color="auto"/>
                  </w:divBdr>
                </w:div>
                <w:div w:id="781070122">
                  <w:marLeft w:val="0"/>
                  <w:marRight w:val="0"/>
                  <w:marTop w:val="0"/>
                  <w:marBottom w:val="0"/>
                  <w:divBdr>
                    <w:top w:val="none" w:sz="0" w:space="0" w:color="auto"/>
                    <w:left w:val="none" w:sz="0" w:space="0" w:color="auto"/>
                    <w:bottom w:val="none" w:sz="0" w:space="0" w:color="auto"/>
                    <w:right w:val="none" w:sz="0" w:space="0" w:color="auto"/>
                  </w:divBdr>
                </w:div>
                <w:div w:id="1709526775">
                  <w:marLeft w:val="0"/>
                  <w:marRight w:val="0"/>
                  <w:marTop w:val="0"/>
                  <w:marBottom w:val="0"/>
                  <w:divBdr>
                    <w:top w:val="none" w:sz="0" w:space="0" w:color="auto"/>
                    <w:left w:val="none" w:sz="0" w:space="0" w:color="auto"/>
                    <w:bottom w:val="none" w:sz="0" w:space="0" w:color="auto"/>
                    <w:right w:val="none" w:sz="0" w:space="0" w:color="auto"/>
                  </w:divBdr>
                </w:div>
                <w:div w:id="19355982">
                  <w:marLeft w:val="0"/>
                  <w:marRight w:val="0"/>
                  <w:marTop w:val="0"/>
                  <w:marBottom w:val="0"/>
                  <w:divBdr>
                    <w:top w:val="none" w:sz="0" w:space="0" w:color="auto"/>
                    <w:left w:val="none" w:sz="0" w:space="0" w:color="auto"/>
                    <w:bottom w:val="none" w:sz="0" w:space="0" w:color="auto"/>
                    <w:right w:val="none" w:sz="0" w:space="0" w:color="auto"/>
                  </w:divBdr>
                </w:div>
                <w:div w:id="850223575">
                  <w:marLeft w:val="0"/>
                  <w:marRight w:val="0"/>
                  <w:marTop w:val="0"/>
                  <w:marBottom w:val="0"/>
                  <w:divBdr>
                    <w:top w:val="none" w:sz="0" w:space="0" w:color="auto"/>
                    <w:left w:val="none" w:sz="0" w:space="0" w:color="auto"/>
                    <w:bottom w:val="none" w:sz="0" w:space="0" w:color="auto"/>
                    <w:right w:val="none" w:sz="0" w:space="0" w:color="auto"/>
                  </w:divBdr>
                </w:div>
                <w:div w:id="683289975">
                  <w:marLeft w:val="0"/>
                  <w:marRight w:val="0"/>
                  <w:marTop w:val="0"/>
                  <w:marBottom w:val="0"/>
                  <w:divBdr>
                    <w:top w:val="none" w:sz="0" w:space="0" w:color="auto"/>
                    <w:left w:val="none" w:sz="0" w:space="0" w:color="auto"/>
                    <w:bottom w:val="none" w:sz="0" w:space="0" w:color="auto"/>
                    <w:right w:val="none" w:sz="0" w:space="0" w:color="auto"/>
                  </w:divBdr>
                </w:div>
                <w:div w:id="939683017">
                  <w:marLeft w:val="0"/>
                  <w:marRight w:val="0"/>
                  <w:marTop w:val="0"/>
                  <w:marBottom w:val="0"/>
                  <w:divBdr>
                    <w:top w:val="none" w:sz="0" w:space="0" w:color="auto"/>
                    <w:left w:val="none" w:sz="0" w:space="0" w:color="auto"/>
                    <w:bottom w:val="none" w:sz="0" w:space="0" w:color="auto"/>
                    <w:right w:val="none" w:sz="0" w:space="0" w:color="auto"/>
                  </w:divBdr>
                </w:div>
                <w:div w:id="2022126708">
                  <w:marLeft w:val="0"/>
                  <w:marRight w:val="0"/>
                  <w:marTop w:val="0"/>
                  <w:marBottom w:val="0"/>
                  <w:divBdr>
                    <w:top w:val="none" w:sz="0" w:space="0" w:color="auto"/>
                    <w:left w:val="none" w:sz="0" w:space="0" w:color="auto"/>
                    <w:bottom w:val="none" w:sz="0" w:space="0" w:color="auto"/>
                    <w:right w:val="none" w:sz="0" w:space="0" w:color="auto"/>
                  </w:divBdr>
                </w:div>
                <w:div w:id="1418987619">
                  <w:marLeft w:val="0"/>
                  <w:marRight w:val="0"/>
                  <w:marTop w:val="0"/>
                  <w:marBottom w:val="0"/>
                  <w:divBdr>
                    <w:top w:val="none" w:sz="0" w:space="0" w:color="auto"/>
                    <w:left w:val="none" w:sz="0" w:space="0" w:color="auto"/>
                    <w:bottom w:val="none" w:sz="0" w:space="0" w:color="auto"/>
                    <w:right w:val="none" w:sz="0" w:space="0" w:color="auto"/>
                  </w:divBdr>
                </w:div>
                <w:div w:id="1282105734">
                  <w:marLeft w:val="0"/>
                  <w:marRight w:val="0"/>
                  <w:marTop w:val="0"/>
                  <w:marBottom w:val="0"/>
                  <w:divBdr>
                    <w:top w:val="none" w:sz="0" w:space="0" w:color="auto"/>
                    <w:left w:val="none" w:sz="0" w:space="0" w:color="auto"/>
                    <w:bottom w:val="none" w:sz="0" w:space="0" w:color="auto"/>
                    <w:right w:val="none" w:sz="0" w:space="0" w:color="auto"/>
                  </w:divBdr>
                </w:div>
                <w:div w:id="118183747">
                  <w:marLeft w:val="0"/>
                  <w:marRight w:val="0"/>
                  <w:marTop w:val="0"/>
                  <w:marBottom w:val="0"/>
                  <w:divBdr>
                    <w:top w:val="none" w:sz="0" w:space="0" w:color="auto"/>
                    <w:left w:val="none" w:sz="0" w:space="0" w:color="auto"/>
                    <w:bottom w:val="none" w:sz="0" w:space="0" w:color="auto"/>
                    <w:right w:val="none" w:sz="0" w:space="0" w:color="auto"/>
                  </w:divBdr>
                </w:div>
                <w:div w:id="954024205">
                  <w:marLeft w:val="0"/>
                  <w:marRight w:val="0"/>
                  <w:marTop w:val="0"/>
                  <w:marBottom w:val="0"/>
                  <w:divBdr>
                    <w:top w:val="none" w:sz="0" w:space="0" w:color="auto"/>
                    <w:left w:val="none" w:sz="0" w:space="0" w:color="auto"/>
                    <w:bottom w:val="none" w:sz="0" w:space="0" w:color="auto"/>
                    <w:right w:val="none" w:sz="0" w:space="0" w:color="auto"/>
                  </w:divBdr>
                </w:div>
                <w:div w:id="852182936">
                  <w:marLeft w:val="0"/>
                  <w:marRight w:val="0"/>
                  <w:marTop w:val="0"/>
                  <w:marBottom w:val="0"/>
                  <w:divBdr>
                    <w:top w:val="none" w:sz="0" w:space="0" w:color="auto"/>
                    <w:left w:val="none" w:sz="0" w:space="0" w:color="auto"/>
                    <w:bottom w:val="none" w:sz="0" w:space="0" w:color="auto"/>
                    <w:right w:val="none" w:sz="0" w:space="0" w:color="auto"/>
                  </w:divBdr>
                </w:div>
                <w:div w:id="514225161">
                  <w:marLeft w:val="0"/>
                  <w:marRight w:val="0"/>
                  <w:marTop w:val="0"/>
                  <w:marBottom w:val="0"/>
                  <w:divBdr>
                    <w:top w:val="none" w:sz="0" w:space="0" w:color="auto"/>
                    <w:left w:val="none" w:sz="0" w:space="0" w:color="auto"/>
                    <w:bottom w:val="none" w:sz="0" w:space="0" w:color="auto"/>
                    <w:right w:val="none" w:sz="0" w:space="0" w:color="auto"/>
                  </w:divBdr>
                </w:div>
                <w:div w:id="680163687">
                  <w:marLeft w:val="0"/>
                  <w:marRight w:val="0"/>
                  <w:marTop w:val="0"/>
                  <w:marBottom w:val="0"/>
                  <w:divBdr>
                    <w:top w:val="none" w:sz="0" w:space="0" w:color="auto"/>
                    <w:left w:val="none" w:sz="0" w:space="0" w:color="auto"/>
                    <w:bottom w:val="none" w:sz="0" w:space="0" w:color="auto"/>
                    <w:right w:val="none" w:sz="0" w:space="0" w:color="auto"/>
                  </w:divBdr>
                </w:div>
                <w:div w:id="294258567">
                  <w:marLeft w:val="0"/>
                  <w:marRight w:val="0"/>
                  <w:marTop w:val="0"/>
                  <w:marBottom w:val="0"/>
                  <w:divBdr>
                    <w:top w:val="none" w:sz="0" w:space="0" w:color="auto"/>
                    <w:left w:val="none" w:sz="0" w:space="0" w:color="auto"/>
                    <w:bottom w:val="none" w:sz="0" w:space="0" w:color="auto"/>
                    <w:right w:val="none" w:sz="0" w:space="0" w:color="auto"/>
                  </w:divBdr>
                </w:div>
                <w:div w:id="1309244474">
                  <w:marLeft w:val="0"/>
                  <w:marRight w:val="0"/>
                  <w:marTop w:val="0"/>
                  <w:marBottom w:val="0"/>
                  <w:divBdr>
                    <w:top w:val="none" w:sz="0" w:space="0" w:color="auto"/>
                    <w:left w:val="none" w:sz="0" w:space="0" w:color="auto"/>
                    <w:bottom w:val="none" w:sz="0" w:space="0" w:color="auto"/>
                    <w:right w:val="none" w:sz="0" w:space="0" w:color="auto"/>
                  </w:divBdr>
                </w:div>
                <w:div w:id="1718821939">
                  <w:marLeft w:val="0"/>
                  <w:marRight w:val="0"/>
                  <w:marTop w:val="0"/>
                  <w:marBottom w:val="0"/>
                  <w:divBdr>
                    <w:top w:val="none" w:sz="0" w:space="0" w:color="auto"/>
                    <w:left w:val="none" w:sz="0" w:space="0" w:color="auto"/>
                    <w:bottom w:val="none" w:sz="0" w:space="0" w:color="auto"/>
                    <w:right w:val="none" w:sz="0" w:space="0" w:color="auto"/>
                  </w:divBdr>
                </w:div>
                <w:div w:id="1039234388">
                  <w:marLeft w:val="0"/>
                  <w:marRight w:val="0"/>
                  <w:marTop w:val="0"/>
                  <w:marBottom w:val="0"/>
                  <w:divBdr>
                    <w:top w:val="none" w:sz="0" w:space="0" w:color="auto"/>
                    <w:left w:val="none" w:sz="0" w:space="0" w:color="auto"/>
                    <w:bottom w:val="none" w:sz="0" w:space="0" w:color="auto"/>
                    <w:right w:val="none" w:sz="0" w:space="0" w:color="auto"/>
                  </w:divBdr>
                </w:div>
                <w:div w:id="1098257321">
                  <w:marLeft w:val="0"/>
                  <w:marRight w:val="0"/>
                  <w:marTop w:val="0"/>
                  <w:marBottom w:val="0"/>
                  <w:divBdr>
                    <w:top w:val="none" w:sz="0" w:space="0" w:color="auto"/>
                    <w:left w:val="none" w:sz="0" w:space="0" w:color="auto"/>
                    <w:bottom w:val="none" w:sz="0" w:space="0" w:color="auto"/>
                    <w:right w:val="none" w:sz="0" w:space="0" w:color="auto"/>
                  </w:divBdr>
                </w:div>
                <w:div w:id="1114789694">
                  <w:marLeft w:val="0"/>
                  <w:marRight w:val="0"/>
                  <w:marTop w:val="0"/>
                  <w:marBottom w:val="0"/>
                  <w:divBdr>
                    <w:top w:val="none" w:sz="0" w:space="0" w:color="auto"/>
                    <w:left w:val="none" w:sz="0" w:space="0" w:color="auto"/>
                    <w:bottom w:val="none" w:sz="0" w:space="0" w:color="auto"/>
                    <w:right w:val="none" w:sz="0" w:space="0" w:color="auto"/>
                  </w:divBdr>
                </w:div>
                <w:div w:id="1973360381">
                  <w:marLeft w:val="0"/>
                  <w:marRight w:val="0"/>
                  <w:marTop w:val="0"/>
                  <w:marBottom w:val="0"/>
                  <w:divBdr>
                    <w:top w:val="none" w:sz="0" w:space="0" w:color="auto"/>
                    <w:left w:val="none" w:sz="0" w:space="0" w:color="auto"/>
                    <w:bottom w:val="none" w:sz="0" w:space="0" w:color="auto"/>
                    <w:right w:val="none" w:sz="0" w:space="0" w:color="auto"/>
                  </w:divBdr>
                </w:div>
                <w:div w:id="156583412">
                  <w:marLeft w:val="0"/>
                  <w:marRight w:val="0"/>
                  <w:marTop w:val="0"/>
                  <w:marBottom w:val="0"/>
                  <w:divBdr>
                    <w:top w:val="none" w:sz="0" w:space="0" w:color="auto"/>
                    <w:left w:val="none" w:sz="0" w:space="0" w:color="auto"/>
                    <w:bottom w:val="none" w:sz="0" w:space="0" w:color="auto"/>
                    <w:right w:val="none" w:sz="0" w:space="0" w:color="auto"/>
                  </w:divBdr>
                </w:div>
                <w:div w:id="965936756">
                  <w:marLeft w:val="0"/>
                  <w:marRight w:val="0"/>
                  <w:marTop w:val="0"/>
                  <w:marBottom w:val="0"/>
                  <w:divBdr>
                    <w:top w:val="none" w:sz="0" w:space="0" w:color="auto"/>
                    <w:left w:val="none" w:sz="0" w:space="0" w:color="auto"/>
                    <w:bottom w:val="none" w:sz="0" w:space="0" w:color="auto"/>
                    <w:right w:val="none" w:sz="0" w:space="0" w:color="auto"/>
                  </w:divBdr>
                </w:div>
                <w:div w:id="623341831">
                  <w:marLeft w:val="0"/>
                  <w:marRight w:val="0"/>
                  <w:marTop w:val="0"/>
                  <w:marBottom w:val="0"/>
                  <w:divBdr>
                    <w:top w:val="none" w:sz="0" w:space="0" w:color="auto"/>
                    <w:left w:val="none" w:sz="0" w:space="0" w:color="auto"/>
                    <w:bottom w:val="none" w:sz="0" w:space="0" w:color="auto"/>
                    <w:right w:val="none" w:sz="0" w:space="0" w:color="auto"/>
                  </w:divBdr>
                </w:div>
                <w:div w:id="995187062">
                  <w:marLeft w:val="0"/>
                  <w:marRight w:val="0"/>
                  <w:marTop w:val="0"/>
                  <w:marBottom w:val="0"/>
                  <w:divBdr>
                    <w:top w:val="none" w:sz="0" w:space="0" w:color="auto"/>
                    <w:left w:val="none" w:sz="0" w:space="0" w:color="auto"/>
                    <w:bottom w:val="none" w:sz="0" w:space="0" w:color="auto"/>
                    <w:right w:val="none" w:sz="0" w:space="0" w:color="auto"/>
                  </w:divBdr>
                </w:div>
                <w:div w:id="966812974">
                  <w:marLeft w:val="0"/>
                  <w:marRight w:val="0"/>
                  <w:marTop w:val="0"/>
                  <w:marBottom w:val="0"/>
                  <w:divBdr>
                    <w:top w:val="none" w:sz="0" w:space="0" w:color="auto"/>
                    <w:left w:val="none" w:sz="0" w:space="0" w:color="auto"/>
                    <w:bottom w:val="none" w:sz="0" w:space="0" w:color="auto"/>
                    <w:right w:val="none" w:sz="0" w:space="0" w:color="auto"/>
                  </w:divBdr>
                </w:div>
                <w:div w:id="1070926632">
                  <w:marLeft w:val="0"/>
                  <w:marRight w:val="0"/>
                  <w:marTop w:val="0"/>
                  <w:marBottom w:val="0"/>
                  <w:divBdr>
                    <w:top w:val="none" w:sz="0" w:space="0" w:color="auto"/>
                    <w:left w:val="none" w:sz="0" w:space="0" w:color="auto"/>
                    <w:bottom w:val="none" w:sz="0" w:space="0" w:color="auto"/>
                    <w:right w:val="none" w:sz="0" w:space="0" w:color="auto"/>
                  </w:divBdr>
                </w:div>
                <w:div w:id="142506900">
                  <w:marLeft w:val="0"/>
                  <w:marRight w:val="0"/>
                  <w:marTop w:val="0"/>
                  <w:marBottom w:val="0"/>
                  <w:divBdr>
                    <w:top w:val="none" w:sz="0" w:space="0" w:color="auto"/>
                    <w:left w:val="none" w:sz="0" w:space="0" w:color="auto"/>
                    <w:bottom w:val="none" w:sz="0" w:space="0" w:color="auto"/>
                    <w:right w:val="none" w:sz="0" w:space="0" w:color="auto"/>
                  </w:divBdr>
                </w:div>
                <w:div w:id="2067297009">
                  <w:marLeft w:val="0"/>
                  <w:marRight w:val="0"/>
                  <w:marTop w:val="0"/>
                  <w:marBottom w:val="0"/>
                  <w:divBdr>
                    <w:top w:val="none" w:sz="0" w:space="0" w:color="auto"/>
                    <w:left w:val="none" w:sz="0" w:space="0" w:color="auto"/>
                    <w:bottom w:val="none" w:sz="0" w:space="0" w:color="auto"/>
                    <w:right w:val="none" w:sz="0" w:space="0" w:color="auto"/>
                  </w:divBdr>
                </w:div>
                <w:div w:id="620380742">
                  <w:marLeft w:val="0"/>
                  <w:marRight w:val="0"/>
                  <w:marTop w:val="0"/>
                  <w:marBottom w:val="0"/>
                  <w:divBdr>
                    <w:top w:val="none" w:sz="0" w:space="0" w:color="auto"/>
                    <w:left w:val="none" w:sz="0" w:space="0" w:color="auto"/>
                    <w:bottom w:val="none" w:sz="0" w:space="0" w:color="auto"/>
                    <w:right w:val="none" w:sz="0" w:space="0" w:color="auto"/>
                  </w:divBdr>
                </w:div>
                <w:div w:id="586815570">
                  <w:marLeft w:val="0"/>
                  <w:marRight w:val="0"/>
                  <w:marTop w:val="0"/>
                  <w:marBottom w:val="0"/>
                  <w:divBdr>
                    <w:top w:val="none" w:sz="0" w:space="0" w:color="auto"/>
                    <w:left w:val="none" w:sz="0" w:space="0" w:color="auto"/>
                    <w:bottom w:val="none" w:sz="0" w:space="0" w:color="auto"/>
                    <w:right w:val="none" w:sz="0" w:space="0" w:color="auto"/>
                  </w:divBdr>
                </w:div>
                <w:div w:id="71896485">
                  <w:marLeft w:val="0"/>
                  <w:marRight w:val="0"/>
                  <w:marTop w:val="0"/>
                  <w:marBottom w:val="0"/>
                  <w:divBdr>
                    <w:top w:val="none" w:sz="0" w:space="0" w:color="auto"/>
                    <w:left w:val="none" w:sz="0" w:space="0" w:color="auto"/>
                    <w:bottom w:val="none" w:sz="0" w:space="0" w:color="auto"/>
                    <w:right w:val="none" w:sz="0" w:space="0" w:color="auto"/>
                  </w:divBdr>
                </w:div>
                <w:div w:id="209804281">
                  <w:marLeft w:val="0"/>
                  <w:marRight w:val="0"/>
                  <w:marTop w:val="0"/>
                  <w:marBottom w:val="0"/>
                  <w:divBdr>
                    <w:top w:val="none" w:sz="0" w:space="0" w:color="auto"/>
                    <w:left w:val="none" w:sz="0" w:space="0" w:color="auto"/>
                    <w:bottom w:val="none" w:sz="0" w:space="0" w:color="auto"/>
                    <w:right w:val="none" w:sz="0" w:space="0" w:color="auto"/>
                  </w:divBdr>
                </w:div>
                <w:div w:id="306588463">
                  <w:marLeft w:val="0"/>
                  <w:marRight w:val="0"/>
                  <w:marTop w:val="0"/>
                  <w:marBottom w:val="0"/>
                  <w:divBdr>
                    <w:top w:val="none" w:sz="0" w:space="0" w:color="auto"/>
                    <w:left w:val="none" w:sz="0" w:space="0" w:color="auto"/>
                    <w:bottom w:val="none" w:sz="0" w:space="0" w:color="auto"/>
                    <w:right w:val="none" w:sz="0" w:space="0" w:color="auto"/>
                  </w:divBdr>
                </w:div>
                <w:div w:id="1250308718">
                  <w:marLeft w:val="0"/>
                  <w:marRight w:val="0"/>
                  <w:marTop w:val="0"/>
                  <w:marBottom w:val="0"/>
                  <w:divBdr>
                    <w:top w:val="none" w:sz="0" w:space="0" w:color="auto"/>
                    <w:left w:val="none" w:sz="0" w:space="0" w:color="auto"/>
                    <w:bottom w:val="none" w:sz="0" w:space="0" w:color="auto"/>
                    <w:right w:val="none" w:sz="0" w:space="0" w:color="auto"/>
                  </w:divBdr>
                </w:div>
                <w:div w:id="731080857">
                  <w:marLeft w:val="0"/>
                  <w:marRight w:val="0"/>
                  <w:marTop w:val="0"/>
                  <w:marBottom w:val="0"/>
                  <w:divBdr>
                    <w:top w:val="none" w:sz="0" w:space="0" w:color="auto"/>
                    <w:left w:val="none" w:sz="0" w:space="0" w:color="auto"/>
                    <w:bottom w:val="none" w:sz="0" w:space="0" w:color="auto"/>
                    <w:right w:val="none" w:sz="0" w:space="0" w:color="auto"/>
                  </w:divBdr>
                </w:div>
                <w:div w:id="1667436816">
                  <w:marLeft w:val="0"/>
                  <w:marRight w:val="0"/>
                  <w:marTop w:val="0"/>
                  <w:marBottom w:val="0"/>
                  <w:divBdr>
                    <w:top w:val="none" w:sz="0" w:space="0" w:color="auto"/>
                    <w:left w:val="none" w:sz="0" w:space="0" w:color="auto"/>
                    <w:bottom w:val="none" w:sz="0" w:space="0" w:color="auto"/>
                    <w:right w:val="none" w:sz="0" w:space="0" w:color="auto"/>
                  </w:divBdr>
                </w:div>
                <w:div w:id="375325209">
                  <w:marLeft w:val="0"/>
                  <w:marRight w:val="0"/>
                  <w:marTop w:val="0"/>
                  <w:marBottom w:val="0"/>
                  <w:divBdr>
                    <w:top w:val="none" w:sz="0" w:space="0" w:color="auto"/>
                    <w:left w:val="none" w:sz="0" w:space="0" w:color="auto"/>
                    <w:bottom w:val="none" w:sz="0" w:space="0" w:color="auto"/>
                    <w:right w:val="none" w:sz="0" w:space="0" w:color="auto"/>
                  </w:divBdr>
                </w:div>
                <w:div w:id="93282692">
                  <w:marLeft w:val="0"/>
                  <w:marRight w:val="0"/>
                  <w:marTop w:val="0"/>
                  <w:marBottom w:val="0"/>
                  <w:divBdr>
                    <w:top w:val="none" w:sz="0" w:space="0" w:color="auto"/>
                    <w:left w:val="none" w:sz="0" w:space="0" w:color="auto"/>
                    <w:bottom w:val="none" w:sz="0" w:space="0" w:color="auto"/>
                    <w:right w:val="none" w:sz="0" w:space="0" w:color="auto"/>
                  </w:divBdr>
                </w:div>
                <w:div w:id="915475356">
                  <w:marLeft w:val="0"/>
                  <w:marRight w:val="0"/>
                  <w:marTop w:val="0"/>
                  <w:marBottom w:val="0"/>
                  <w:divBdr>
                    <w:top w:val="none" w:sz="0" w:space="0" w:color="auto"/>
                    <w:left w:val="none" w:sz="0" w:space="0" w:color="auto"/>
                    <w:bottom w:val="none" w:sz="0" w:space="0" w:color="auto"/>
                    <w:right w:val="none" w:sz="0" w:space="0" w:color="auto"/>
                  </w:divBdr>
                </w:div>
                <w:div w:id="2065132496">
                  <w:marLeft w:val="0"/>
                  <w:marRight w:val="0"/>
                  <w:marTop w:val="0"/>
                  <w:marBottom w:val="0"/>
                  <w:divBdr>
                    <w:top w:val="none" w:sz="0" w:space="0" w:color="auto"/>
                    <w:left w:val="none" w:sz="0" w:space="0" w:color="auto"/>
                    <w:bottom w:val="none" w:sz="0" w:space="0" w:color="auto"/>
                    <w:right w:val="none" w:sz="0" w:space="0" w:color="auto"/>
                  </w:divBdr>
                </w:div>
                <w:div w:id="1104956978">
                  <w:marLeft w:val="0"/>
                  <w:marRight w:val="0"/>
                  <w:marTop w:val="0"/>
                  <w:marBottom w:val="0"/>
                  <w:divBdr>
                    <w:top w:val="none" w:sz="0" w:space="0" w:color="auto"/>
                    <w:left w:val="none" w:sz="0" w:space="0" w:color="auto"/>
                    <w:bottom w:val="none" w:sz="0" w:space="0" w:color="auto"/>
                    <w:right w:val="none" w:sz="0" w:space="0" w:color="auto"/>
                  </w:divBdr>
                </w:div>
                <w:div w:id="1757246508">
                  <w:marLeft w:val="0"/>
                  <w:marRight w:val="0"/>
                  <w:marTop w:val="0"/>
                  <w:marBottom w:val="0"/>
                  <w:divBdr>
                    <w:top w:val="none" w:sz="0" w:space="0" w:color="auto"/>
                    <w:left w:val="none" w:sz="0" w:space="0" w:color="auto"/>
                    <w:bottom w:val="none" w:sz="0" w:space="0" w:color="auto"/>
                    <w:right w:val="none" w:sz="0" w:space="0" w:color="auto"/>
                  </w:divBdr>
                </w:div>
                <w:div w:id="2025092758">
                  <w:marLeft w:val="0"/>
                  <w:marRight w:val="0"/>
                  <w:marTop w:val="0"/>
                  <w:marBottom w:val="0"/>
                  <w:divBdr>
                    <w:top w:val="none" w:sz="0" w:space="0" w:color="auto"/>
                    <w:left w:val="none" w:sz="0" w:space="0" w:color="auto"/>
                    <w:bottom w:val="none" w:sz="0" w:space="0" w:color="auto"/>
                    <w:right w:val="none" w:sz="0" w:space="0" w:color="auto"/>
                  </w:divBdr>
                </w:div>
                <w:div w:id="196958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242551">
      <w:bodyDiv w:val="1"/>
      <w:marLeft w:val="0"/>
      <w:marRight w:val="0"/>
      <w:marTop w:val="0"/>
      <w:marBottom w:val="0"/>
      <w:divBdr>
        <w:top w:val="none" w:sz="0" w:space="0" w:color="auto"/>
        <w:left w:val="none" w:sz="0" w:space="0" w:color="auto"/>
        <w:bottom w:val="none" w:sz="0" w:space="0" w:color="auto"/>
        <w:right w:val="none" w:sz="0" w:space="0" w:color="auto"/>
      </w:divBdr>
    </w:div>
    <w:div w:id="765004823">
      <w:bodyDiv w:val="1"/>
      <w:marLeft w:val="0"/>
      <w:marRight w:val="0"/>
      <w:marTop w:val="0"/>
      <w:marBottom w:val="0"/>
      <w:divBdr>
        <w:top w:val="none" w:sz="0" w:space="0" w:color="auto"/>
        <w:left w:val="none" w:sz="0" w:space="0" w:color="auto"/>
        <w:bottom w:val="none" w:sz="0" w:space="0" w:color="auto"/>
        <w:right w:val="none" w:sz="0" w:space="0" w:color="auto"/>
      </w:divBdr>
      <w:divsChild>
        <w:div w:id="947078131">
          <w:marLeft w:val="0"/>
          <w:marRight w:val="0"/>
          <w:marTop w:val="0"/>
          <w:marBottom w:val="0"/>
          <w:divBdr>
            <w:top w:val="none" w:sz="0" w:space="0" w:color="auto"/>
            <w:left w:val="none" w:sz="0" w:space="0" w:color="auto"/>
            <w:bottom w:val="none" w:sz="0" w:space="0" w:color="auto"/>
            <w:right w:val="none" w:sz="0" w:space="0" w:color="auto"/>
          </w:divBdr>
        </w:div>
        <w:div w:id="1405910029">
          <w:marLeft w:val="0"/>
          <w:marRight w:val="0"/>
          <w:marTop w:val="0"/>
          <w:marBottom w:val="0"/>
          <w:divBdr>
            <w:top w:val="none" w:sz="0" w:space="0" w:color="auto"/>
            <w:left w:val="none" w:sz="0" w:space="0" w:color="auto"/>
            <w:bottom w:val="none" w:sz="0" w:space="0" w:color="auto"/>
            <w:right w:val="none" w:sz="0" w:space="0" w:color="auto"/>
          </w:divBdr>
        </w:div>
      </w:divsChild>
    </w:div>
    <w:div w:id="818380272">
      <w:bodyDiv w:val="1"/>
      <w:marLeft w:val="0"/>
      <w:marRight w:val="0"/>
      <w:marTop w:val="0"/>
      <w:marBottom w:val="0"/>
      <w:divBdr>
        <w:top w:val="none" w:sz="0" w:space="0" w:color="auto"/>
        <w:left w:val="none" w:sz="0" w:space="0" w:color="auto"/>
        <w:bottom w:val="none" w:sz="0" w:space="0" w:color="auto"/>
        <w:right w:val="none" w:sz="0" w:space="0" w:color="auto"/>
      </w:divBdr>
    </w:div>
    <w:div w:id="884296634">
      <w:bodyDiv w:val="1"/>
      <w:marLeft w:val="0"/>
      <w:marRight w:val="0"/>
      <w:marTop w:val="0"/>
      <w:marBottom w:val="0"/>
      <w:divBdr>
        <w:top w:val="none" w:sz="0" w:space="0" w:color="auto"/>
        <w:left w:val="none" w:sz="0" w:space="0" w:color="auto"/>
        <w:bottom w:val="none" w:sz="0" w:space="0" w:color="auto"/>
        <w:right w:val="none" w:sz="0" w:space="0" w:color="auto"/>
      </w:divBdr>
    </w:div>
    <w:div w:id="1034573890">
      <w:bodyDiv w:val="1"/>
      <w:marLeft w:val="0"/>
      <w:marRight w:val="0"/>
      <w:marTop w:val="0"/>
      <w:marBottom w:val="0"/>
      <w:divBdr>
        <w:top w:val="none" w:sz="0" w:space="0" w:color="auto"/>
        <w:left w:val="none" w:sz="0" w:space="0" w:color="auto"/>
        <w:bottom w:val="none" w:sz="0" w:space="0" w:color="auto"/>
        <w:right w:val="none" w:sz="0" w:space="0" w:color="auto"/>
      </w:divBdr>
    </w:div>
    <w:div w:id="1101991722">
      <w:bodyDiv w:val="1"/>
      <w:marLeft w:val="0"/>
      <w:marRight w:val="0"/>
      <w:marTop w:val="0"/>
      <w:marBottom w:val="0"/>
      <w:divBdr>
        <w:top w:val="none" w:sz="0" w:space="0" w:color="auto"/>
        <w:left w:val="none" w:sz="0" w:space="0" w:color="auto"/>
        <w:bottom w:val="none" w:sz="0" w:space="0" w:color="auto"/>
        <w:right w:val="none" w:sz="0" w:space="0" w:color="auto"/>
      </w:divBdr>
    </w:div>
    <w:div w:id="1114443942">
      <w:bodyDiv w:val="1"/>
      <w:marLeft w:val="0"/>
      <w:marRight w:val="0"/>
      <w:marTop w:val="0"/>
      <w:marBottom w:val="0"/>
      <w:divBdr>
        <w:top w:val="none" w:sz="0" w:space="0" w:color="auto"/>
        <w:left w:val="none" w:sz="0" w:space="0" w:color="auto"/>
        <w:bottom w:val="none" w:sz="0" w:space="0" w:color="auto"/>
        <w:right w:val="none" w:sz="0" w:space="0" w:color="auto"/>
      </w:divBdr>
    </w:div>
    <w:div w:id="1244415665">
      <w:bodyDiv w:val="1"/>
      <w:marLeft w:val="0"/>
      <w:marRight w:val="0"/>
      <w:marTop w:val="0"/>
      <w:marBottom w:val="0"/>
      <w:divBdr>
        <w:top w:val="none" w:sz="0" w:space="0" w:color="auto"/>
        <w:left w:val="none" w:sz="0" w:space="0" w:color="auto"/>
        <w:bottom w:val="none" w:sz="0" w:space="0" w:color="auto"/>
        <w:right w:val="none" w:sz="0" w:space="0" w:color="auto"/>
      </w:divBdr>
    </w:div>
    <w:div w:id="1274358453">
      <w:bodyDiv w:val="1"/>
      <w:marLeft w:val="0"/>
      <w:marRight w:val="0"/>
      <w:marTop w:val="0"/>
      <w:marBottom w:val="0"/>
      <w:divBdr>
        <w:top w:val="none" w:sz="0" w:space="0" w:color="auto"/>
        <w:left w:val="none" w:sz="0" w:space="0" w:color="auto"/>
        <w:bottom w:val="none" w:sz="0" w:space="0" w:color="auto"/>
        <w:right w:val="none" w:sz="0" w:space="0" w:color="auto"/>
      </w:divBdr>
    </w:div>
    <w:div w:id="1283801361">
      <w:bodyDiv w:val="1"/>
      <w:marLeft w:val="0"/>
      <w:marRight w:val="0"/>
      <w:marTop w:val="0"/>
      <w:marBottom w:val="0"/>
      <w:divBdr>
        <w:top w:val="none" w:sz="0" w:space="0" w:color="auto"/>
        <w:left w:val="none" w:sz="0" w:space="0" w:color="auto"/>
        <w:bottom w:val="none" w:sz="0" w:space="0" w:color="auto"/>
        <w:right w:val="none" w:sz="0" w:space="0" w:color="auto"/>
      </w:divBdr>
    </w:div>
    <w:div w:id="1293243154">
      <w:bodyDiv w:val="1"/>
      <w:marLeft w:val="0"/>
      <w:marRight w:val="0"/>
      <w:marTop w:val="0"/>
      <w:marBottom w:val="0"/>
      <w:divBdr>
        <w:top w:val="none" w:sz="0" w:space="0" w:color="auto"/>
        <w:left w:val="none" w:sz="0" w:space="0" w:color="auto"/>
        <w:bottom w:val="none" w:sz="0" w:space="0" w:color="auto"/>
        <w:right w:val="none" w:sz="0" w:space="0" w:color="auto"/>
      </w:divBdr>
      <w:divsChild>
        <w:div w:id="1890022875">
          <w:marLeft w:val="0"/>
          <w:marRight w:val="0"/>
          <w:marTop w:val="0"/>
          <w:marBottom w:val="0"/>
          <w:divBdr>
            <w:top w:val="none" w:sz="0" w:space="0" w:color="auto"/>
            <w:left w:val="none" w:sz="0" w:space="0" w:color="auto"/>
            <w:bottom w:val="none" w:sz="0" w:space="0" w:color="auto"/>
            <w:right w:val="none" w:sz="0" w:space="0" w:color="auto"/>
          </w:divBdr>
        </w:div>
        <w:div w:id="1871799759">
          <w:marLeft w:val="0"/>
          <w:marRight w:val="0"/>
          <w:marTop w:val="0"/>
          <w:marBottom w:val="0"/>
          <w:divBdr>
            <w:top w:val="none" w:sz="0" w:space="0" w:color="auto"/>
            <w:left w:val="none" w:sz="0" w:space="0" w:color="auto"/>
            <w:bottom w:val="none" w:sz="0" w:space="0" w:color="auto"/>
            <w:right w:val="none" w:sz="0" w:space="0" w:color="auto"/>
          </w:divBdr>
        </w:div>
      </w:divsChild>
    </w:div>
    <w:div w:id="1383627448">
      <w:bodyDiv w:val="1"/>
      <w:marLeft w:val="0"/>
      <w:marRight w:val="0"/>
      <w:marTop w:val="0"/>
      <w:marBottom w:val="0"/>
      <w:divBdr>
        <w:top w:val="none" w:sz="0" w:space="0" w:color="auto"/>
        <w:left w:val="none" w:sz="0" w:space="0" w:color="auto"/>
        <w:bottom w:val="none" w:sz="0" w:space="0" w:color="auto"/>
        <w:right w:val="none" w:sz="0" w:space="0" w:color="auto"/>
      </w:divBdr>
    </w:div>
    <w:div w:id="1456756978">
      <w:bodyDiv w:val="1"/>
      <w:marLeft w:val="0"/>
      <w:marRight w:val="0"/>
      <w:marTop w:val="0"/>
      <w:marBottom w:val="0"/>
      <w:divBdr>
        <w:top w:val="none" w:sz="0" w:space="0" w:color="auto"/>
        <w:left w:val="none" w:sz="0" w:space="0" w:color="auto"/>
        <w:bottom w:val="none" w:sz="0" w:space="0" w:color="auto"/>
        <w:right w:val="none" w:sz="0" w:space="0" w:color="auto"/>
      </w:divBdr>
      <w:divsChild>
        <w:div w:id="808979915">
          <w:marLeft w:val="0"/>
          <w:marRight w:val="0"/>
          <w:marTop w:val="0"/>
          <w:marBottom w:val="0"/>
          <w:divBdr>
            <w:top w:val="none" w:sz="0" w:space="0" w:color="auto"/>
            <w:left w:val="none" w:sz="0" w:space="0" w:color="auto"/>
            <w:bottom w:val="none" w:sz="0" w:space="0" w:color="auto"/>
            <w:right w:val="none" w:sz="0" w:space="0" w:color="auto"/>
          </w:divBdr>
        </w:div>
        <w:div w:id="771633935">
          <w:marLeft w:val="0"/>
          <w:marRight w:val="0"/>
          <w:marTop w:val="0"/>
          <w:marBottom w:val="0"/>
          <w:divBdr>
            <w:top w:val="none" w:sz="0" w:space="0" w:color="auto"/>
            <w:left w:val="none" w:sz="0" w:space="0" w:color="auto"/>
            <w:bottom w:val="none" w:sz="0" w:space="0" w:color="auto"/>
            <w:right w:val="none" w:sz="0" w:space="0" w:color="auto"/>
          </w:divBdr>
        </w:div>
      </w:divsChild>
    </w:div>
    <w:div w:id="1469324142">
      <w:bodyDiv w:val="1"/>
      <w:marLeft w:val="0"/>
      <w:marRight w:val="0"/>
      <w:marTop w:val="0"/>
      <w:marBottom w:val="0"/>
      <w:divBdr>
        <w:top w:val="none" w:sz="0" w:space="0" w:color="auto"/>
        <w:left w:val="none" w:sz="0" w:space="0" w:color="auto"/>
        <w:bottom w:val="none" w:sz="0" w:space="0" w:color="auto"/>
        <w:right w:val="none" w:sz="0" w:space="0" w:color="auto"/>
      </w:divBdr>
    </w:div>
    <w:div w:id="1533037934">
      <w:bodyDiv w:val="1"/>
      <w:marLeft w:val="0"/>
      <w:marRight w:val="0"/>
      <w:marTop w:val="0"/>
      <w:marBottom w:val="0"/>
      <w:divBdr>
        <w:top w:val="none" w:sz="0" w:space="0" w:color="auto"/>
        <w:left w:val="none" w:sz="0" w:space="0" w:color="auto"/>
        <w:bottom w:val="none" w:sz="0" w:space="0" w:color="auto"/>
        <w:right w:val="none" w:sz="0" w:space="0" w:color="auto"/>
      </w:divBdr>
    </w:div>
    <w:div w:id="1540823670">
      <w:bodyDiv w:val="1"/>
      <w:marLeft w:val="0"/>
      <w:marRight w:val="0"/>
      <w:marTop w:val="0"/>
      <w:marBottom w:val="0"/>
      <w:divBdr>
        <w:top w:val="none" w:sz="0" w:space="0" w:color="auto"/>
        <w:left w:val="none" w:sz="0" w:space="0" w:color="auto"/>
        <w:bottom w:val="none" w:sz="0" w:space="0" w:color="auto"/>
        <w:right w:val="none" w:sz="0" w:space="0" w:color="auto"/>
      </w:divBdr>
    </w:div>
    <w:div w:id="1581021547">
      <w:bodyDiv w:val="1"/>
      <w:marLeft w:val="0"/>
      <w:marRight w:val="0"/>
      <w:marTop w:val="0"/>
      <w:marBottom w:val="0"/>
      <w:divBdr>
        <w:top w:val="none" w:sz="0" w:space="0" w:color="auto"/>
        <w:left w:val="none" w:sz="0" w:space="0" w:color="auto"/>
        <w:bottom w:val="none" w:sz="0" w:space="0" w:color="auto"/>
        <w:right w:val="none" w:sz="0" w:space="0" w:color="auto"/>
      </w:divBdr>
    </w:div>
    <w:div w:id="1597711488">
      <w:bodyDiv w:val="1"/>
      <w:marLeft w:val="0"/>
      <w:marRight w:val="0"/>
      <w:marTop w:val="0"/>
      <w:marBottom w:val="0"/>
      <w:divBdr>
        <w:top w:val="none" w:sz="0" w:space="0" w:color="auto"/>
        <w:left w:val="none" w:sz="0" w:space="0" w:color="auto"/>
        <w:bottom w:val="none" w:sz="0" w:space="0" w:color="auto"/>
        <w:right w:val="none" w:sz="0" w:space="0" w:color="auto"/>
      </w:divBdr>
    </w:div>
    <w:div w:id="1606226277">
      <w:bodyDiv w:val="1"/>
      <w:marLeft w:val="0"/>
      <w:marRight w:val="0"/>
      <w:marTop w:val="0"/>
      <w:marBottom w:val="0"/>
      <w:divBdr>
        <w:top w:val="none" w:sz="0" w:space="0" w:color="auto"/>
        <w:left w:val="none" w:sz="0" w:space="0" w:color="auto"/>
        <w:bottom w:val="none" w:sz="0" w:space="0" w:color="auto"/>
        <w:right w:val="none" w:sz="0" w:space="0" w:color="auto"/>
      </w:divBdr>
    </w:div>
    <w:div w:id="1673532898">
      <w:bodyDiv w:val="1"/>
      <w:marLeft w:val="0"/>
      <w:marRight w:val="0"/>
      <w:marTop w:val="0"/>
      <w:marBottom w:val="0"/>
      <w:divBdr>
        <w:top w:val="none" w:sz="0" w:space="0" w:color="auto"/>
        <w:left w:val="none" w:sz="0" w:space="0" w:color="auto"/>
        <w:bottom w:val="none" w:sz="0" w:space="0" w:color="auto"/>
        <w:right w:val="none" w:sz="0" w:space="0" w:color="auto"/>
      </w:divBdr>
    </w:div>
    <w:div w:id="1715545752">
      <w:bodyDiv w:val="1"/>
      <w:marLeft w:val="0"/>
      <w:marRight w:val="0"/>
      <w:marTop w:val="0"/>
      <w:marBottom w:val="0"/>
      <w:divBdr>
        <w:top w:val="none" w:sz="0" w:space="0" w:color="auto"/>
        <w:left w:val="none" w:sz="0" w:space="0" w:color="auto"/>
        <w:bottom w:val="none" w:sz="0" w:space="0" w:color="auto"/>
        <w:right w:val="none" w:sz="0" w:space="0" w:color="auto"/>
      </w:divBdr>
    </w:div>
    <w:div w:id="1773814047">
      <w:bodyDiv w:val="1"/>
      <w:marLeft w:val="0"/>
      <w:marRight w:val="0"/>
      <w:marTop w:val="0"/>
      <w:marBottom w:val="0"/>
      <w:divBdr>
        <w:top w:val="none" w:sz="0" w:space="0" w:color="auto"/>
        <w:left w:val="none" w:sz="0" w:space="0" w:color="auto"/>
        <w:bottom w:val="none" w:sz="0" w:space="0" w:color="auto"/>
        <w:right w:val="none" w:sz="0" w:space="0" w:color="auto"/>
      </w:divBdr>
    </w:div>
    <w:div w:id="1773819541">
      <w:bodyDiv w:val="1"/>
      <w:marLeft w:val="0"/>
      <w:marRight w:val="0"/>
      <w:marTop w:val="0"/>
      <w:marBottom w:val="0"/>
      <w:divBdr>
        <w:top w:val="none" w:sz="0" w:space="0" w:color="auto"/>
        <w:left w:val="none" w:sz="0" w:space="0" w:color="auto"/>
        <w:bottom w:val="none" w:sz="0" w:space="0" w:color="auto"/>
        <w:right w:val="none" w:sz="0" w:space="0" w:color="auto"/>
      </w:divBdr>
    </w:div>
    <w:div w:id="1841962043">
      <w:bodyDiv w:val="1"/>
      <w:marLeft w:val="0"/>
      <w:marRight w:val="0"/>
      <w:marTop w:val="0"/>
      <w:marBottom w:val="0"/>
      <w:divBdr>
        <w:top w:val="none" w:sz="0" w:space="0" w:color="auto"/>
        <w:left w:val="none" w:sz="0" w:space="0" w:color="auto"/>
        <w:bottom w:val="none" w:sz="0" w:space="0" w:color="auto"/>
        <w:right w:val="none" w:sz="0" w:space="0" w:color="auto"/>
      </w:divBdr>
    </w:div>
    <w:div w:id="1877768798">
      <w:bodyDiv w:val="1"/>
      <w:marLeft w:val="0"/>
      <w:marRight w:val="0"/>
      <w:marTop w:val="0"/>
      <w:marBottom w:val="0"/>
      <w:divBdr>
        <w:top w:val="none" w:sz="0" w:space="0" w:color="auto"/>
        <w:left w:val="none" w:sz="0" w:space="0" w:color="auto"/>
        <w:bottom w:val="none" w:sz="0" w:space="0" w:color="auto"/>
        <w:right w:val="none" w:sz="0" w:space="0" w:color="auto"/>
      </w:divBdr>
    </w:div>
    <w:div w:id="1891188589">
      <w:bodyDiv w:val="1"/>
      <w:marLeft w:val="0"/>
      <w:marRight w:val="0"/>
      <w:marTop w:val="0"/>
      <w:marBottom w:val="0"/>
      <w:divBdr>
        <w:top w:val="none" w:sz="0" w:space="0" w:color="auto"/>
        <w:left w:val="none" w:sz="0" w:space="0" w:color="auto"/>
        <w:bottom w:val="none" w:sz="0" w:space="0" w:color="auto"/>
        <w:right w:val="none" w:sz="0" w:space="0" w:color="auto"/>
      </w:divBdr>
    </w:div>
    <w:div w:id="1896969610">
      <w:bodyDiv w:val="1"/>
      <w:marLeft w:val="0"/>
      <w:marRight w:val="0"/>
      <w:marTop w:val="0"/>
      <w:marBottom w:val="0"/>
      <w:divBdr>
        <w:top w:val="none" w:sz="0" w:space="0" w:color="auto"/>
        <w:left w:val="none" w:sz="0" w:space="0" w:color="auto"/>
        <w:bottom w:val="none" w:sz="0" w:space="0" w:color="auto"/>
        <w:right w:val="none" w:sz="0" w:space="0" w:color="auto"/>
      </w:divBdr>
    </w:div>
    <w:div w:id="1914504676">
      <w:bodyDiv w:val="1"/>
      <w:marLeft w:val="0"/>
      <w:marRight w:val="0"/>
      <w:marTop w:val="0"/>
      <w:marBottom w:val="0"/>
      <w:divBdr>
        <w:top w:val="none" w:sz="0" w:space="0" w:color="auto"/>
        <w:left w:val="none" w:sz="0" w:space="0" w:color="auto"/>
        <w:bottom w:val="none" w:sz="0" w:space="0" w:color="auto"/>
        <w:right w:val="none" w:sz="0" w:space="0" w:color="auto"/>
      </w:divBdr>
    </w:div>
    <w:div w:id="1924991115">
      <w:bodyDiv w:val="1"/>
      <w:marLeft w:val="0"/>
      <w:marRight w:val="0"/>
      <w:marTop w:val="0"/>
      <w:marBottom w:val="0"/>
      <w:divBdr>
        <w:top w:val="none" w:sz="0" w:space="0" w:color="auto"/>
        <w:left w:val="none" w:sz="0" w:space="0" w:color="auto"/>
        <w:bottom w:val="none" w:sz="0" w:space="0" w:color="auto"/>
        <w:right w:val="none" w:sz="0" w:space="0" w:color="auto"/>
      </w:divBdr>
    </w:div>
    <w:div w:id="1946110114">
      <w:bodyDiv w:val="1"/>
      <w:marLeft w:val="0"/>
      <w:marRight w:val="0"/>
      <w:marTop w:val="0"/>
      <w:marBottom w:val="0"/>
      <w:divBdr>
        <w:top w:val="none" w:sz="0" w:space="0" w:color="auto"/>
        <w:left w:val="none" w:sz="0" w:space="0" w:color="auto"/>
        <w:bottom w:val="none" w:sz="0" w:space="0" w:color="auto"/>
        <w:right w:val="none" w:sz="0" w:space="0" w:color="auto"/>
      </w:divBdr>
    </w:div>
    <w:div w:id="1948003721">
      <w:bodyDiv w:val="1"/>
      <w:marLeft w:val="0"/>
      <w:marRight w:val="0"/>
      <w:marTop w:val="0"/>
      <w:marBottom w:val="0"/>
      <w:divBdr>
        <w:top w:val="none" w:sz="0" w:space="0" w:color="auto"/>
        <w:left w:val="none" w:sz="0" w:space="0" w:color="auto"/>
        <w:bottom w:val="none" w:sz="0" w:space="0" w:color="auto"/>
        <w:right w:val="none" w:sz="0" w:space="0" w:color="auto"/>
      </w:divBdr>
    </w:div>
    <w:div w:id="1990357331">
      <w:bodyDiv w:val="1"/>
      <w:marLeft w:val="0"/>
      <w:marRight w:val="0"/>
      <w:marTop w:val="0"/>
      <w:marBottom w:val="0"/>
      <w:divBdr>
        <w:top w:val="none" w:sz="0" w:space="0" w:color="auto"/>
        <w:left w:val="none" w:sz="0" w:space="0" w:color="auto"/>
        <w:bottom w:val="none" w:sz="0" w:space="0" w:color="auto"/>
        <w:right w:val="none" w:sz="0" w:space="0" w:color="auto"/>
      </w:divBdr>
    </w:div>
    <w:div w:id="1999723428">
      <w:bodyDiv w:val="1"/>
      <w:marLeft w:val="0"/>
      <w:marRight w:val="0"/>
      <w:marTop w:val="0"/>
      <w:marBottom w:val="0"/>
      <w:divBdr>
        <w:top w:val="none" w:sz="0" w:space="0" w:color="auto"/>
        <w:left w:val="none" w:sz="0" w:space="0" w:color="auto"/>
        <w:bottom w:val="none" w:sz="0" w:space="0" w:color="auto"/>
        <w:right w:val="none" w:sz="0" w:space="0" w:color="auto"/>
      </w:divBdr>
    </w:div>
    <w:div w:id="2017491701">
      <w:bodyDiv w:val="1"/>
      <w:marLeft w:val="0"/>
      <w:marRight w:val="0"/>
      <w:marTop w:val="0"/>
      <w:marBottom w:val="0"/>
      <w:divBdr>
        <w:top w:val="none" w:sz="0" w:space="0" w:color="auto"/>
        <w:left w:val="none" w:sz="0" w:space="0" w:color="auto"/>
        <w:bottom w:val="none" w:sz="0" w:space="0" w:color="auto"/>
        <w:right w:val="none" w:sz="0" w:space="0" w:color="auto"/>
      </w:divBdr>
      <w:divsChild>
        <w:div w:id="592934946">
          <w:marLeft w:val="0"/>
          <w:marRight w:val="0"/>
          <w:marTop w:val="0"/>
          <w:marBottom w:val="0"/>
          <w:divBdr>
            <w:top w:val="none" w:sz="0" w:space="0" w:color="auto"/>
            <w:left w:val="none" w:sz="0" w:space="0" w:color="auto"/>
            <w:bottom w:val="none" w:sz="0" w:space="0" w:color="auto"/>
            <w:right w:val="none" w:sz="0" w:space="0" w:color="auto"/>
          </w:divBdr>
        </w:div>
        <w:div w:id="1841461459">
          <w:marLeft w:val="0"/>
          <w:marRight w:val="0"/>
          <w:marTop w:val="0"/>
          <w:marBottom w:val="0"/>
          <w:divBdr>
            <w:top w:val="none" w:sz="0" w:space="0" w:color="auto"/>
            <w:left w:val="none" w:sz="0" w:space="0" w:color="auto"/>
            <w:bottom w:val="none" w:sz="0" w:space="0" w:color="auto"/>
            <w:right w:val="none" w:sz="0" w:space="0" w:color="auto"/>
          </w:divBdr>
        </w:div>
        <w:div w:id="1754352271">
          <w:marLeft w:val="0"/>
          <w:marRight w:val="0"/>
          <w:marTop w:val="0"/>
          <w:marBottom w:val="0"/>
          <w:divBdr>
            <w:top w:val="none" w:sz="0" w:space="0" w:color="auto"/>
            <w:left w:val="none" w:sz="0" w:space="0" w:color="auto"/>
            <w:bottom w:val="none" w:sz="0" w:space="0" w:color="auto"/>
            <w:right w:val="none" w:sz="0" w:space="0" w:color="auto"/>
          </w:divBdr>
        </w:div>
      </w:divsChild>
    </w:div>
    <w:div w:id="2056460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3.wdp"/><Relationship Id="rId18" Type="http://schemas.openxmlformats.org/officeDocument/2006/relationships/image" Target="media/image7.png"/><Relationship Id="rId26" Type="http://schemas.openxmlformats.org/officeDocument/2006/relationships/chart" Target="charts/chart5.xml"/><Relationship Id="rId39" Type="http://schemas.openxmlformats.org/officeDocument/2006/relationships/hyperlink" Target="https://www.eiti.gov.ua/" TargetMode="External"/><Relationship Id="rId21" Type="http://schemas.microsoft.com/office/2007/relationships/hdphoto" Target="media/hdphoto7.wdp"/><Relationship Id="rId34" Type="http://schemas.openxmlformats.org/officeDocument/2006/relationships/chart" Target="charts/chart13.xml"/><Relationship Id="rId42" Type="http://schemas.openxmlformats.org/officeDocument/2006/relationships/hyperlink" Target="https://www.imd.org"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3.xml"/><Relationship Id="rId32" Type="http://schemas.openxmlformats.org/officeDocument/2006/relationships/chart" Target="charts/chart11.xml"/><Relationship Id="rId37" Type="http://schemas.openxmlformats.org/officeDocument/2006/relationships/hyperlink" Target="http://nbuv.gov.ua/UJRN/bses_2016_10_22" TargetMode="External"/><Relationship Id="rId40" Type="http://schemas.openxmlformats.org/officeDocument/2006/relationships/hyperlink" Target="https://eba.com.ua/indeks-investytsijnoyi-pryvablyvosti-ukrayiny-pokazav-najnyzhche-" TargetMode="External"/><Relationship Id="rId45" Type="http://schemas.openxmlformats.org/officeDocument/2006/relationships/fontTable" Target="fontTable.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chart" Target="charts/chart2.xml"/><Relationship Id="rId28" Type="http://schemas.openxmlformats.org/officeDocument/2006/relationships/chart" Target="charts/chart7.xml"/><Relationship Id="rId36" Type="http://schemas.microsoft.com/office/2007/relationships/hdphoto" Target="media/hdphoto8.wdp"/><Relationship Id="rId10" Type="http://schemas.microsoft.com/office/2007/relationships/hdphoto" Target="media/hdphoto2.wdp"/><Relationship Id="rId19" Type="http://schemas.microsoft.com/office/2007/relationships/hdphoto" Target="media/hdphoto6.wdp"/><Relationship Id="rId31" Type="http://schemas.openxmlformats.org/officeDocument/2006/relationships/chart" Target="charts/chart10.xml"/><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image" Target="media/image9.png"/><Relationship Id="rId43" Type="http://schemas.openxmlformats.org/officeDocument/2006/relationships/hyperlink" Target="https://www.weforum.org" TargetMode="External"/><Relationship Id="rId8" Type="http://schemas.microsoft.com/office/2007/relationships/hdphoto" Target="media/hdphoto1.wdp"/><Relationship Id="rId3" Type="http://schemas.openxmlformats.org/officeDocument/2006/relationships/settings" Target="settings.xml"/><Relationship Id="rId12" Type="http://schemas.openxmlformats.org/officeDocument/2006/relationships/image" Target="media/image4.png"/><Relationship Id="rId17" Type="http://schemas.microsoft.com/office/2007/relationships/hdphoto" Target="media/hdphoto5.wdp"/><Relationship Id="rId25" Type="http://schemas.openxmlformats.org/officeDocument/2006/relationships/chart" Target="charts/chart4.xml"/><Relationship Id="rId33" Type="http://schemas.openxmlformats.org/officeDocument/2006/relationships/chart" Target="charts/chart12.xml"/><Relationship Id="rId38" Type="http://schemas.openxmlformats.org/officeDocument/2006/relationships/hyperlink" Target="https://bank.gov.ua/" TargetMode="External"/><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hyperlink" Target="https://lb.ua/blog/bogdan_danylysyn/503439_shchodo_stanu_investitsiynih_protsesiv"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0;&#1085;&#1080;&#1075;&#1072;1%20(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___&#1044;&#1086;&#1085;&#1053;&#1059;&#1045;&#1058;-2023\&#1044;&#1080;&#1087;&#1083;&#1086;&#1084;&#1085;&#1080;&#1082;&#1080;\&#1040;&#1088;&#1090;&#1091;&#1088;\&#1052;&#1086;&#1077;&#1077;&#1077;&#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Інвестиційний потенціал (млрд дол)</c:v>
                </c:pt>
              </c:strCache>
            </c:strRef>
          </c:tx>
          <c:invertIfNegative val="0"/>
          <c:cat>
            <c:strRef>
              <c:f>Лист1!$A$2:$A$11</c:f>
              <c:strCache>
                <c:ptCount val="10"/>
                <c:pt idx="0">
                  <c:v>Оборонно-промисловий комплекс</c:v>
                </c:pt>
                <c:pt idx="1">
                  <c:v>Металургія та металообробка</c:v>
                </c:pt>
                <c:pt idx="2">
                  <c:v>Енергетика</c:v>
                </c:pt>
                <c:pt idx="3">
                  <c:v>Природні ресурси</c:v>
                </c:pt>
                <c:pt idx="4">
                  <c:v>Агропромисловий комплекс</c:v>
                </c:pt>
                <c:pt idx="5">
                  <c:v>Логістика та інфраструктура</c:v>
                </c:pt>
                <c:pt idx="6">
                  <c:v>Промислове виробництво</c:v>
                </c:pt>
                <c:pt idx="7">
                  <c:v>Деревообробка та меблеве виробництво</c:v>
                </c:pt>
                <c:pt idx="8">
                  <c:v>Фармацевтика</c:v>
                </c:pt>
                <c:pt idx="9">
                  <c:v>Інноваційні технології</c:v>
                </c:pt>
              </c:strCache>
            </c:strRef>
          </c:cat>
          <c:val>
            <c:numRef>
              <c:f>Лист1!$B$2:$B$11</c:f>
              <c:numCache>
                <c:formatCode>General</c:formatCode>
                <c:ptCount val="10"/>
                <c:pt idx="0">
                  <c:v>43</c:v>
                </c:pt>
                <c:pt idx="1">
                  <c:v>26</c:v>
                </c:pt>
                <c:pt idx="2">
                  <c:v>177</c:v>
                </c:pt>
                <c:pt idx="3">
                  <c:v>5.6</c:v>
                </c:pt>
                <c:pt idx="4">
                  <c:v>34</c:v>
                </c:pt>
                <c:pt idx="5">
                  <c:v>123</c:v>
                </c:pt>
                <c:pt idx="6">
                  <c:v>16</c:v>
                </c:pt>
                <c:pt idx="7">
                  <c:v>5</c:v>
                </c:pt>
                <c:pt idx="8">
                  <c:v>19</c:v>
                </c:pt>
                <c:pt idx="9">
                  <c:v>11</c:v>
                </c:pt>
              </c:numCache>
            </c:numRef>
          </c:val>
          <c:extLst>
            <c:ext xmlns:c16="http://schemas.microsoft.com/office/drawing/2014/chart" uri="{C3380CC4-5D6E-409C-BE32-E72D297353CC}">
              <c16:uniqueId val="{00000000-5453-4E2F-8946-68659E0FA714}"/>
            </c:ext>
          </c:extLst>
        </c:ser>
        <c:dLbls>
          <c:showLegendKey val="0"/>
          <c:showVal val="0"/>
          <c:showCatName val="0"/>
          <c:showSerName val="0"/>
          <c:showPercent val="0"/>
          <c:showBubbleSize val="0"/>
        </c:dLbls>
        <c:gapWidth val="150"/>
        <c:shape val="cylinder"/>
        <c:axId val="451252224"/>
        <c:axId val="451253760"/>
        <c:axId val="0"/>
      </c:bar3DChart>
      <c:catAx>
        <c:axId val="451252224"/>
        <c:scaling>
          <c:orientation val="minMax"/>
        </c:scaling>
        <c:delete val="0"/>
        <c:axPos val="b"/>
        <c:numFmt formatCode="General" sourceLinked="0"/>
        <c:majorTickMark val="out"/>
        <c:minorTickMark val="none"/>
        <c:tickLblPos val="nextTo"/>
        <c:txPr>
          <a:bodyPr rot="-5400000" vert="horz"/>
          <a:lstStyle/>
          <a:p>
            <a:pPr>
              <a:defRPr/>
            </a:pPr>
            <a:endParaRPr lang="uk-UA"/>
          </a:p>
        </c:txPr>
        <c:crossAx val="451253760"/>
        <c:crosses val="autoZero"/>
        <c:auto val="1"/>
        <c:lblAlgn val="ctr"/>
        <c:lblOffset val="100"/>
        <c:noMultiLvlLbl val="0"/>
      </c:catAx>
      <c:valAx>
        <c:axId val="451253760"/>
        <c:scaling>
          <c:orientation val="minMax"/>
        </c:scaling>
        <c:delete val="0"/>
        <c:axPos val="l"/>
        <c:majorGridlines/>
        <c:numFmt formatCode="General" sourceLinked="1"/>
        <c:majorTickMark val="out"/>
        <c:minorTickMark val="none"/>
        <c:tickLblPos val="nextTo"/>
        <c:crossAx val="451252224"/>
        <c:crosses val="autoZero"/>
        <c:crossBetween val="between"/>
      </c:valAx>
    </c:plotArea>
    <c:legend>
      <c:legendPos val="b"/>
      <c:overlay val="0"/>
    </c:legend>
    <c:plotVisOnly val="1"/>
    <c:dispBlanksAs val="gap"/>
    <c:showDLblsOverMax val="0"/>
  </c:chart>
  <c:txPr>
    <a:bodyPr/>
    <a:lstStyle/>
    <a:p>
      <a:pPr>
        <a:defRPr sz="1200">
          <a:latin typeface="Times New Roman" pitchFamily="18" charset="0"/>
          <a:cs typeface="Times New Roman" pitchFamily="18" charset="0"/>
        </a:defRPr>
      </a:pPr>
      <a:endParaRPr lang="uk-UA"/>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bar"/>
        <c:grouping val="clustered"/>
        <c:varyColors val="0"/>
        <c:ser>
          <c:idx val="0"/>
          <c:order val="0"/>
          <c:spPr>
            <a:pattFill prst="diagBrick">
              <a:fgClr>
                <a:schemeClr val="tx1"/>
              </a:fgClr>
              <a:bgClr>
                <a:schemeClr val="bg1"/>
              </a:bgClr>
            </a:pattFill>
            <a:ln>
              <a:solidFill>
                <a:schemeClr val="tx1"/>
              </a:solidFill>
            </a:ln>
          </c:spPr>
          <c:invertIfNegative val="0"/>
          <c:cat>
            <c:strRef>
              <c:f>Лист7!$G$22:$G$31</c:f>
              <c:strCache>
                <c:ptCount val="10"/>
                <c:pt idx="0">
                  <c:v>Виробництво хімічних речовин і хімічної продукції</c:v>
                </c:pt>
                <c:pt idx="1">
                  <c:v>Операції з нерухомим майном</c:v>
                </c:pt>
                <c:pt idx="2">
                  <c:v>Постачання електроенергії, газу, пари та кондиційованого повітря </c:v>
                </c:pt>
                <c:pt idx="3">
                  <c:v>Фінансова та страхова діяльність</c:v>
                </c:pt>
                <c:pt idx="4">
                  <c:v>Оптова та роздрібна торгівля; ремонт автотранспортних засобів і мотоциклів</c:v>
                </c:pt>
                <c:pt idx="5">
                  <c:v>Металургійне виробництво, виробництво готових металевих виробів, крім виробництва машин і устатковання</c:v>
                </c:pt>
                <c:pt idx="6">
                  <c:v>Сільське, лісове та рибне господарство</c:v>
                </c:pt>
                <c:pt idx="7">
                  <c:v>Добувна промисловість і розроблення кар'єрів</c:v>
                </c:pt>
                <c:pt idx="8">
                  <c:v>Переробна промисловість</c:v>
                </c:pt>
                <c:pt idx="9">
                  <c:v>Промисловість</c:v>
                </c:pt>
              </c:strCache>
            </c:strRef>
          </c:cat>
          <c:val>
            <c:numRef>
              <c:f>Лист7!$H$22:$H$31</c:f>
              <c:numCache>
                <c:formatCode>General</c:formatCode>
                <c:ptCount val="10"/>
                <c:pt idx="0">
                  <c:v>22</c:v>
                </c:pt>
                <c:pt idx="1">
                  <c:v>23</c:v>
                </c:pt>
                <c:pt idx="2">
                  <c:v>24</c:v>
                </c:pt>
                <c:pt idx="3">
                  <c:v>25</c:v>
                </c:pt>
                <c:pt idx="4">
                  <c:v>26</c:v>
                </c:pt>
                <c:pt idx="5">
                  <c:v>27</c:v>
                </c:pt>
                <c:pt idx="6">
                  <c:v>28</c:v>
                </c:pt>
                <c:pt idx="7">
                  <c:v>29</c:v>
                </c:pt>
                <c:pt idx="8">
                  <c:v>30</c:v>
                </c:pt>
                <c:pt idx="9">
                  <c:v>31</c:v>
                </c:pt>
              </c:numCache>
            </c:numRef>
          </c:val>
          <c:extLst>
            <c:ext xmlns:c16="http://schemas.microsoft.com/office/drawing/2014/chart" uri="{C3380CC4-5D6E-409C-BE32-E72D297353CC}">
              <c16:uniqueId val="{00000000-6EE1-4FC0-A795-A6938D5AC0A9}"/>
            </c:ext>
          </c:extLst>
        </c:ser>
        <c:dLbls>
          <c:showLegendKey val="0"/>
          <c:showVal val="0"/>
          <c:showCatName val="0"/>
          <c:showSerName val="0"/>
          <c:showPercent val="0"/>
          <c:showBubbleSize val="0"/>
        </c:dLbls>
        <c:gapWidth val="150"/>
        <c:axId val="527010048"/>
        <c:axId val="527020416"/>
      </c:barChart>
      <c:catAx>
        <c:axId val="527010048"/>
        <c:scaling>
          <c:orientation val="minMax"/>
        </c:scaling>
        <c:delete val="0"/>
        <c:axPos val="l"/>
        <c:numFmt formatCode="General" sourceLinked="0"/>
        <c:majorTickMark val="out"/>
        <c:minorTickMark val="none"/>
        <c:tickLblPos val="nextTo"/>
        <c:crossAx val="527020416"/>
        <c:crosses val="autoZero"/>
        <c:auto val="1"/>
        <c:lblAlgn val="ctr"/>
        <c:lblOffset val="100"/>
        <c:noMultiLvlLbl val="0"/>
      </c:catAx>
      <c:valAx>
        <c:axId val="527020416"/>
        <c:scaling>
          <c:orientation val="minMax"/>
        </c:scaling>
        <c:delete val="0"/>
        <c:axPos val="b"/>
        <c:majorGridlines/>
        <c:numFmt formatCode="General" sourceLinked="1"/>
        <c:majorTickMark val="out"/>
        <c:minorTickMark val="none"/>
        <c:tickLblPos val="nextTo"/>
        <c:crossAx val="527010048"/>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bar"/>
        <c:grouping val="clustered"/>
        <c:varyColors val="0"/>
        <c:ser>
          <c:idx val="0"/>
          <c:order val="0"/>
          <c:spPr>
            <a:pattFill prst="pct10">
              <a:fgClr>
                <a:schemeClr val="tx1"/>
              </a:fgClr>
              <a:bgClr>
                <a:schemeClr val="bg1"/>
              </a:bgClr>
            </a:pattFill>
            <a:ln>
              <a:solidFill>
                <a:schemeClr val="tx1"/>
              </a:solidFill>
            </a:ln>
          </c:spPr>
          <c:invertIfNegative val="0"/>
          <c:cat>
            <c:strRef>
              <c:f>Лист7!$J$20:$J$29</c:f>
              <c:strCache>
                <c:ptCount val="10"/>
                <c:pt idx="0">
                  <c:v>Виробництво меблів, іншої продукції; ремонт і монтаж машин і устатковання</c:v>
                </c:pt>
                <c:pt idx="1">
                  <c:v>Машинобудування, крім ремонту і монтажу машин і устатковання</c:v>
                </c:pt>
                <c:pt idx="2">
                  <c:v>Виробництво основних фармацевтичних продуктів і фармацевтичних препаратів</c:v>
                </c:pt>
                <c:pt idx="3">
                  <c:v>Виготовлення виробів з деревини, виробництво паперу та поліграфічна діяльність</c:v>
                </c:pt>
                <c:pt idx="4">
                  <c:v>Виробництво харчових продуктів, напоїв та тютюнових виробів</c:v>
                </c:pt>
                <c:pt idx="5">
                  <c:v>Транспорт, складське господарство, поштова та кур'єрська діяльність</c:v>
                </c:pt>
                <c:pt idx="6">
                  <c:v>Сільське, лісове та рибне господарство</c:v>
                </c:pt>
                <c:pt idx="7">
                  <c:v>Інформація та телекомунікації</c:v>
                </c:pt>
                <c:pt idx="8">
                  <c:v>Оптова та роздрібна торгівля; ремонт автотранспортних засобів і мотоциклів</c:v>
                </c:pt>
                <c:pt idx="9">
                  <c:v>Фінансова та страхова діяльність</c:v>
                </c:pt>
              </c:strCache>
            </c:strRef>
          </c:cat>
          <c:val>
            <c:numRef>
              <c:f>Лист7!$K$20:$K$29</c:f>
              <c:numCache>
                <c:formatCode>_-* #,##0.0\ _г_р_н_._-;\-* #,##0.0\ _г_р_н_._-;_-* "-"??\ _г_р_н_._-;_-@_-</c:formatCode>
                <c:ptCount val="10"/>
                <c:pt idx="0">
                  <c:v>20.405549334241471</c:v>
                </c:pt>
                <c:pt idx="1">
                  <c:v>23.800124536314534</c:v>
                </c:pt>
                <c:pt idx="2">
                  <c:v>25.564984327573363</c:v>
                </c:pt>
                <c:pt idx="3">
                  <c:v>61.038742542584146</c:v>
                </c:pt>
                <c:pt idx="4">
                  <c:v>85.814718154078136</c:v>
                </c:pt>
                <c:pt idx="5">
                  <c:v>159.58263394409121</c:v>
                </c:pt>
                <c:pt idx="6">
                  <c:v>378.3125268699622</c:v>
                </c:pt>
                <c:pt idx="7">
                  <c:v>570.50001189386012</c:v>
                </c:pt>
                <c:pt idx="8">
                  <c:v>680.1118584295042</c:v>
                </c:pt>
                <c:pt idx="9">
                  <c:v>1078.898253986772</c:v>
                </c:pt>
              </c:numCache>
            </c:numRef>
          </c:val>
          <c:extLst>
            <c:ext xmlns:c16="http://schemas.microsoft.com/office/drawing/2014/chart" uri="{C3380CC4-5D6E-409C-BE32-E72D297353CC}">
              <c16:uniqueId val="{00000000-1E1F-4A69-8FC9-F308B8194ECA}"/>
            </c:ext>
          </c:extLst>
        </c:ser>
        <c:dLbls>
          <c:showLegendKey val="0"/>
          <c:showVal val="0"/>
          <c:showCatName val="0"/>
          <c:showSerName val="0"/>
          <c:showPercent val="0"/>
          <c:showBubbleSize val="0"/>
        </c:dLbls>
        <c:gapWidth val="150"/>
        <c:axId val="449855872"/>
        <c:axId val="449857408"/>
      </c:barChart>
      <c:catAx>
        <c:axId val="449855872"/>
        <c:scaling>
          <c:orientation val="minMax"/>
        </c:scaling>
        <c:delete val="0"/>
        <c:axPos val="l"/>
        <c:numFmt formatCode="General" sourceLinked="0"/>
        <c:majorTickMark val="out"/>
        <c:minorTickMark val="none"/>
        <c:tickLblPos val="nextTo"/>
        <c:crossAx val="449857408"/>
        <c:crosses val="autoZero"/>
        <c:auto val="1"/>
        <c:lblAlgn val="ctr"/>
        <c:lblOffset val="100"/>
        <c:noMultiLvlLbl val="0"/>
      </c:catAx>
      <c:valAx>
        <c:axId val="449857408"/>
        <c:scaling>
          <c:orientation val="minMax"/>
        </c:scaling>
        <c:delete val="0"/>
        <c:axPos val="b"/>
        <c:majorGridlines/>
        <c:numFmt formatCode="_-* #,##0.0\ _г_р_н_._-;\-* #,##0.0\ _г_р_н_._-;_-* &quot;-&quot;??\ _г_р_н_._-;_-@_-" sourceLinked="1"/>
        <c:majorTickMark val="out"/>
        <c:minorTickMark val="none"/>
        <c:tickLblPos val="nextTo"/>
        <c:crossAx val="449855872"/>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Лист4!$B$7</c:f>
              <c:strCache>
                <c:ptCount val="1"/>
                <c:pt idx="0">
                  <c:v>Активи</c:v>
                </c:pt>
              </c:strCache>
            </c:strRef>
          </c:tx>
          <c:spPr>
            <a:pattFill prst="wdDnDiag">
              <a:fgClr>
                <a:schemeClr val="tx1"/>
              </a:fgClr>
              <a:bgClr>
                <a:schemeClr val="bg1"/>
              </a:bgClr>
            </a:pattFill>
            <a:ln>
              <a:solidFill>
                <a:schemeClr val="tx1"/>
              </a:solidFill>
            </a:ln>
          </c:spPr>
          <c:invertIfNegative val="0"/>
          <c:trendline>
            <c:trendlineType val="linear"/>
            <c:forward val="2"/>
            <c:dispRSqr val="1"/>
            <c:dispEq val="1"/>
            <c:trendlineLbl>
              <c:layout>
                <c:manualLayout>
                  <c:x val="0.3936541300284887"/>
                  <c:y val="0.57340567851062663"/>
                </c:manualLayout>
              </c:layout>
              <c:numFmt formatCode="General" sourceLinked="0"/>
            </c:trendlineLbl>
          </c:trendline>
          <c:cat>
            <c:numRef>
              <c:f>Лист4!$C$6:$K$6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Лист4!$C$7:$K$7</c:f>
              <c:numCache>
                <c:formatCode>_-* #,##0_₴_-;\-* #,##0_₴_-;_-* "-"??_₴_-;_-@_-</c:formatCode>
                <c:ptCount val="9"/>
                <c:pt idx="0">
                  <c:v>120930</c:v>
                </c:pt>
                <c:pt idx="1">
                  <c:v>120049</c:v>
                </c:pt>
                <c:pt idx="2">
                  <c:v>119599</c:v>
                </c:pt>
                <c:pt idx="3">
                  <c:v>124629</c:v>
                </c:pt>
                <c:pt idx="4">
                  <c:v>128788</c:v>
                </c:pt>
                <c:pt idx="5">
                  <c:v>140853</c:v>
                </c:pt>
                <c:pt idx="6">
                  <c:v>149762</c:v>
                </c:pt>
                <c:pt idx="7">
                  <c:v>159099</c:v>
                </c:pt>
                <c:pt idx="8">
                  <c:v>168174</c:v>
                </c:pt>
              </c:numCache>
            </c:numRef>
          </c:val>
          <c:extLst>
            <c:ext xmlns:c16="http://schemas.microsoft.com/office/drawing/2014/chart" uri="{C3380CC4-5D6E-409C-BE32-E72D297353CC}">
              <c16:uniqueId val="{00000001-C128-4DBD-9EB2-C8EA6FDC743B}"/>
            </c:ext>
          </c:extLst>
        </c:ser>
        <c:ser>
          <c:idx val="1"/>
          <c:order val="1"/>
          <c:tx>
            <c:strRef>
              <c:f>Лист4!$B$8</c:f>
              <c:strCache>
                <c:ptCount val="1"/>
                <c:pt idx="0">
                  <c:v>Пасиви</c:v>
                </c:pt>
              </c:strCache>
            </c:strRef>
          </c:tx>
          <c:invertIfNegative val="0"/>
          <c:trendline>
            <c:trendlineType val="linear"/>
            <c:forward val="2"/>
            <c:dispRSqr val="1"/>
            <c:dispEq val="1"/>
            <c:trendlineLbl>
              <c:layout>
                <c:manualLayout>
                  <c:x val="0.34352812290300083"/>
                  <c:y val="0.70297061892470758"/>
                </c:manualLayout>
              </c:layout>
              <c:numFmt formatCode="General" sourceLinked="0"/>
            </c:trendlineLbl>
          </c:trendline>
          <c:cat>
            <c:numRef>
              <c:f>Лист4!$C$6:$K$6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Лист4!$C$8:$K$8</c:f>
              <c:numCache>
                <c:formatCode>_-* #,##0_₴_-;\-* #,##0_₴_-;_-* "-"??_₴_-;_-@_-</c:formatCode>
                <c:ptCount val="9"/>
                <c:pt idx="0">
                  <c:v>170920</c:v>
                </c:pt>
                <c:pt idx="1">
                  <c:v>158101</c:v>
                </c:pt>
                <c:pt idx="2">
                  <c:v>154502</c:v>
                </c:pt>
                <c:pt idx="3">
                  <c:v>156905</c:v>
                </c:pt>
                <c:pt idx="4">
                  <c:v>155226</c:v>
                </c:pt>
                <c:pt idx="5">
                  <c:v>168580</c:v>
                </c:pt>
                <c:pt idx="6">
                  <c:v>171665</c:v>
                </c:pt>
                <c:pt idx="7">
                  <c:v>185293</c:v>
                </c:pt>
                <c:pt idx="8">
                  <c:v>170980</c:v>
                </c:pt>
              </c:numCache>
            </c:numRef>
          </c:val>
          <c:extLst>
            <c:ext xmlns:c16="http://schemas.microsoft.com/office/drawing/2014/chart" uri="{C3380CC4-5D6E-409C-BE32-E72D297353CC}">
              <c16:uniqueId val="{00000003-C128-4DBD-9EB2-C8EA6FDC743B}"/>
            </c:ext>
          </c:extLst>
        </c:ser>
        <c:ser>
          <c:idx val="2"/>
          <c:order val="2"/>
          <c:tx>
            <c:strRef>
              <c:f>Лист4!$B$9</c:f>
              <c:strCache>
                <c:ptCount val="1"/>
                <c:pt idx="0">
                  <c:v>Чиста позиція</c:v>
                </c:pt>
              </c:strCache>
            </c:strRef>
          </c:tx>
          <c:invertIfNegative val="0"/>
          <c:trendline>
            <c:trendlineType val="linear"/>
            <c:forward val="2"/>
            <c:dispRSqr val="1"/>
            <c:dispEq val="1"/>
            <c:trendlineLbl>
              <c:layout>
                <c:manualLayout>
                  <c:x val="0.31704033516467633"/>
                  <c:y val="0.27873073754736671"/>
                </c:manualLayout>
              </c:layout>
              <c:numFmt formatCode="General" sourceLinked="0"/>
            </c:trendlineLbl>
          </c:trendline>
          <c:cat>
            <c:numRef>
              <c:f>Лист4!$C$6:$K$6</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Лист4!$C$9:$K$9</c:f>
              <c:numCache>
                <c:formatCode>_-* #,##0_₴_-;\-* #,##0_₴_-;_-* "-"??_₴_-;_-@_-</c:formatCode>
                <c:ptCount val="9"/>
                <c:pt idx="0">
                  <c:v>-49990</c:v>
                </c:pt>
                <c:pt idx="1">
                  <c:v>-38052</c:v>
                </c:pt>
                <c:pt idx="2">
                  <c:v>-34903</c:v>
                </c:pt>
                <c:pt idx="3">
                  <c:v>-32276</c:v>
                </c:pt>
                <c:pt idx="4">
                  <c:v>-26437.999999999996</c:v>
                </c:pt>
                <c:pt idx="5">
                  <c:v>-27727</c:v>
                </c:pt>
                <c:pt idx="6">
                  <c:v>-21902.999999999996</c:v>
                </c:pt>
                <c:pt idx="7">
                  <c:v>-26194</c:v>
                </c:pt>
                <c:pt idx="8">
                  <c:v>-2806</c:v>
                </c:pt>
              </c:numCache>
            </c:numRef>
          </c:val>
          <c:extLst>
            <c:ext xmlns:c16="http://schemas.microsoft.com/office/drawing/2014/chart" uri="{C3380CC4-5D6E-409C-BE32-E72D297353CC}">
              <c16:uniqueId val="{00000005-C128-4DBD-9EB2-C8EA6FDC743B}"/>
            </c:ext>
          </c:extLst>
        </c:ser>
        <c:dLbls>
          <c:showLegendKey val="0"/>
          <c:showVal val="0"/>
          <c:showCatName val="0"/>
          <c:showSerName val="0"/>
          <c:showPercent val="0"/>
          <c:showBubbleSize val="0"/>
        </c:dLbls>
        <c:gapWidth val="150"/>
        <c:axId val="450921600"/>
        <c:axId val="450923136"/>
      </c:barChart>
      <c:catAx>
        <c:axId val="450921600"/>
        <c:scaling>
          <c:orientation val="minMax"/>
        </c:scaling>
        <c:delete val="0"/>
        <c:axPos val="b"/>
        <c:numFmt formatCode="General" sourceLinked="1"/>
        <c:majorTickMark val="out"/>
        <c:minorTickMark val="none"/>
        <c:tickLblPos val="nextTo"/>
        <c:crossAx val="450923136"/>
        <c:crosses val="autoZero"/>
        <c:auto val="1"/>
        <c:lblAlgn val="ctr"/>
        <c:lblOffset val="100"/>
        <c:noMultiLvlLbl val="0"/>
      </c:catAx>
      <c:valAx>
        <c:axId val="450923136"/>
        <c:scaling>
          <c:orientation val="minMax"/>
        </c:scaling>
        <c:delete val="0"/>
        <c:axPos val="l"/>
        <c:majorGridlines/>
        <c:numFmt formatCode="_-* #,##0_₴_-;\-* #,##0_₴_-;_-* &quot;-&quot;??_₴_-;_-@_-" sourceLinked="1"/>
        <c:majorTickMark val="out"/>
        <c:minorTickMark val="none"/>
        <c:tickLblPos val="nextTo"/>
        <c:crossAx val="450921600"/>
        <c:crosses val="autoZero"/>
        <c:crossBetween val="between"/>
      </c:valAx>
    </c:plotArea>
    <c:legend>
      <c:legendPos val="r"/>
      <c:layout>
        <c:manualLayout>
          <c:xMode val="edge"/>
          <c:yMode val="edge"/>
          <c:x val="0.65647100652130852"/>
          <c:y val="8.1648808016432414E-2"/>
          <c:w val="0.3325249167468467"/>
          <c:h val="0.86595592580086955"/>
        </c:manualLayout>
      </c:layout>
      <c:overlay val="0"/>
    </c:legend>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barChart>
        <c:barDir val="col"/>
        <c:grouping val="clustered"/>
        <c:varyColors val="0"/>
        <c:ser>
          <c:idx val="0"/>
          <c:order val="0"/>
          <c:tx>
            <c:strRef>
              <c:f>Лист8!$B$17</c:f>
              <c:strCache>
                <c:ptCount val="1"/>
                <c:pt idx="0">
                  <c:v>Прямі інвестиції</c:v>
                </c:pt>
              </c:strCache>
            </c:strRef>
          </c:tx>
          <c:spPr>
            <a:pattFill prst="wdUpDiag">
              <a:fgClr>
                <a:schemeClr val="tx1"/>
              </a:fgClr>
              <a:bgClr>
                <a:schemeClr val="bg1"/>
              </a:bgClr>
            </a:pattFill>
            <a:ln>
              <a:solidFill>
                <a:schemeClr val="tx1"/>
              </a:solidFill>
            </a:ln>
          </c:spPr>
          <c:invertIfNegative val="0"/>
          <c:trendline>
            <c:trendlineType val="linear"/>
            <c:forward val="2"/>
            <c:dispRSqr val="1"/>
            <c:dispEq val="1"/>
            <c:trendlineLbl>
              <c:layout>
                <c:manualLayout>
                  <c:x val="0.28703056447840924"/>
                  <c:y val="0.15148252852155678"/>
                </c:manualLayout>
              </c:layout>
              <c:numFmt formatCode="General" sourceLinked="0"/>
            </c:trendlineLbl>
          </c:trendline>
          <c:cat>
            <c:numRef>
              <c:f>Лист8!$C$16:$J$16</c:f>
              <c:numCache>
                <c:formatCode>General</c:formatCode>
                <c:ptCount val="8"/>
                <c:pt idx="0">
                  <c:v>2015</c:v>
                </c:pt>
                <c:pt idx="1">
                  <c:v>2016</c:v>
                </c:pt>
                <c:pt idx="2">
                  <c:v>2017</c:v>
                </c:pt>
                <c:pt idx="3">
                  <c:v>2018</c:v>
                </c:pt>
                <c:pt idx="4">
                  <c:v>2019</c:v>
                </c:pt>
                <c:pt idx="5">
                  <c:v>2020</c:v>
                </c:pt>
                <c:pt idx="6">
                  <c:v>2021</c:v>
                </c:pt>
                <c:pt idx="7">
                  <c:v>2022</c:v>
                </c:pt>
              </c:numCache>
            </c:numRef>
          </c:cat>
          <c:val>
            <c:numRef>
              <c:f>Лист8!$C$17:$J$17</c:f>
              <c:numCache>
                <c:formatCode>0.0</c:formatCode>
                <c:ptCount val="8"/>
                <c:pt idx="0">
                  <c:v>-330.95166376287466</c:v>
                </c:pt>
                <c:pt idx="1">
                  <c:v>4055.4255065506891</c:v>
                </c:pt>
                <c:pt idx="2">
                  <c:v>3726.9033281132934</c:v>
                </c:pt>
                <c:pt idx="3">
                  <c:v>4732.1541083976981</c:v>
                </c:pt>
                <c:pt idx="4">
                  <c:v>6017.4345328571681</c:v>
                </c:pt>
                <c:pt idx="5">
                  <c:v>-36.012797457564375</c:v>
                </c:pt>
                <c:pt idx="6">
                  <c:v>7319.955578929138</c:v>
                </c:pt>
                <c:pt idx="7">
                  <c:v>556.94837318880502</c:v>
                </c:pt>
              </c:numCache>
            </c:numRef>
          </c:val>
          <c:extLst>
            <c:ext xmlns:c16="http://schemas.microsoft.com/office/drawing/2014/chart" uri="{C3380CC4-5D6E-409C-BE32-E72D297353CC}">
              <c16:uniqueId val="{00000001-1656-4D97-A096-C0DCCA230E89}"/>
            </c:ext>
          </c:extLst>
        </c:ser>
        <c:ser>
          <c:idx val="1"/>
          <c:order val="1"/>
          <c:tx>
            <c:strRef>
              <c:f>Лист8!$B$18</c:f>
              <c:strCache>
                <c:ptCount val="1"/>
                <c:pt idx="0">
                  <c:v>Інструменти участі в капіталі </c:v>
                </c:pt>
              </c:strCache>
            </c:strRef>
          </c:tx>
          <c:invertIfNegative val="0"/>
          <c:trendline>
            <c:trendlineType val="linear"/>
            <c:forward val="2"/>
            <c:dispRSqr val="1"/>
            <c:dispEq val="1"/>
            <c:trendlineLbl>
              <c:layout>
                <c:manualLayout>
                  <c:x val="0.29473279757556081"/>
                  <c:y val="0.33849149706777354"/>
                </c:manualLayout>
              </c:layout>
              <c:numFmt formatCode="General" sourceLinked="0"/>
            </c:trendlineLbl>
          </c:trendline>
          <c:cat>
            <c:numRef>
              <c:f>Лист8!$C$16:$J$16</c:f>
              <c:numCache>
                <c:formatCode>General</c:formatCode>
                <c:ptCount val="8"/>
                <c:pt idx="0">
                  <c:v>2015</c:v>
                </c:pt>
                <c:pt idx="1">
                  <c:v>2016</c:v>
                </c:pt>
                <c:pt idx="2">
                  <c:v>2017</c:v>
                </c:pt>
                <c:pt idx="3">
                  <c:v>2018</c:v>
                </c:pt>
                <c:pt idx="4">
                  <c:v>2019</c:v>
                </c:pt>
                <c:pt idx="5">
                  <c:v>2020</c:v>
                </c:pt>
                <c:pt idx="6">
                  <c:v>2021</c:v>
                </c:pt>
                <c:pt idx="7">
                  <c:v>2022</c:v>
                </c:pt>
              </c:numCache>
            </c:numRef>
          </c:cat>
          <c:val>
            <c:numRef>
              <c:f>Лист8!$C$18:$J$18</c:f>
              <c:numCache>
                <c:formatCode>0.0</c:formatCode>
                <c:ptCount val="8"/>
                <c:pt idx="0">
                  <c:v>584.37824475326079</c:v>
                </c:pt>
                <c:pt idx="1">
                  <c:v>4076.4</c:v>
                </c:pt>
                <c:pt idx="2">
                  <c:v>3024.9</c:v>
                </c:pt>
                <c:pt idx="3">
                  <c:v>4068.9663534825477</c:v>
                </c:pt>
                <c:pt idx="4">
                  <c:v>4909.1180328571681</c:v>
                </c:pt>
                <c:pt idx="5">
                  <c:v>272.3764021314264</c:v>
                </c:pt>
                <c:pt idx="6">
                  <c:v>6135.0532283153843</c:v>
                </c:pt>
                <c:pt idx="7">
                  <c:v>788.34270086646961</c:v>
                </c:pt>
              </c:numCache>
            </c:numRef>
          </c:val>
          <c:extLst>
            <c:ext xmlns:c16="http://schemas.microsoft.com/office/drawing/2014/chart" uri="{C3380CC4-5D6E-409C-BE32-E72D297353CC}">
              <c16:uniqueId val="{00000003-1656-4D97-A096-C0DCCA230E89}"/>
            </c:ext>
          </c:extLst>
        </c:ser>
        <c:ser>
          <c:idx val="2"/>
          <c:order val="2"/>
          <c:tx>
            <c:strRef>
              <c:f>Лист8!$B$19</c:f>
              <c:strCache>
                <c:ptCount val="1"/>
                <c:pt idx="0">
                  <c:v>Інструменти участі в капіталі</c:v>
                </c:pt>
              </c:strCache>
            </c:strRef>
          </c:tx>
          <c:spPr>
            <a:pattFill prst="pct10">
              <a:fgClr>
                <a:schemeClr val="tx1"/>
              </a:fgClr>
              <a:bgClr>
                <a:schemeClr val="bg1"/>
              </a:bgClr>
            </a:pattFill>
            <a:ln>
              <a:solidFill>
                <a:schemeClr val="tx1"/>
              </a:solidFill>
            </a:ln>
          </c:spPr>
          <c:invertIfNegative val="0"/>
          <c:trendline>
            <c:trendlineType val="linear"/>
            <c:forward val="2"/>
            <c:dispRSqr val="1"/>
            <c:dispEq val="1"/>
            <c:trendlineLbl>
              <c:layout>
                <c:manualLayout>
                  <c:x val="0.28291597570922189"/>
                  <c:y val="0.13440091308477137"/>
                </c:manualLayout>
              </c:layout>
              <c:numFmt formatCode="General" sourceLinked="0"/>
            </c:trendlineLbl>
          </c:trendline>
          <c:cat>
            <c:numRef>
              <c:f>Лист8!$C$16:$J$16</c:f>
              <c:numCache>
                <c:formatCode>General</c:formatCode>
                <c:ptCount val="8"/>
                <c:pt idx="0">
                  <c:v>2015</c:v>
                </c:pt>
                <c:pt idx="1">
                  <c:v>2016</c:v>
                </c:pt>
                <c:pt idx="2">
                  <c:v>2017</c:v>
                </c:pt>
                <c:pt idx="3">
                  <c:v>2018</c:v>
                </c:pt>
                <c:pt idx="4">
                  <c:v>2019</c:v>
                </c:pt>
                <c:pt idx="5">
                  <c:v>2020</c:v>
                </c:pt>
                <c:pt idx="6">
                  <c:v>2021</c:v>
                </c:pt>
                <c:pt idx="7">
                  <c:v>2022</c:v>
                </c:pt>
              </c:numCache>
            </c:numRef>
          </c:cat>
          <c:val>
            <c:numRef>
              <c:f>Лист8!$C$19:$J$19</c:f>
              <c:numCache>
                <c:formatCode>0.0</c:formatCode>
                <c:ptCount val="8"/>
                <c:pt idx="0">
                  <c:v>4002.9999999999991</c:v>
                </c:pt>
                <c:pt idx="1">
                  <c:v>3550</c:v>
                </c:pt>
                <c:pt idx="2">
                  <c:v>1535.0000000000009</c:v>
                </c:pt>
                <c:pt idx="3">
                  <c:v>1472</c:v>
                </c:pt>
                <c:pt idx="4">
                  <c:v>1658.7750999999998</c:v>
                </c:pt>
                <c:pt idx="5">
                  <c:v>760.09047195950347</c:v>
                </c:pt>
                <c:pt idx="6">
                  <c:v>1185.6805547952483</c:v>
                </c:pt>
                <c:pt idx="7">
                  <c:v>460.91274698758616</c:v>
                </c:pt>
              </c:numCache>
            </c:numRef>
          </c:val>
          <c:extLst>
            <c:ext xmlns:c16="http://schemas.microsoft.com/office/drawing/2014/chart" uri="{C3380CC4-5D6E-409C-BE32-E72D297353CC}">
              <c16:uniqueId val="{00000005-1656-4D97-A096-C0DCCA230E89}"/>
            </c:ext>
          </c:extLst>
        </c:ser>
        <c:ser>
          <c:idx val="3"/>
          <c:order val="3"/>
          <c:tx>
            <c:strRef>
              <c:f>Лист8!$B$20</c:f>
              <c:strCache>
                <c:ptCount val="1"/>
                <c:pt idx="0">
                  <c:v>Боргові інструменти</c:v>
                </c:pt>
              </c:strCache>
            </c:strRef>
          </c:tx>
          <c:invertIfNegative val="0"/>
          <c:trendline>
            <c:trendlineType val="linear"/>
            <c:forward val="2"/>
            <c:dispRSqr val="1"/>
            <c:dispEq val="1"/>
            <c:trendlineLbl>
              <c:layout>
                <c:manualLayout>
                  <c:x val="0.25531123042609366"/>
                  <c:y val="0.27526580727098365"/>
                </c:manualLayout>
              </c:layout>
              <c:numFmt formatCode="General" sourceLinked="0"/>
            </c:trendlineLbl>
          </c:trendline>
          <c:cat>
            <c:numRef>
              <c:f>Лист8!$C$16:$J$16</c:f>
              <c:numCache>
                <c:formatCode>General</c:formatCode>
                <c:ptCount val="8"/>
                <c:pt idx="0">
                  <c:v>2015</c:v>
                </c:pt>
                <c:pt idx="1">
                  <c:v>2016</c:v>
                </c:pt>
                <c:pt idx="2">
                  <c:v>2017</c:v>
                </c:pt>
                <c:pt idx="3">
                  <c:v>2018</c:v>
                </c:pt>
                <c:pt idx="4">
                  <c:v>2019</c:v>
                </c:pt>
                <c:pt idx="5">
                  <c:v>2020</c:v>
                </c:pt>
                <c:pt idx="6">
                  <c:v>2021</c:v>
                </c:pt>
                <c:pt idx="7">
                  <c:v>2022</c:v>
                </c:pt>
              </c:numCache>
            </c:numRef>
          </c:cat>
          <c:val>
            <c:numRef>
              <c:f>Лист8!$C$20:$J$20</c:f>
              <c:numCache>
                <c:formatCode>0.0</c:formatCode>
                <c:ptCount val="8"/>
                <c:pt idx="0">
                  <c:v>-3418.6217552467401</c:v>
                </c:pt>
                <c:pt idx="1">
                  <c:v>526.4</c:v>
                </c:pt>
                <c:pt idx="2">
                  <c:v>1489.9</c:v>
                </c:pt>
                <c:pt idx="3">
                  <c:v>2596.9663534825486</c:v>
                </c:pt>
                <c:pt idx="4">
                  <c:v>3250.3429328571674</c:v>
                </c:pt>
                <c:pt idx="5">
                  <c:v>-487.71406982807707</c:v>
                </c:pt>
                <c:pt idx="6">
                  <c:v>4949.3726735201362</c:v>
                </c:pt>
                <c:pt idx="7">
                  <c:v>327.42995387888345</c:v>
                </c:pt>
              </c:numCache>
            </c:numRef>
          </c:val>
          <c:extLst>
            <c:ext xmlns:c16="http://schemas.microsoft.com/office/drawing/2014/chart" uri="{C3380CC4-5D6E-409C-BE32-E72D297353CC}">
              <c16:uniqueId val="{00000007-1656-4D97-A096-C0DCCA230E89}"/>
            </c:ext>
          </c:extLst>
        </c:ser>
        <c:dLbls>
          <c:showLegendKey val="0"/>
          <c:showVal val="0"/>
          <c:showCatName val="0"/>
          <c:showSerName val="0"/>
          <c:showPercent val="0"/>
          <c:showBubbleSize val="0"/>
        </c:dLbls>
        <c:gapWidth val="150"/>
        <c:axId val="451944448"/>
        <c:axId val="451945984"/>
      </c:barChart>
      <c:catAx>
        <c:axId val="451944448"/>
        <c:scaling>
          <c:orientation val="minMax"/>
        </c:scaling>
        <c:delete val="0"/>
        <c:axPos val="b"/>
        <c:numFmt formatCode="General" sourceLinked="1"/>
        <c:majorTickMark val="out"/>
        <c:minorTickMark val="none"/>
        <c:tickLblPos val="nextTo"/>
        <c:crossAx val="451945984"/>
        <c:crosses val="autoZero"/>
        <c:auto val="1"/>
        <c:lblAlgn val="ctr"/>
        <c:lblOffset val="100"/>
        <c:noMultiLvlLbl val="0"/>
      </c:catAx>
      <c:valAx>
        <c:axId val="451945984"/>
        <c:scaling>
          <c:orientation val="minMax"/>
        </c:scaling>
        <c:delete val="0"/>
        <c:axPos val="l"/>
        <c:majorGridlines/>
        <c:numFmt formatCode="0.0" sourceLinked="1"/>
        <c:majorTickMark val="out"/>
        <c:minorTickMark val="none"/>
        <c:tickLblPos val="nextTo"/>
        <c:crossAx val="451944448"/>
        <c:crosses val="autoZero"/>
        <c:crossBetween val="between"/>
      </c:valAx>
    </c:plotArea>
    <c:legend>
      <c:legendPos val="r"/>
      <c:layout>
        <c:manualLayout>
          <c:xMode val="edge"/>
          <c:yMode val="edge"/>
          <c:x val="0.61738595867713031"/>
          <c:y val="1.1754134328612269E-4"/>
          <c:w val="0.38058922230085207"/>
          <c:h val="0.98506239456442957"/>
        </c:manualLayout>
      </c:layout>
      <c:overlay val="0"/>
    </c:legend>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6.695806174304926E-2"/>
          <c:y val="2.9659585661745272E-2"/>
          <c:w val="0.86713574101858404"/>
          <c:h val="0.92041783286303325"/>
        </c:manualLayout>
      </c:layout>
      <c:barChart>
        <c:barDir val="bar"/>
        <c:grouping val="clustered"/>
        <c:varyColors val="0"/>
        <c:ser>
          <c:idx val="0"/>
          <c:order val="0"/>
          <c:spPr>
            <a:pattFill prst="pct25">
              <a:fgClr>
                <a:schemeClr val="tx1"/>
              </a:fgClr>
              <a:bgClr>
                <a:schemeClr val="bg1"/>
              </a:bgClr>
            </a:pattFill>
            <a:ln>
              <a:solidFill>
                <a:schemeClr val="tx1"/>
              </a:solidFill>
            </a:ln>
          </c:spPr>
          <c:invertIfNegative val="0"/>
          <c:cat>
            <c:strRef>
              <c:f>Лист1!$G$1:$G$25</c:f>
              <c:strCache>
                <c:ptCount val="25"/>
                <c:pt idx="0">
                  <c:v>Дніпропетровська</c:v>
                </c:pt>
                <c:pt idx="1">
                  <c:v>Луганська</c:v>
                </c:pt>
                <c:pt idx="2">
                  <c:v>Донецька</c:v>
                </c:pt>
                <c:pt idx="3">
                  <c:v>Івано-Франківська</c:v>
                </c:pt>
                <c:pt idx="4">
                  <c:v>Рівненська</c:v>
                </c:pt>
                <c:pt idx="5">
                  <c:v>Запорізька</c:v>
                </c:pt>
                <c:pt idx="6">
                  <c:v>Черкаська</c:v>
                </c:pt>
                <c:pt idx="7">
                  <c:v>Вінницька</c:v>
                </c:pt>
                <c:pt idx="8">
                  <c:v>Київська</c:v>
                </c:pt>
                <c:pt idx="9">
                  <c:v>Сумська</c:v>
                </c:pt>
                <c:pt idx="10">
                  <c:v>Львівська</c:v>
                </c:pt>
                <c:pt idx="11">
                  <c:v>Житомирська</c:v>
                </c:pt>
                <c:pt idx="12">
                  <c:v>Чернівецька</c:v>
                </c:pt>
                <c:pt idx="13">
                  <c:v>Кіровоградська</c:v>
                </c:pt>
                <c:pt idx="14">
                  <c:v>Херсонська</c:v>
                </c:pt>
                <c:pt idx="15">
                  <c:v>Тернопільська</c:v>
                </c:pt>
                <c:pt idx="16">
                  <c:v>Закарпатська</c:v>
                </c:pt>
                <c:pt idx="17">
                  <c:v>Волинська</c:v>
                </c:pt>
                <c:pt idx="18">
                  <c:v>Хмельницька</c:v>
                </c:pt>
                <c:pt idx="19">
                  <c:v>Одеська</c:v>
                </c:pt>
                <c:pt idx="20">
                  <c:v>Чернігівська</c:v>
                </c:pt>
                <c:pt idx="21">
                  <c:v>Харківська</c:v>
                </c:pt>
                <c:pt idx="22">
                  <c:v>Миколаївська</c:v>
                </c:pt>
                <c:pt idx="23">
                  <c:v>м. Київ</c:v>
                </c:pt>
                <c:pt idx="24">
                  <c:v>Полтавська</c:v>
                </c:pt>
              </c:strCache>
            </c:strRef>
          </c:cat>
          <c:val>
            <c:numRef>
              <c:f>Лист1!$H$1:$H$25</c:f>
              <c:numCache>
                <c:formatCode>_-* #,##0.0\ _г_р_н_._-;\-* #,##0.0\ _г_р_н_._-;_-* "-"??\ _г_р_н_._-;_-@_-</c:formatCode>
                <c:ptCount val="25"/>
                <c:pt idx="0">
                  <c:v>-617.54221859083475</c:v>
                </c:pt>
                <c:pt idx="1">
                  <c:v>-383.32156610070939</c:v>
                </c:pt>
                <c:pt idx="2">
                  <c:v>-297.02915825858736</c:v>
                </c:pt>
                <c:pt idx="3">
                  <c:v>-199.61058639058842</c:v>
                </c:pt>
                <c:pt idx="4">
                  <c:v>-122.75742336916011</c:v>
                </c:pt>
                <c:pt idx="5">
                  <c:v>-102.91571815340473</c:v>
                </c:pt>
                <c:pt idx="6">
                  <c:v>-99.833131456713915</c:v>
                </c:pt>
                <c:pt idx="7">
                  <c:v>-90.662927711161274</c:v>
                </c:pt>
                <c:pt idx="8">
                  <c:v>-87.623111888484857</c:v>
                </c:pt>
                <c:pt idx="9">
                  <c:v>-59.465668248784858</c:v>
                </c:pt>
                <c:pt idx="10">
                  <c:v>-56.843800432009147</c:v>
                </c:pt>
                <c:pt idx="11">
                  <c:v>3.2169068699672216</c:v>
                </c:pt>
                <c:pt idx="12">
                  <c:v>7.0575549329437575</c:v>
                </c:pt>
                <c:pt idx="13">
                  <c:v>10.618272737033424</c:v>
                </c:pt>
                <c:pt idx="14">
                  <c:v>21.530379944061188</c:v>
                </c:pt>
                <c:pt idx="15">
                  <c:v>24.253316818591532</c:v>
                </c:pt>
                <c:pt idx="16">
                  <c:v>33.79193664943778</c:v>
                </c:pt>
                <c:pt idx="17">
                  <c:v>50.341214074653806</c:v>
                </c:pt>
                <c:pt idx="18">
                  <c:v>70.082767937721627</c:v>
                </c:pt>
                <c:pt idx="19">
                  <c:v>119.6274403673664</c:v>
                </c:pt>
                <c:pt idx="20">
                  <c:v>122.77012209668985</c:v>
                </c:pt>
                <c:pt idx="21">
                  <c:v>123.54212075419051</c:v>
                </c:pt>
                <c:pt idx="22">
                  <c:v>272.87656550206179</c:v>
                </c:pt>
                <c:pt idx="23">
                  <c:v>568.77006118423378</c:v>
                </c:pt>
                <c:pt idx="24">
                  <c:v>573.00412742635763</c:v>
                </c:pt>
              </c:numCache>
            </c:numRef>
          </c:val>
          <c:extLst>
            <c:ext xmlns:c16="http://schemas.microsoft.com/office/drawing/2014/chart" uri="{C3380CC4-5D6E-409C-BE32-E72D297353CC}">
              <c16:uniqueId val="{00000000-A450-475D-B95B-2AA44798F950}"/>
            </c:ext>
          </c:extLst>
        </c:ser>
        <c:dLbls>
          <c:showLegendKey val="0"/>
          <c:showVal val="0"/>
          <c:showCatName val="0"/>
          <c:showSerName val="0"/>
          <c:showPercent val="0"/>
          <c:showBubbleSize val="0"/>
        </c:dLbls>
        <c:gapWidth val="150"/>
        <c:axId val="452027904"/>
        <c:axId val="452029824"/>
      </c:barChart>
      <c:catAx>
        <c:axId val="452027904"/>
        <c:scaling>
          <c:orientation val="minMax"/>
        </c:scaling>
        <c:delete val="0"/>
        <c:axPos val="l"/>
        <c:numFmt formatCode="General" sourceLinked="0"/>
        <c:majorTickMark val="out"/>
        <c:minorTickMark val="none"/>
        <c:tickLblPos val="nextTo"/>
        <c:crossAx val="452029824"/>
        <c:crosses val="autoZero"/>
        <c:auto val="1"/>
        <c:lblAlgn val="ctr"/>
        <c:lblOffset val="100"/>
        <c:noMultiLvlLbl val="0"/>
      </c:catAx>
      <c:valAx>
        <c:axId val="452029824"/>
        <c:scaling>
          <c:orientation val="minMax"/>
          <c:max val="600"/>
          <c:min val="-700"/>
        </c:scaling>
        <c:delete val="0"/>
        <c:axPos val="b"/>
        <c:majorGridlines/>
        <c:numFmt formatCode="_-* #,##0.0\ _г_р_н_._-;\-* #,##0.0\ _г_р_н_._-;_-* &quot;-&quot;??\ _г_р_н_._-;_-@_-" sourceLinked="1"/>
        <c:majorTickMark val="out"/>
        <c:minorTickMark val="none"/>
        <c:tickLblPos val="nextTo"/>
        <c:crossAx val="452027904"/>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2"/>
    </mc:Choice>
    <mc:Fallback>
      <c:style val="22"/>
    </mc:Fallback>
  </mc:AlternateContent>
  <c:chart>
    <c:autoTitleDeleted val="0"/>
    <c:plotArea>
      <c:layout>
        <c:manualLayout>
          <c:layoutTarget val="inner"/>
          <c:xMode val="edge"/>
          <c:yMode val="edge"/>
          <c:x val="0.16429913806413143"/>
          <c:y val="2.9540111009072854E-2"/>
          <c:w val="0.75524109182092602"/>
          <c:h val="0.90999654695767518"/>
        </c:manualLayout>
      </c:layout>
      <c:barChart>
        <c:barDir val="bar"/>
        <c:grouping val="clustered"/>
        <c:varyColors val="0"/>
        <c:ser>
          <c:idx val="0"/>
          <c:order val="0"/>
          <c:spPr>
            <a:pattFill prst="wdUpDiag">
              <a:fgClr>
                <a:schemeClr val="tx1"/>
              </a:fgClr>
              <a:bgClr>
                <a:schemeClr val="bg1"/>
              </a:bgClr>
            </a:pattFill>
            <a:ln>
              <a:solidFill>
                <a:schemeClr val="tx1"/>
              </a:solidFill>
            </a:ln>
          </c:spPr>
          <c:invertIfNegative val="0"/>
          <c:cat>
            <c:strRef>
              <c:f>Лист1!$I$1:$I$25</c:f>
              <c:strCache>
                <c:ptCount val="25"/>
                <c:pt idx="0">
                  <c:v>Сумська</c:v>
                </c:pt>
                <c:pt idx="1">
                  <c:v>Луганська</c:v>
                </c:pt>
                <c:pt idx="2">
                  <c:v>Чернівецька</c:v>
                </c:pt>
                <c:pt idx="3">
                  <c:v>Тернопільська</c:v>
                </c:pt>
                <c:pt idx="4">
                  <c:v>Волинська</c:v>
                </c:pt>
                <c:pt idx="5">
                  <c:v>Закарпатська</c:v>
                </c:pt>
                <c:pt idx="6">
                  <c:v>Одеська</c:v>
                </c:pt>
                <c:pt idx="7">
                  <c:v>Кіровоградська</c:v>
                </c:pt>
                <c:pt idx="8">
                  <c:v>Житомирська</c:v>
                </c:pt>
                <c:pt idx="9">
                  <c:v>Вінницька</c:v>
                </c:pt>
                <c:pt idx="10">
                  <c:v>Львівська</c:v>
                </c:pt>
                <c:pt idx="11">
                  <c:v>Рівненська</c:v>
                </c:pt>
                <c:pt idx="12">
                  <c:v>Херсонська</c:v>
                </c:pt>
                <c:pt idx="13">
                  <c:v>Харківська</c:v>
                </c:pt>
                <c:pt idx="14">
                  <c:v>Чернігівська</c:v>
                </c:pt>
                <c:pt idx="15">
                  <c:v>Миколаївська</c:v>
                </c:pt>
                <c:pt idx="16">
                  <c:v>Хмельницька</c:v>
                </c:pt>
                <c:pt idx="17">
                  <c:v>Черкаська</c:v>
                </c:pt>
                <c:pt idx="18">
                  <c:v>Донецька</c:v>
                </c:pt>
                <c:pt idx="19">
                  <c:v>Івано-Франківська</c:v>
                </c:pt>
                <c:pt idx="20">
                  <c:v>Київська</c:v>
                </c:pt>
                <c:pt idx="21">
                  <c:v>Запорізька</c:v>
                </c:pt>
                <c:pt idx="22">
                  <c:v>Полтавська</c:v>
                </c:pt>
                <c:pt idx="23">
                  <c:v>м. Київ</c:v>
                </c:pt>
                <c:pt idx="24">
                  <c:v>Дніпропетровська</c:v>
                </c:pt>
              </c:strCache>
            </c:strRef>
          </c:cat>
          <c:val>
            <c:numRef>
              <c:f>Лист1!$J$1:$J$25</c:f>
              <c:numCache>
                <c:formatCode>_-* #,##0.0\ _г_р_н_._-;\-* #,##0.0\ _г_р_н_._-;_-* "-"??\ _г_р_н_._-;_-@_-</c:formatCode>
                <c:ptCount val="25"/>
                <c:pt idx="0">
                  <c:v>-97.269169015780221</c:v>
                </c:pt>
                <c:pt idx="1">
                  <c:v>-2.2537931215061118</c:v>
                </c:pt>
                <c:pt idx="2">
                  <c:v>6.3237351037887226</c:v>
                </c:pt>
                <c:pt idx="3">
                  <c:v>7.1506089643803854</c:v>
                </c:pt>
                <c:pt idx="4">
                  <c:v>49.424805487966822</c:v>
                </c:pt>
                <c:pt idx="5">
                  <c:v>50.831744528957145</c:v>
                </c:pt>
                <c:pt idx="6">
                  <c:v>51.619882911035006</c:v>
                </c:pt>
                <c:pt idx="7">
                  <c:v>89.832294225670765</c:v>
                </c:pt>
                <c:pt idx="8">
                  <c:v>115.98351307122766</c:v>
                </c:pt>
                <c:pt idx="9">
                  <c:v>121.33966838856824</c:v>
                </c:pt>
                <c:pt idx="10">
                  <c:v>121.56443141447963</c:v>
                </c:pt>
                <c:pt idx="11">
                  <c:v>134.04554734132248</c:v>
                </c:pt>
                <c:pt idx="12">
                  <c:v>145.57769121130946</c:v>
                </c:pt>
                <c:pt idx="13">
                  <c:v>149.49809721358056</c:v>
                </c:pt>
                <c:pt idx="14">
                  <c:v>169.37780270124031</c:v>
                </c:pt>
                <c:pt idx="15">
                  <c:v>193.19133434383122</c:v>
                </c:pt>
                <c:pt idx="16">
                  <c:v>210.9493514289606</c:v>
                </c:pt>
                <c:pt idx="17">
                  <c:v>238.50237126208089</c:v>
                </c:pt>
                <c:pt idx="18">
                  <c:v>303.98186455850146</c:v>
                </c:pt>
                <c:pt idx="19">
                  <c:v>335.21056345754727</c:v>
                </c:pt>
                <c:pt idx="20">
                  <c:v>348.92455538491504</c:v>
                </c:pt>
                <c:pt idx="21">
                  <c:v>522.74783311954207</c:v>
                </c:pt>
                <c:pt idx="22">
                  <c:v>719.96444615075109</c:v>
                </c:pt>
                <c:pt idx="23" formatCode="General">
                  <c:v>1554.54</c:v>
                </c:pt>
                <c:pt idx="24">
                  <c:v>1640.8238044230245</c:v>
                </c:pt>
              </c:numCache>
            </c:numRef>
          </c:val>
          <c:extLst>
            <c:ext xmlns:c16="http://schemas.microsoft.com/office/drawing/2014/chart" uri="{C3380CC4-5D6E-409C-BE32-E72D297353CC}">
              <c16:uniqueId val="{00000000-807A-46AB-A5B0-B587DAD08F04}"/>
            </c:ext>
          </c:extLst>
        </c:ser>
        <c:dLbls>
          <c:showLegendKey val="0"/>
          <c:showVal val="0"/>
          <c:showCatName val="0"/>
          <c:showSerName val="0"/>
          <c:showPercent val="0"/>
          <c:showBubbleSize val="0"/>
        </c:dLbls>
        <c:gapWidth val="150"/>
        <c:axId val="452771840"/>
        <c:axId val="452774912"/>
      </c:barChart>
      <c:catAx>
        <c:axId val="452771840"/>
        <c:scaling>
          <c:orientation val="minMax"/>
        </c:scaling>
        <c:delete val="0"/>
        <c:axPos val="l"/>
        <c:numFmt formatCode="General" sourceLinked="0"/>
        <c:majorTickMark val="out"/>
        <c:minorTickMark val="none"/>
        <c:tickLblPos val="nextTo"/>
        <c:crossAx val="452774912"/>
        <c:crosses val="autoZero"/>
        <c:auto val="1"/>
        <c:lblAlgn val="ctr"/>
        <c:lblOffset val="100"/>
        <c:noMultiLvlLbl val="0"/>
      </c:catAx>
      <c:valAx>
        <c:axId val="452774912"/>
        <c:scaling>
          <c:orientation val="minMax"/>
          <c:max val="1600"/>
        </c:scaling>
        <c:delete val="0"/>
        <c:axPos val="b"/>
        <c:majorGridlines/>
        <c:numFmt formatCode="_-* #,##0.0\ _г_р_н_._-;\-* #,##0.0\ _г_р_н_._-;_-* &quot;-&quot;??\ _г_р_н_._-;_-@_-" sourceLinked="1"/>
        <c:majorTickMark val="out"/>
        <c:minorTickMark val="none"/>
        <c:tickLblPos val="nextTo"/>
        <c:crossAx val="452771840"/>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0"/>
    <c:plotArea>
      <c:layout>
        <c:manualLayout>
          <c:layoutTarget val="inner"/>
          <c:xMode val="edge"/>
          <c:yMode val="edge"/>
          <c:x val="7.2618448467137484E-2"/>
          <c:y val="2.9780030666823276E-2"/>
          <c:w val="0.84559460995210656"/>
          <c:h val="0.9065582790084038"/>
        </c:manualLayout>
      </c:layout>
      <c:barChart>
        <c:barDir val="bar"/>
        <c:grouping val="clustered"/>
        <c:varyColors val="0"/>
        <c:ser>
          <c:idx val="0"/>
          <c:order val="0"/>
          <c:spPr>
            <a:pattFill prst="wdDnDiag">
              <a:fgClr>
                <a:schemeClr val="tx1"/>
              </a:fgClr>
              <a:bgClr>
                <a:schemeClr val="bg1"/>
              </a:bgClr>
            </a:pattFill>
            <a:ln>
              <a:solidFill>
                <a:schemeClr val="tx1"/>
              </a:solidFill>
            </a:ln>
          </c:spPr>
          <c:invertIfNegative val="0"/>
          <c:cat>
            <c:strRef>
              <c:f>Лист1!$K$4:$K$25</c:f>
              <c:strCache>
                <c:ptCount val="22"/>
                <c:pt idx="0">
                  <c:v>Дніпропетровська</c:v>
                </c:pt>
                <c:pt idx="1">
                  <c:v>Рівненська</c:v>
                </c:pt>
                <c:pt idx="2">
                  <c:v>Запорізька</c:v>
                </c:pt>
                <c:pt idx="3">
                  <c:v>Івано-Франківська</c:v>
                </c:pt>
                <c:pt idx="4">
                  <c:v>Харківська</c:v>
                </c:pt>
                <c:pt idx="5">
                  <c:v>Черкаська</c:v>
                </c:pt>
                <c:pt idx="6">
                  <c:v>Житомирська</c:v>
                </c:pt>
                <c:pt idx="7">
                  <c:v>Миколаївська</c:v>
                </c:pt>
                <c:pt idx="8">
                  <c:v>Київська</c:v>
                </c:pt>
                <c:pt idx="9">
                  <c:v>Сумська</c:v>
                </c:pt>
                <c:pt idx="10">
                  <c:v>Одеська</c:v>
                </c:pt>
                <c:pt idx="11">
                  <c:v>Чернівецька</c:v>
                </c:pt>
                <c:pt idx="12">
                  <c:v>Закарпатська</c:v>
                </c:pt>
                <c:pt idx="13">
                  <c:v>Чернігівська</c:v>
                </c:pt>
                <c:pt idx="14">
                  <c:v>Кіровоградська</c:v>
                </c:pt>
                <c:pt idx="15">
                  <c:v>Волинська</c:v>
                </c:pt>
                <c:pt idx="16">
                  <c:v>Тернопільська</c:v>
                </c:pt>
                <c:pt idx="17">
                  <c:v>Хмельницька</c:v>
                </c:pt>
                <c:pt idx="18">
                  <c:v>Вінницька</c:v>
                </c:pt>
                <c:pt idx="19">
                  <c:v>Львівська</c:v>
                </c:pt>
                <c:pt idx="20">
                  <c:v>Полтавська</c:v>
                </c:pt>
                <c:pt idx="21">
                  <c:v>м. Київ</c:v>
                </c:pt>
              </c:strCache>
            </c:strRef>
          </c:cat>
          <c:val>
            <c:numRef>
              <c:f>Лист1!$L$4:$L$25</c:f>
              <c:numCache>
                <c:formatCode>_-* #,##0.0\ _г_р_н_._-;\-* #,##0.0\ _г_р_н_._-;_-* "-"??\ _г_р_н_._-;_-@_-</c:formatCode>
                <c:ptCount val="22"/>
                <c:pt idx="0">
                  <c:v>-752.32048987480198</c:v>
                </c:pt>
                <c:pt idx="1">
                  <c:v>-226.37788715921283</c:v>
                </c:pt>
                <c:pt idx="2">
                  <c:v>-218.74183950105791</c:v>
                </c:pt>
                <c:pt idx="3">
                  <c:v>-202.71348969901601</c:v>
                </c:pt>
                <c:pt idx="4">
                  <c:v>-154.57843277311989</c:v>
                </c:pt>
                <c:pt idx="5">
                  <c:v>-147.36359986395411</c:v>
                </c:pt>
                <c:pt idx="6">
                  <c:v>-38.266594921173279</c:v>
                </c:pt>
                <c:pt idx="7">
                  <c:v>-24.857644297866983</c:v>
                </c:pt>
                <c:pt idx="8">
                  <c:v>-1.0694371656113049</c:v>
                </c:pt>
                <c:pt idx="9">
                  <c:v>0.41742328182288357</c:v>
                </c:pt>
                <c:pt idx="10">
                  <c:v>9.3724553860441446</c:v>
                </c:pt>
                <c:pt idx="11">
                  <c:v>13.004340434826645</c:v>
                </c:pt>
                <c:pt idx="12">
                  <c:v>18.740155906574127</c:v>
                </c:pt>
                <c:pt idx="13">
                  <c:v>54.895629529313048</c:v>
                </c:pt>
                <c:pt idx="14">
                  <c:v>56.618724781260291</c:v>
                </c:pt>
                <c:pt idx="15">
                  <c:v>57.757969095962366</c:v>
                </c:pt>
                <c:pt idx="16">
                  <c:v>57.893395636804954</c:v>
                </c:pt>
                <c:pt idx="17">
                  <c:v>86.879658410963145</c:v>
                </c:pt>
                <c:pt idx="18">
                  <c:v>253.47525859571658</c:v>
                </c:pt>
                <c:pt idx="19">
                  <c:v>366.40204361179411</c:v>
                </c:pt>
                <c:pt idx="20">
                  <c:v>480.91457112235287</c:v>
                </c:pt>
                <c:pt idx="21" formatCode="General">
                  <c:v>1254.54</c:v>
                </c:pt>
              </c:numCache>
            </c:numRef>
          </c:val>
          <c:extLst>
            <c:ext xmlns:c16="http://schemas.microsoft.com/office/drawing/2014/chart" uri="{C3380CC4-5D6E-409C-BE32-E72D297353CC}">
              <c16:uniqueId val="{00000000-A645-4AF3-B0AF-253F061C6856}"/>
            </c:ext>
          </c:extLst>
        </c:ser>
        <c:dLbls>
          <c:showLegendKey val="0"/>
          <c:showVal val="0"/>
          <c:showCatName val="0"/>
          <c:showSerName val="0"/>
          <c:showPercent val="0"/>
          <c:showBubbleSize val="0"/>
        </c:dLbls>
        <c:gapWidth val="150"/>
        <c:axId val="454379392"/>
        <c:axId val="464470016"/>
      </c:barChart>
      <c:catAx>
        <c:axId val="454379392"/>
        <c:scaling>
          <c:orientation val="minMax"/>
        </c:scaling>
        <c:delete val="0"/>
        <c:axPos val="l"/>
        <c:numFmt formatCode="General" sourceLinked="0"/>
        <c:majorTickMark val="out"/>
        <c:minorTickMark val="none"/>
        <c:tickLblPos val="nextTo"/>
        <c:crossAx val="464470016"/>
        <c:crosses val="autoZero"/>
        <c:auto val="1"/>
        <c:lblAlgn val="ctr"/>
        <c:lblOffset val="100"/>
        <c:noMultiLvlLbl val="0"/>
      </c:catAx>
      <c:valAx>
        <c:axId val="464470016"/>
        <c:scaling>
          <c:orientation val="minMax"/>
          <c:max val="1300"/>
          <c:min val="-800"/>
        </c:scaling>
        <c:delete val="0"/>
        <c:axPos val="b"/>
        <c:majorGridlines/>
        <c:numFmt formatCode="_-* #,##0.0\ _г_р_н_._-;\-* #,##0.0\ _г_р_н_._-;_-* &quot;-&quot;??\ _г_р_н_._-;_-@_-" sourceLinked="1"/>
        <c:majorTickMark val="out"/>
        <c:minorTickMark val="none"/>
        <c:tickLblPos val="nextTo"/>
        <c:crossAx val="454379392"/>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spPr>
            <a:pattFill prst="lgConfetti">
              <a:fgClr>
                <a:schemeClr val="tx1"/>
              </a:fgClr>
              <a:bgClr>
                <a:schemeClr val="bg1"/>
              </a:bgClr>
            </a:pattFill>
            <a:ln>
              <a:solidFill>
                <a:schemeClr val="tx1"/>
              </a:solidFill>
            </a:ln>
          </c:spPr>
          <c:invertIfNegative val="0"/>
          <c:cat>
            <c:strRef>
              <c:f>Лист3!$C$17:$C$26</c:f>
              <c:strCache>
                <c:ptCount val="10"/>
                <c:pt idx="0">
                  <c:v>Країни ЄС</c:v>
                </c:pt>
                <c:pt idx="1">
                  <c:v>Кіпр</c:v>
                </c:pt>
                <c:pt idx="2">
                  <c:v>Нідерланди</c:v>
                </c:pt>
                <c:pt idx="3">
                  <c:v>Російська Федерація</c:v>
                </c:pt>
                <c:pt idx="4">
                  <c:v>Швейцарія</c:v>
                </c:pt>
                <c:pt idx="5">
                  <c:v>Польща</c:v>
                </c:pt>
                <c:pt idx="6">
                  <c:v>Угорщина</c:v>
                </c:pt>
                <c:pt idx="7">
                  <c:v>Люксембург</c:v>
                </c:pt>
                <c:pt idx="8">
                  <c:v>Сполучене Королівство Великої Британії та Північної Ірландії</c:v>
                </c:pt>
                <c:pt idx="9">
                  <c:v>Франція</c:v>
                </c:pt>
              </c:strCache>
            </c:strRef>
          </c:cat>
          <c:val>
            <c:numRef>
              <c:f>Лист3!$D$17:$D$26</c:f>
              <c:numCache>
                <c:formatCode>_-* #,##0.0\ _г_р_н_._-;\-* #,##0.0\ _г_р_н_._-;_-* "-"??\ _г_р_н_._-;_-@_-</c:formatCode>
                <c:ptCount val="10"/>
                <c:pt idx="0">
                  <c:v>4826.3129783162985</c:v>
                </c:pt>
                <c:pt idx="1">
                  <c:v>2661.044198166871</c:v>
                </c:pt>
                <c:pt idx="2">
                  <c:v>588.99108219494576</c:v>
                </c:pt>
                <c:pt idx="3">
                  <c:v>296.90977895798869</c:v>
                </c:pt>
                <c:pt idx="4">
                  <c:v>287.48885487670572</c:v>
                </c:pt>
                <c:pt idx="5">
                  <c:v>211.19431147216025</c:v>
                </c:pt>
                <c:pt idx="6">
                  <c:v>190.60833269891151</c:v>
                </c:pt>
                <c:pt idx="7">
                  <c:v>185.10535432828212</c:v>
                </c:pt>
                <c:pt idx="8">
                  <c:v>177.8092926470807</c:v>
                </c:pt>
                <c:pt idx="9">
                  <c:v>161.36381829801974</c:v>
                </c:pt>
              </c:numCache>
            </c:numRef>
          </c:val>
          <c:extLst>
            <c:ext xmlns:c16="http://schemas.microsoft.com/office/drawing/2014/chart" uri="{C3380CC4-5D6E-409C-BE32-E72D297353CC}">
              <c16:uniqueId val="{00000000-16C0-4E2A-863C-33F3A4C99C0A}"/>
            </c:ext>
          </c:extLst>
        </c:ser>
        <c:dLbls>
          <c:showLegendKey val="0"/>
          <c:showVal val="0"/>
          <c:showCatName val="0"/>
          <c:showSerName val="0"/>
          <c:showPercent val="0"/>
          <c:showBubbleSize val="0"/>
        </c:dLbls>
        <c:gapWidth val="150"/>
        <c:axId val="471795968"/>
        <c:axId val="472167936"/>
      </c:barChart>
      <c:catAx>
        <c:axId val="471795968"/>
        <c:scaling>
          <c:orientation val="minMax"/>
        </c:scaling>
        <c:delete val="0"/>
        <c:axPos val="b"/>
        <c:numFmt formatCode="General" sourceLinked="0"/>
        <c:majorTickMark val="out"/>
        <c:minorTickMark val="none"/>
        <c:tickLblPos val="nextTo"/>
        <c:txPr>
          <a:bodyPr rot="-5400000" vert="horz"/>
          <a:lstStyle/>
          <a:p>
            <a:pPr>
              <a:defRPr/>
            </a:pPr>
            <a:endParaRPr lang="uk-UA"/>
          </a:p>
        </c:txPr>
        <c:crossAx val="472167936"/>
        <c:crosses val="autoZero"/>
        <c:auto val="1"/>
        <c:lblAlgn val="ctr"/>
        <c:lblOffset val="100"/>
        <c:noMultiLvlLbl val="0"/>
      </c:catAx>
      <c:valAx>
        <c:axId val="472167936"/>
        <c:scaling>
          <c:orientation val="minMax"/>
        </c:scaling>
        <c:delete val="0"/>
        <c:axPos val="l"/>
        <c:majorGridlines/>
        <c:numFmt formatCode="_-* #,##0.0\ _г_р_н_._-;\-* #,##0.0\ _г_р_н_._-;_-* &quot;-&quot;??\ _г_р_н_._-;_-@_-" sourceLinked="1"/>
        <c:majorTickMark val="out"/>
        <c:minorTickMark val="none"/>
        <c:tickLblPos val="nextTo"/>
        <c:crossAx val="471795968"/>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barChart>
        <c:barDir val="col"/>
        <c:grouping val="clustered"/>
        <c:varyColors val="0"/>
        <c:ser>
          <c:idx val="0"/>
          <c:order val="0"/>
          <c:spPr>
            <a:pattFill prst="pct30">
              <a:fgClr>
                <a:schemeClr val="tx1"/>
              </a:fgClr>
              <a:bgClr>
                <a:schemeClr val="bg1"/>
              </a:bgClr>
            </a:pattFill>
            <a:ln>
              <a:solidFill>
                <a:schemeClr val="tx1"/>
              </a:solidFill>
            </a:ln>
          </c:spPr>
          <c:invertIfNegative val="0"/>
          <c:cat>
            <c:strRef>
              <c:f>Лист2!$E$40:$E$49</c:f>
              <c:strCache>
                <c:ptCount val="10"/>
                <c:pt idx="0">
                  <c:v>Швейцарія</c:v>
                </c:pt>
                <c:pt idx="1">
                  <c:v>Сполучене Королівство Великої Британії та Північної Ірландії</c:v>
                </c:pt>
                <c:pt idx="2">
                  <c:v>Люксембург</c:v>
                </c:pt>
                <c:pt idx="3">
                  <c:v>Польща</c:v>
                </c:pt>
                <c:pt idx="4">
                  <c:v>Франція</c:v>
                </c:pt>
                <c:pt idx="5">
                  <c:v>Гонконг, Особливий адміністративний район Китаю</c:v>
                </c:pt>
                <c:pt idx="6">
                  <c:v>Нерозподілено за країнами3</c:v>
                </c:pt>
                <c:pt idx="7">
                  <c:v>Угорщина</c:v>
                </c:pt>
                <c:pt idx="8">
                  <c:v>Туреччина</c:v>
                </c:pt>
                <c:pt idx="9">
                  <c:v>Австрія</c:v>
                </c:pt>
              </c:strCache>
            </c:strRef>
          </c:cat>
          <c:val>
            <c:numRef>
              <c:f>Лист2!$F$40:$F$49</c:f>
              <c:numCache>
                <c:formatCode>_-* #,##0.0\ _г_р_н_._-;\-* #,##0.0\ _г_р_н_._-;_-* "-"??\ _г_р_н_._-;_-@_-</c:formatCode>
                <c:ptCount val="10"/>
                <c:pt idx="0">
                  <c:v>498.6209527026503</c:v>
                </c:pt>
                <c:pt idx="1">
                  <c:v>221.17294366251434</c:v>
                </c:pt>
                <c:pt idx="2">
                  <c:v>214.48175223620618</c:v>
                </c:pt>
                <c:pt idx="3">
                  <c:v>129.29894467992705</c:v>
                </c:pt>
                <c:pt idx="4">
                  <c:v>112.47348094116755</c:v>
                </c:pt>
                <c:pt idx="5">
                  <c:v>109.03953214443077</c:v>
                </c:pt>
                <c:pt idx="6">
                  <c:v>94.800000000000011</c:v>
                </c:pt>
                <c:pt idx="7">
                  <c:v>85.83169572443731</c:v>
                </c:pt>
                <c:pt idx="8">
                  <c:v>79.306647192002572</c:v>
                </c:pt>
                <c:pt idx="9">
                  <c:v>41.68120893084815</c:v>
                </c:pt>
              </c:numCache>
            </c:numRef>
          </c:val>
          <c:extLst>
            <c:ext xmlns:c16="http://schemas.microsoft.com/office/drawing/2014/chart" uri="{C3380CC4-5D6E-409C-BE32-E72D297353CC}">
              <c16:uniqueId val="{00000000-1DEC-49EB-BF3D-9C11C3969255}"/>
            </c:ext>
          </c:extLst>
        </c:ser>
        <c:dLbls>
          <c:showLegendKey val="0"/>
          <c:showVal val="0"/>
          <c:showCatName val="0"/>
          <c:showSerName val="0"/>
          <c:showPercent val="0"/>
          <c:showBubbleSize val="0"/>
        </c:dLbls>
        <c:gapWidth val="150"/>
        <c:axId val="473124864"/>
        <c:axId val="483672832"/>
      </c:barChart>
      <c:catAx>
        <c:axId val="473124864"/>
        <c:scaling>
          <c:orientation val="minMax"/>
        </c:scaling>
        <c:delete val="0"/>
        <c:axPos val="b"/>
        <c:numFmt formatCode="General" sourceLinked="0"/>
        <c:majorTickMark val="out"/>
        <c:minorTickMark val="none"/>
        <c:tickLblPos val="nextTo"/>
        <c:txPr>
          <a:bodyPr rot="-5400000" vert="horz"/>
          <a:lstStyle/>
          <a:p>
            <a:pPr>
              <a:defRPr/>
            </a:pPr>
            <a:endParaRPr lang="uk-UA"/>
          </a:p>
        </c:txPr>
        <c:crossAx val="483672832"/>
        <c:crosses val="autoZero"/>
        <c:auto val="1"/>
        <c:lblAlgn val="ctr"/>
        <c:lblOffset val="100"/>
        <c:noMultiLvlLbl val="0"/>
      </c:catAx>
      <c:valAx>
        <c:axId val="483672832"/>
        <c:scaling>
          <c:orientation val="minMax"/>
        </c:scaling>
        <c:delete val="0"/>
        <c:axPos val="l"/>
        <c:majorGridlines/>
        <c:numFmt formatCode="_-* #,##0.0\ _г_р_н_._-;\-* #,##0.0\ _г_р_н_._-;_-* &quot;-&quot;??\ _г_р_н_._-;_-@_-" sourceLinked="1"/>
        <c:majorTickMark val="out"/>
        <c:minorTickMark val="none"/>
        <c:tickLblPos val="nextTo"/>
        <c:crossAx val="473124864"/>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col"/>
        <c:grouping val="clustered"/>
        <c:varyColors val="0"/>
        <c:ser>
          <c:idx val="0"/>
          <c:order val="0"/>
          <c:spPr>
            <a:pattFill prst="narHorz">
              <a:fgClr>
                <a:schemeClr val="tx1"/>
              </a:fgClr>
              <a:bgClr>
                <a:schemeClr val="bg1"/>
              </a:bgClr>
            </a:pattFill>
            <a:ln>
              <a:solidFill>
                <a:schemeClr val="tx1"/>
              </a:solidFill>
            </a:ln>
          </c:spPr>
          <c:invertIfNegative val="0"/>
          <c:cat>
            <c:strRef>
              <c:f>Лист2!$H$54:$H$63</c:f>
              <c:strCache>
                <c:ptCount val="10"/>
                <c:pt idx="0">
                  <c:v>Країни ЄС</c:v>
                </c:pt>
                <c:pt idx="1">
                  <c:v>Кіпр</c:v>
                </c:pt>
                <c:pt idx="2">
                  <c:v>Нідерланди</c:v>
                </c:pt>
                <c:pt idx="3">
                  <c:v>Німеччина</c:v>
                </c:pt>
                <c:pt idx="4">
                  <c:v>Швейцарія</c:v>
                </c:pt>
                <c:pt idx="5">
                  <c:v>США</c:v>
                </c:pt>
                <c:pt idx="6">
                  <c:v>Люксембург</c:v>
                </c:pt>
                <c:pt idx="7">
                  <c:v>Сполучене Королівство Великої Британії та Північної Ірландії</c:v>
                </c:pt>
                <c:pt idx="8">
                  <c:v>Польща</c:v>
                </c:pt>
                <c:pt idx="9">
                  <c:v>Франція</c:v>
                </c:pt>
              </c:strCache>
            </c:strRef>
          </c:cat>
          <c:val>
            <c:numRef>
              <c:f>Лист2!$I$54:$I$63</c:f>
              <c:numCache>
                <c:formatCode>_-* #,##0.0\ _г_р_н_._-;\-* #,##0.0\ _г_р_н_._-;_-* "-"??\ _г_р_н_._-;_-@_-</c:formatCode>
                <c:ptCount val="10"/>
                <c:pt idx="0">
                  <c:v>5443.910437636041</c:v>
                </c:pt>
                <c:pt idx="1">
                  <c:v>1674.3707095487862</c:v>
                </c:pt>
                <c:pt idx="2">
                  <c:v>1435.1920443884203</c:v>
                </c:pt>
                <c:pt idx="3">
                  <c:v>695.31270029980647</c:v>
                </c:pt>
                <c:pt idx="4">
                  <c:v>693.32541421737312</c:v>
                </c:pt>
                <c:pt idx="5">
                  <c:v>326.60012138348043</c:v>
                </c:pt>
                <c:pt idx="6">
                  <c:v>321.06175973578974</c:v>
                </c:pt>
                <c:pt idx="7">
                  <c:v>245.4760452765359</c:v>
                </c:pt>
                <c:pt idx="8">
                  <c:v>227.88451872738861</c:v>
                </c:pt>
                <c:pt idx="9">
                  <c:v>177.19461307616322</c:v>
                </c:pt>
              </c:numCache>
            </c:numRef>
          </c:val>
          <c:extLst>
            <c:ext xmlns:c16="http://schemas.microsoft.com/office/drawing/2014/chart" uri="{C3380CC4-5D6E-409C-BE32-E72D297353CC}">
              <c16:uniqueId val="{00000000-FCC9-4BDD-844E-06D548461B50}"/>
            </c:ext>
          </c:extLst>
        </c:ser>
        <c:dLbls>
          <c:showLegendKey val="0"/>
          <c:showVal val="0"/>
          <c:showCatName val="0"/>
          <c:showSerName val="0"/>
          <c:showPercent val="0"/>
          <c:showBubbleSize val="0"/>
        </c:dLbls>
        <c:gapWidth val="150"/>
        <c:axId val="483715328"/>
        <c:axId val="497876992"/>
      </c:barChart>
      <c:catAx>
        <c:axId val="483715328"/>
        <c:scaling>
          <c:orientation val="minMax"/>
        </c:scaling>
        <c:delete val="0"/>
        <c:axPos val="b"/>
        <c:numFmt formatCode="General" sourceLinked="0"/>
        <c:majorTickMark val="out"/>
        <c:minorTickMark val="none"/>
        <c:tickLblPos val="nextTo"/>
        <c:txPr>
          <a:bodyPr rot="-5400000" vert="horz"/>
          <a:lstStyle/>
          <a:p>
            <a:pPr>
              <a:defRPr/>
            </a:pPr>
            <a:endParaRPr lang="uk-UA"/>
          </a:p>
        </c:txPr>
        <c:crossAx val="497876992"/>
        <c:crosses val="autoZero"/>
        <c:auto val="1"/>
        <c:lblAlgn val="ctr"/>
        <c:lblOffset val="100"/>
        <c:noMultiLvlLbl val="0"/>
      </c:catAx>
      <c:valAx>
        <c:axId val="497876992"/>
        <c:scaling>
          <c:orientation val="minMax"/>
        </c:scaling>
        <c:delete val="0"/>
        <c:axPos val="l"/>
        <c:majorGridlines/>
        <c:numFmt formatCode="_-* #,##0.0\ _г_р_н_._-;\-* #,##0.0\ _г_р_н_._-;_-* &quot;-&quot;??\ _г_р_н_._-;_-@_-" sourceLinked="1"/>
        <c:majorTickMark val="out"/>
        <c:minorTickMark val="none"/>
        <c:tickLblPos val="nextTo"/>
        <c:crossAx val="483715328"/>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spPr>
            <a:pattFill prst="smConfetti">
              <a:fgClr>
                <a:schemeClr val="tx1"/>
              </a:fgClr>
              <a:bgClr>
                <a:schemeClr val="bg1"/>
              </a:bgClr>
            </a:pattFill>
            <a:ln>
              <a:solidFill>
                <a:schemeClr val="tx1"/>
              </a:solidFill>
            </a:ln>
          </c:spPr>
          <c:invertIfNegative val="0"/>
          <c:cat>
            <c:strRef>
              <c:f>Лист2!$K$49:$K$58</c:f>
              <c:strCache>
                <c:ptCount val="10"/>
                <c:pt idx="0">
                  <c:v>Швейцарія</c:v>
                </c:pt>
                <c:pt idx="1">
                  <c:v>Сполучене Королівство Великої Британії та Північної Ірландії</c:v>
                </c:pt>
                <c:pt idx="2">
                  <c:v>Люксембург</c:v>
                </c:pt>
                <c:pt idx="3">
                  <c:v>США</c:v>
                </c:pt>
                <c:pt idx="4">
                  <c:v>Франція</c:v>
                </c:pt>
                <c:pt idx="5">
                  <c:v>Угорщина</c:v>
                </c:pt>
                <c:pt idx="6">
                  <c:v>Австрія</c:v>
                </c:pt>
                <c:pt idx="7">
                  <c:v>Польща</c:v>
                </c:pt>
                <c:pt idx="8">
                  <c:v>Гонконг, Особливий адміністративний район Китаю</c:v>
                </c:pt>
                <c:pt idx="9">
                  <c:v>Данія</c:v>
                </c:pt>
              </c:strCache>
            </c:strRef>
          </c:cat>
          <c:val>
            <c:numRef>
              <c:f>Лист2!$L$49:$L$58</c:f>
              <c:numCache>
                <c:formatCode>_-* #,##0.0\ _г_р_н_._-;\-* #,##0.0\ _г_р_н_._-;_-* "-"??\ _г_р_н_._-;_-@_-</c:formatCode>
                <c:ptCount val="10"/>
                <c:pt idx="0">
                  <c:v>362.02705251129282</c:v>
                </c:pt>
                <c:pt idx="1">
                  <c:v>266.83030089001016</c:v>
                </c:pt>
                <c:pt idx="2">
                  <c:v>262.37134067270125</c:v>
                </c:pt>
                <c:pt idx="3">
                  <c:v>215.43884373871151</c:v>
                </c:pt>
                <c:pt idx="4">
                  <c:v>213.70283524453151</c:v>
                </c:pt>
                <c:pt idx="5">
                  <c:v>150.41387496931023</c:v>
                </c:pt>
                <c:pt idx="6">
                  <c:v>121.78505131596276</c:v>
                </c:pt>
                <c:pt idx="7">
                  <c:v>97.164432011629998</c:v>
                </c:pt>
                <c:pt idx="8">
                  <c:v>34.440836213465523</c:v>
                </c:pt>
                <c:pt idx="9">
                  <c:v>31.176724892839903</c:v>
                </c:pt>
              </c:numCache>
            </c:numRef>
          </c:val>
          <c:extLst>
            <c:ext xmlns:c16="http://schemas.microsoft.com/office/drawing/2014/chart" uri="{C3380CC4-5D6E-409C-BE32-E72D297353CC}">
              <c16:uniqueId val="{00000000-D963-4EBA-868B-C765A54777A9}"/>
            </c:ext>
          </c:extLst>
        </c:ser>
        <c:dLbls>
          <c:showLegendKey val="0"/>
          <c:showVal val="0"/>
          <c:showCatName val="0"/>
          <c:showSerName val="0"/>
          <c:showPercent val="0"/>
          <c:showBubbleSize val="0"/>
        </c:dLbls>
        <c:gapWidth val="150"/>
        <c:axId val="499199360"/>
        <c:axId val="499271168"/>
      </c:barChart>
      <c:catAx>
        <c:axId val="499199360"/>
        <c:scaling>
          <c:orientation val="minMax"/>
        </c:scaling>
        <c:delete val="0"/>
        <c:axPos val="b"/>
        <c:numFmt formatCode="General" sourceLinked="0"/>
        <c:majorTickMark val="out"/>
        <c:minorTickMark val="none"/>
        <c:tickLblPos val="nextTo"/>
        <c:txPr>
          <a:bodyPr rot="-5400000" vert="horz"/>
          <a:lstStyle/>
          <a:p>
            <a:pPr>
              <a:defRPr/>
            </a:pPr>
            <a:endParaRPr lang="uk-UA"/>
          </a:p>
        </c:txPr>
        <c:crossAx val="499271168"/>
        <c:crosses val="autoZero"/>
        <c:auto val="1"/>
        <c:lblAlgn val="ctr"/>
        <c:lblOffset val="100"/>
        <c:noMultiLvlLbl val="0"/>
      </c:catAx>
      <c:valAx>
        <c:axId val="499271168"/>
        <c:scaling>
          <c:orientation val="minMax"/>
        </c:scaling>
        <c:delete val="0"/>
        <c:axPos val="l"/>
        <c:majorGridlines/>
        <c:numFmt formatCode="_-* #,##0.0\ _г_р_н_._-;\-* #,##0.0\ _г_р_н_._-;_-* &quot;-&quot;??\ _г_р_н_._-;_-@_-" sourceLinked="1"/>
        <c:majorTickMark val="out"/>
        <c:minorTickMark val="none"/>
        <c:tickLblPos val="nextTo"/>
        <c:crossAx val="499199360"/>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barChart>
        <c:barDir val="bar"/>
        <c:grouping val="clustered"/>
        <c:varyColors val="0"/>
        <c:ser>
          <c:idx val="0"/>
          <c:order val="0"/>
          <c:spPr>
            <a:pattFill prst="wave">
              <a:fgClr>
                <a:schemeClr val="tx1"/>
              </a:fgClr>
              <a:bgClr>
                <a:schemeClr val="bg1"/>
              </a:bgClr>
            </a:pattFill>
            <a:ln>
              <a:solidFill>
                <a:schemeClr val="tx1"/>
              </a:solidFill>
            </a:ln>
          </c:spPr>
          <c:invertIfNegative val="0"/>
          <c:cat>
            <c:strRef>
              <c:f>Лист7!$D$20:$D$29</c:f>
              <c:strCache>
                <c:ptCount val="10"/>
                <c:pt idx="0">
                  <c:v>Добувна промисловість і розроблення кар'єрів</c:v>
                </c:pt>
                <c:pt idx="1">
                  <c:v>Професійна, наукова та технічна діяльність</c:v>
                </c:pt>
                <c:pt idx="2">
                  <c:v>Виробництво гумових і пластмасових виробів, іншої неметалевої мінеральної продукції</c:v>
                </c:pt>
                <c:pt idx="3">
                  <c:v>Виготовлення виробів з деревини, виробництво паперу та поліграфічна діяльність</c:v>
                </c:pt>
                <c:pt idx="4">
                  <c:v>Постачання електроенергії, газу, пари та кондиційованого повітря</c:v>
                </c:pt>
                <c:pt idx="5">
                  <c:v>Діяльність у сфері адміністративного та допоміжного обслуговування</c:v>
                </c:pt>
                <c:pt idx="6">
                  <c:v>Виробництво харчових продуктів, напоїв та тютюнових виробів</c:v>
                </c:pt>
                <c:pt idx="7">
                  <c:v>Сільське, лісове та рибне господарство</c:v>
                </c:pt>
                <c:pt idx="8">
                  <c:v>Фінансова та страхова діяльність</c:v>
                </c:pt>
                <c:pt idx="9">
                  <c:v>Інформація та телекомунікації</c:v>
                </c:pt>
              </c:strCache>
            </c:strRef>
          </c:cat>
          <c:val>
            <c:numRef>
              <c:f>Лист7!$E$20:$E$29</c:f>
              <c:numCache>
                <c:formatCode>_-* #,##0.0\ _г_р_н_._-;\-* #,##0.0\ _г_р_н_._-;_-* "-"??\ _г_р_н_._-;_-@_-</c:formatCode>
                <c:ptCount val="10"/>
                <c:pt idx="0">
                  <c:v>33.47760665219684</c:v>
                </c:pt>
                <c:pt idx="1">
                  <c:v>79.198528278262899</c:v>
                </c:pt>
                <c:pt idx="2">
                  <c:v>81.942281718879826</c:v>
                </c:pt>
                <c:pt idx="3">
                  <c:v>90.521430972921891</c:v>
                </c:pt>
                <c:pt idx="4">
                  <c:v>97.626467224186342</c:v>
                </c:pt>
                <c:pt idx="5">
                  <c:v>174.66502391671571</c:v>
                </c:pt>
                <c:pt idx="6">
                  <c:v>224.12261722357312</c:v>
                </c:pt>
                <c:pt idx="7">
                  <c:v>224.64671495029518</c:v>
                </c:pt>
                <c:pt idx="8">
                  <c:v>226.03258301867925</c:v>
                </c:pt>
                <c:pt idx="9">
                  <c:v>373.80242201694887</c:v>
                </c:pt>
              </c:numCache>
            </c:numRef>
          </c:val>
          <c:extLst>
            <c:ext xmlns:c16="http://schemas.microsoft.com/office/drawing/2014/chart" uri="{C3380CC4-5D6E-409C-BE32-E72D297353CC}">
              <c16:uniqueId val="{00000000-E7D9-47E4-8774-E5E8B7A9979F}"/>
            </c:ext>
          </c:extLst>
        </c:ser>
        <c:dLbls>
          <c:showLegendKey val="0"/>
          <c:showVal val="0"/>
          <c:showCatName val="0"/>
          <c:showSerName val="0"/>
          <c:showPercent val="0"/>
          <c:showBubbleSize val="0"/>
        </c:dLbls>
        <c:gapWidth val="150"/>
        <c:axId val="526544256"/>
        <c:axId val="526604544"/>
      </c:barChart>
      <c:catAx>
        <c:axId val="526544256"/>
        <c:scaling>
          <c:orientation val="minMax"/>
        </c:scaling>
        <c:delete val="0"/>
        <c:axPos val="l"/>
        <c:numFmt formatCode="General" sourceLinked="0"/>
        <c:majorTickMark val="out"/>
        <c:minorTickMark val="none"/>
        <c:tickLblPos val="nextTo"/>
        <c:crossAx val="526604544"/>
        <c:crosses val="autoZero"/>
        <c:auto val="1"/>
        <c:lblAlgn val="ctr"/>
        <c:lblOffset val="100"/>
        <c:noMultiLvlLbl val="0"/>
      </c:catAx>
      <c:valAx>
        <c:axId val="526604544"/>
        <c:scaling>
          <c:orientation val="minMax"/>
        </c:scaling>
        <c:delete val="0"/>
        <c:axPos val="b"/>
        <c:majorGridlines/>
        <c:numFmt formatCode="_-* #,##0.0\ _г_р_н_._-;\-* #,##0.0\ _г_р_н_._-;_-* &quot;-&quot;??\ _г_р_н_._-;_-@_-" sourceLinked="1"/>
        <c:majorTickMark val="out"/>
        <c:minorTickMark val="none"/>
        <c:tickLblPos val="nextTo"/>
        <c:crossAx val="526544256"/>
        <c:crosses val="autoZero"/>
        <c:crossBetween val="between"/>
      </c:valAx>
    </c:plotArea>
    <c:plotVisOnly val="1"/>
    <c:dispBlanksAs val="gap"/>
    <c:showDLblsOverMax val="0"/>
  </c:chart>
  <c:txPr>
    <a:bodyPr/>
    <a:lstStyle/>
    <a:p>
      <a:pPr>
        <a:defRPr sz="1100">
          <a:latin typeface="Times New Roman" pitchFamily="18" charset="0"/>
          <a:cs typeface="Times New Roman" pitchFamily="18" charset="0"/>
        </a:defRPr>
      </a:pPr>
      <a:endParaRPr lang="uk-UA"/>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65069</Words>
  <Characters>37090</Characters>
  <Application>Microsoft Office Word</Application>
  <DocSecurity>0</DocSecurity>
  <Lines>309</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liana</dc:creator>
  <cp:lastModifiedBy>admin</cp:lastModifiedBy>
  <cp:revision>2</cp:revision>
  <dcterms:created xsi:type="dcterms:W3CDTF">2023-12-15T08:07:00Z</dcterms:created>
  <dcterms:modified xsi:type="dcterms:W3CDTF">2023-12-15T08:07:00Z</dcterms:modified>
</cp:coreProperties>
</file>